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Ind w:w="-13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  <w:right w:val="nil"/>
          <w:insideV w:val="nil"/>
        </w:tblBorders>
        <w:tblCellMar>
          <w:top w:w="0" w:type="dxa"/>
          <w:left w:w="88" w:type="dxa"/>
          <w:bottom w:w="0" w:type="dxa"/>
          <w:right w:w="108" w:type="dxa"/>
        </w:tblCellMar>
      </w:tblPr>
      <w:tblGrid>
        <w:gridCol w:w="623"/>
        <w:gridCol w:w="349"/>
        <w:gridCol w:w="776"/>
        <w:gridCol w:w="214"/>
        <w:gridCol w:w="988"/>
        <w:gridCol w:w="901"/>
        <w:gridCol w:w="317"/>
        <w:gridCol w:w="164"/>
        <w:gridCol w:w="1595"/>
        <w:gridCol w:w="647"/>
        <w:gridCol w:w="1942"/>
        <w:gridCol w:w="1077"/>
      </w:tblGrid>
      <w:tr>
        <w:trPr>
          <w:cantSplit w:val="false"/>
        </w:trPr>
        <w:tc>
          <w:tcPr>
            <w:tcW w:w="416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Name, middle initial, last name</w:t>
            </w:r>
          </w:p>
        </w:tc>
        <w:tc>
          <w:tcPr>
            <w:tcW w:w="54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Jelena, O, Aleksic</w:t>
            </w:r>
          </w:p>
        </w:tc>
      </w:tr>
      <w:tr>
        <w:trPr>
          <w:cantSplit w:val="false"/>
        </w:trPr>
        <w:tc>
          <w:tcPr>
            <w:tcW w:w="416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Title</w:t>
            </w:r>
          </w:p>
        </w:tc>
        <w:tc>
          <w:tcPr>
            <w:tcW w:w="54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Full professor</w:t>
            </w:r>
          </w:p>
        </w:tc>
      </w:tr>
      <w:tr>
        <w:trPr>
          <w:cantSplit w:val="false"/>
        </w:trPr>
        <w:tc>
          <w:tcPr>
            <w:tcW w:w="416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Name of the institution where the teacher works full time and since when</w:t>
            </w:r>
          </w:p>
        </w:tc>
        <w:tc>
          <w:tcPr>
            <w:tcW w:w="54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DMI, Faculty of science, UNS, 2002.</w:t>
            </w:r>
          </w:p>
        </w:tc>
      </w:tr>
      <w:tr>
        <w:trPr>
          <w:cantSplit w:val="false"/>
        </w:trPr>
        <w:tc>
          <w:tcPr>
            <w:tcW w:w="416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Narrower scientific and artistic field</w:t>
            </w:r>
          </w:p>
        </w:tc>
        <w:tc>
          <w:tcPr>
            <w:tcW w:w="54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Analysis and probability</w:t>
            </w:r>
          </w:p>
        </w:tc>
      </w:tr>
      <w:tr>
        <w:trPr>
          <w:cantSplit w:val="false"/>
        </w:trPr>
        <w:tc>
          <w:tcPr>
            <w:tcW w:w="9593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Academic career</w:t>
            </w:r>
          </w:p>
        </w:tc>
      </w:tr>
      <w:tr>
        <w:trPr>
          <w:cantSplit w:val="false"/>
        </w:trPr>
        <w:tc>
          <w:tcPr>
            <w:tcW w:w="19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Year</w:t>
            </w:r>
          </w:p>
        </w:tc>
        <w:tc>
          <w:tcPr>
            <w:tcW w:w="362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Institution</w:t>
            </w:r>
          </w:p>
        </w:tc>
        <w:tc>
          <w:tcPr>
            <w:tcW w:w="30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Scientific field</w:t>
            </w:r>
          </w:p>
        </w:tc>
      </w:tr>
      <w:tr>
        <w:trPr>
          <w:cantSplit w:val="false"/>
        </w:trPr>
        <w:tc>
          <w:tcPr>
            <w:tcW w:w="19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BSc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rPr>
                <w:sz w:val="22"/>
                <w:szCs w:val="22"/>
                <w:lang w:val="sr-CS"/>
              </w:rPr>
            </w:pPr>
            <w:r>
              <w:rPr>
                <w:sz w:val="22"/>
                <w:szCs w:val="22"/>
                <w:lang w:val="sr-CS"/>
              </w:rPr>
              <w:t>2002</w:t>
            </w:r>
          </w:p>
        </w:tc>
        <w:tc>
          <w:tcPr>
            <w:tcW w:w="362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DMI, Faculty of science, UNS</w:t>
            </w:r>
          </w:p>
        </w:tc>
        <w:tc>
          <w:tcPr>
            <w:tcW w:w="30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Mathematics</w:t>
            </w:r>
          </w:p>
        </w:tc>
      </w:tr>
      <w:tr>
        <w:trPr>
          <w:cantSplit w:val="false"/>
        </w:trPr>
        <w:tc>
          <w:tcPr>
            <w:tcW w:w="19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MSc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sr-RS"/>
              </w:rPr>
              <w:t>06</w:t>
            </w:r>
          </w:p>
        </w:tc>
        <w:tc>
          <w:tcPr>
            <w:tcW w:w="362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DMI, Faculty of science, UNS</w:t>
            </w:r>
          </w:p>
        </w:tc>
        <w:tc>
          <w:tcPr>
            <w:tcW w:w="30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Mathematics</w:t>
            </w:r>
          </w:p>
        </w:tc>
      </w:tr>
      <w:tr>
        <w:trPr>
          <w:cantSplit w:val="false"/>
        </w:trPr>
        <w:tc>
          <w:tcPr>
            <w:tcW w:w="19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PhD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rPr>
                <w:sz w:val="22"/>
                <w:szCs w:val="22"/>
                <w:lang w:val="sr-CS"/>
              </w:rPr>
            </w:pPr>
            <w:r>
              <w:rPr>
                <w:sz w:val="22"/>
                <w:szCs w:val="22"/>
                <w:lang w:val="sr-CS"/>
              </w:rPr>
              <w:t>2009</w:t>
            </w:r>
          </w:p>
        </w:tc>
        <w:tc>
          <w:tcPr>
            <w:tcW w:w="362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DMI, Faculty of science, UNS</w:t>
            </w:r>
          </w:p>
        </w:tc>
        <w:tc>
          <w:tcPr>
            <w:tcW w:w="30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Mathematics</w:t>
            </w:r>
          </w:p>
        </w:tc>
      </w:tr>
      <w:tr>
        <w:trPr>
          <w:cantSplit w:val="false"/>
        </w:trPr>
        <w:tc>
          <w:tcPr>
            <w:tcW w:w="9593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The list of courses that the instructor holds in the first and second level</w:t>
            </w:r>
          </w:p>
        </w:tc>
      </w:tr>
      <w:tr>
        <w:trPr>
          <w:cantSplit w:val="fals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22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Course title</w:t>
            </w:r>
          </w:p>
          <w:p>
            <w:pPr>
              <w:pStyle w:val="LO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466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 of the study program, the type of studies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No. of lectures</w:t>
            </w:r>
          </w:p>
        </w:tc>
      </w:tr>
      <w:tr>
        <w:trPr>
          <w:cantSplit w:val="fals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2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Analysis 2</w:t>
            </w:r>
          </w:p>
        </w:tc>
        <w:tc>
          <w:tcPr>
            <w:tcW w:w="466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tabs>
                <w:tab w:val="left" w:pos="567" w:leader="none"/>
              </w:tabs>
              <w:spacing w:lineRule="atLeast" w:line="100" w:before="0" w:after="60"/>
              <w:rPr/>
            </w:pPr>
            <w:r>
              <w:rPr/>
              <w:t>М5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>
        <w:trPr>
          <w:cantSplit w:val="fals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2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Analysis 3</w:t>
            </w:r>
          </w:p>
        </w:tc>
        <w:tc>
          <w:tcPr>
            <w:tcW w:w="466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tabs>
                <w:tab w:val="left" w:pos="567" w:leader="none"/>
              </w:tabs>
              <w:spacing w:lineRule="atLeast" w:line="100" w:before="0" w:after="60"/>
              <w:rPr/>
            </w:pPr>
            <w:r>
              <w:rPr/>
              <w:t>М5, M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>
        <w:trPr>
          <w:cantSplit w:val="fals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jc w:val="center"/>
              <w:rPr/>
            </w:pPr>
            <w:r>
              <w:rPr/>
              <w:t>4</w:t>
            </w:r>
          </w:p>
        </w:tc>
        <w:tc>
          <w:tcPr>
            <w:tcW w:w="322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rPr/>
            </w:pPr>
            <w:r>
              <w:rPr/>
              <w:t xml:space="preserve">Modelling of Dynamical Systems </w:t>
            </w:r>
          </w:p>
        </w:tc>
        <w:tc>
          <w:tcPr>
            <w:tcW w:w="466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tabs>
                <w:tab w:val="left" w:pos="567" w:leader="none"/>
              </w:tabs>
              <w:spacing w:lineRule="atLeast" w:line="100" w:before="0" w:after="60"/>
              <w:rPr/>
            </w:pPr>
            <w:r>
              <w:rPr/>
              <w:t>MAP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jc w:val="center"/>
              <w:rPr/>
            </w:pPr>
            <w:r>
              <w:rPr/>
              <w:t>2</w:t>
            </w:r>
          </w:p>
        </w:tc>
      </w:tr>
      <w:tr>
        <w:trPr>
          <w:cantSplit w:val="false"/>
        </w:trPr>
        <w:tc>
          <w:tcPr>
            <w:tcW w:w="623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228" w:type="dxa"/>
            <w:gridSpan w:val="5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Ordinary differential equations</w:t>
            </w:r>
          </w:p>
        </w:tc>
        <w:tc>
          <w:tcPr>
            <w:tcW w:w="4665" w:type="dxa"/>
            <w:gridSpan w:val="5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</w:tcPr>
          <w:p>
            <w:pPr>
              <w:pStyle w:val="Normal"/>
              <w:tabs>
                <w:tab w:val="left" w:pos="567" w:leader="none"/>
              </w:tabs>
              <w:spacing w:lineRule="atLeast" w:line="100" w:before="0" w:after="60"/>
              <w:rPr/>
            </w:pPr>
            <w:r>
              <w:rPr/>
              <w:t>М5</w:t>
            </w:r>
          </w:p>
        </w:tc>
        <w:tc>
          <w:tcPr>
            <w:tcW w:w="1077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>
        <w:trPr>
          <w:cantSplit w:val="false"/>
        </w:trPr>
        <w:tc>
          <w:tcPr>
            <w:tcW w:w="9593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Representative references (minimum 5 not more than 10)</w:t>
            </w:r>
          </w:p>
        </w:tc>
      </w:tr>
      <w:tr>
        <w:trPr>
          <w:cantSplit w:val="false"/>
        </w:trPr>
        <w:tc>
          <w:tcPr>
            <w:tcW w:w="9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ind w:left="360" w:right="0"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621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TextBody"/>
              <w:tabs>
                <w:tab w:val="left" w:pos="567" w:leader="none"/>
              </w:tabs>
              <w:spacing w:lineRule="atLeast" w:line="100" w:before="0" w:after="60"/>
              <w:jc w:val="both"/>
              <w:rPr>
                <w:rFonts w:ascii="Times New Roman" w:hAnsi="Times New Roman"/>
                <w:color w:val="00000A"/>
                <w:sz w:val="24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Aleksić, Jelena; Mitrović, Darko</w:t>
            </w:r>
            <w:r>
              <w:rPr>
                <w:color w:val="00000A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Strong traces for averaged solutions of heterogeneous ultra-parabolic transport equations. J. Hyperbolic Differ. Equ.</w:t>
            </w:r>
            <w:r>
              <w:rPr>
                <w:color w:val="00000A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10 (2013), no. 4, 659–676. ISSN 0219-8916 DOI number </w:t>
            </w:r>
            <w:r>
              <w:rPr>
                <w:rFonts w:ascii="Times New Roman" w:hAnsi="Times New Roman"/>
                <w:color w:val="000000"/>
                <w:sz w:val="24"/>
              </w:rPr>
              <w:t>10.1142/S0219891613500239</w:t>
            </w:r>
            <w:r>
              <w:rPr>
                <w:rFonts w:ascii="Times New Roman" w:hAnsi="Times New Roman"/>
                <w:color w:val="00000A"/>
                <w:sz w:val="24"/>
              </w:rPr>
              <w:t>,</w:t>
            </w:r>
            <w:r>
              <w:rPr>
                <w:color w:val="00000A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>impact factor 0.426,  category M23-Mathematics, Applied</w:t>
            </w:r>
          </w:p>
        </w:tc>
      </w:tr>
      <w:tr>
        <w:trPr>
          <w:cantSplit w:val="false"/>
        </w:trPr>
        <w:tc>
          <w:tcPr>
            <w:tcW w:w="9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ind w:left="360" w:right="0"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621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TextBody"/>
              <w:pBdr>
                <w:top w:val="nil"/>
                <w:left w:val="nil"/>
                <w:bottom w:val="nil"/>
                <w:right w:val="nil"/>
              </w:pBdr>
              <w:tabs>
                <w:tab w:val="left" w:pos="567" w:leader="none"/>
              </w:tabs>
              <w:spacing w:lineRule="atLeast" w:line="141" w:before="0" w:after="6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" w:hAnsi="Times"/>
                <w:color w:val="000000"/>
                <w:sz w:val="24"/>
              </w:rPr>
              <w:t xml:space="preserve">Aleksić, J., Pilipović, S. &amp; Vojnović, I. Defect Distributions Related to Weakly Convergent Sequences in Bessel-Type Spaces </w:t>
            </w:r>
            <w:r>
              <w:rPr>
                <w:rFonts w:ascii="Times" w:hAnsi="Times"/>
                <w:i/>
                <w:color w:val="000000"/>
                <w:sz w:val="24"/>
              </w:rPr>
              <w:t>Mediterr. J. Math.</w:t>
            </w:r>
            <w:r>
              <w:rPr>
                <w:color w:val="000000"/>
              </w:rPr>
              <w:t> </w:t>
            </w:r>
            <w:r>
              <w:rPr>
                <w:rFonts w:ascii="Times" w:hAnsi="Times"/>
                <w:b/>
                <w:color w:val="000000"/>
                <w:sz w:val="24"/>
              </w:rPr>
              <w:t>15</w:t>
            </w:r>
            <w:r>
              <w:rPr>
                <w:rFonts w:ascii="Times" w:hAnsi="Times"/>
                <w:color w:val="000000"/>
                <w:sz w:val="24"/>
              </w:rPr>
              <w:t xml:space="preserve">, 142 (2018). https://doi.org/10.1007/s00009-018-1185-x, impact factor 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1.305,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category M21-Mathematics </w:t>
            </w:r>
          </w:p>
        </w:tc>
      </w:tr>
      <w:tr>
        <w:trPr>
          <w:cantSplit w:val="false"/>
        </w:trPr>
        <w:tc>
          <w:tcPr>
            <w:tcW w:w="9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ind w:left="360" w:right="0"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621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TextBody"/>
              <w:pBdr>
                <w:top w:val="nil"/>
                <w:left w:val="nil"/>
                <w:bottom w:val="nil"/>
                <w:right w:val="nil"/>
              </w:pBdr>
              <w:tabs>
                <w:tab w:val="left" w:pos="567" w:leader="none"/>
              </w:tabs>
              <w:spacing w:lineRule="atLeast" w:line="141" w:before="0" w:after="60"/>
              <w:jc w:val="both"/>
              <w:rPr>
                <w:rFonts w:ascii="Times New Roman" w:hAnsi="Times New Roman"/>
                <w:color w:val="000000"/>
                <w:sz w:val="24"/>
              </w:rPr>
            </w:pPr>
            <w:hyperlink r:id="rId2">
              <w:r>
                <w:rPr>
                  <w:rStyle w:val="InternetLink"/>
                  <w:rFonts w:ascii="Times New Roman" w:hAnsi="Times New Roman"/>
                  <w:color w:val="0000FF"/>
                  <w:sz w:val="24"/>
                  <w:u w:val="single"/>
                </w:rPr>
                <w:t>Aleksić, J.</w:t>
              </w:r>
            </w:hyperlink>
            <w:r>
              <w:rPr>
                <w:rFonts w:ascii="Times New Roman" w:hAnsi="Times New Roman"/>
                <w:color w:val="00000A"/>
                <w:sz w:val="24"/>
              </w:rPr>
              <w:t xml:space="preserve">; </w:t>
            </w:r>
            <w:hyperlink r:id="rId3">
              <w:r>
                <w:rPr>
                  <w:rStyle w:val="InternetLink"/>
                  <w:rFonts w:ascii="Times New Roman" w:hAnsi="Times New Roman"/>
                  <w:color w:val="0000FF"/>
                  <w:sz w:val="24"/>
                  <w:u w:val="single"/>
                </w:rPr>
                <w:t>Pilipović, S.</w:t>
              </w:r>
            </w:hyperlink>
            <w:r>
              <w:rPr>
                <w:rFonts w:ascii="Times New Roman" w:hAnsi="Times New Roman"/>
                <w:color w:val="00000A"/>
                <w:sz w:val="24"/>
              </w:rPr>
              <w:t xml:space="preserve">; </w:t>
            </w:r>
            <w:hyperlink r:id="rId4">
              <w:r>
                <w:rPr>
                  <w:rStyle w:val="InternetLink"/>
                  <w:rFonts w:ascii="Times New Roman" w:hAnsi="Times New Roman"/>
                  <w:color w:val="0000FF"/>
                  <w:sz w:val="24"/>
                  <w:u w:val="single"/>
                </w:rPr>
                <w:t>Vojnović, I.</w:t>
              </w:r>
            </w:hyperlink>
            <w:r>
              <w:rPr>
                <w:color w:val="00000A"/>
              </w:rPr>
              <w:t> </w:t>
            </w:r>
            <w:r>
              <w:rPr>
                <w:rFonts w:ascii="STIXGeneral" w:hAnsi="STIXGeneral"/>
                <w:i/>
                <w:color w:val="00000A"/>
                <w:sz w:val="24"/>
              </w:rPr>
              <w:t>H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-distributions via Sobolev spaces. </w:t>
            </w:r>
            <w:hyperlink r:id="rId5">
              <w:r>
                <w:rPr>
                  <w:rStyle w:val="InternetLink"/>
                  <w:rFonts w:ascii="Times New Roman" w:hAnsi="Times New Roman"/>
                  <w:i/>
                  <w:color w:val="00000A"/>
                  <w:sz w:val="24"/>
                </w:rPr>
                <w:t>Mediterr. J. Math.</w:t>
              </w:r>
            </w:hyperlink>
            <w:r>
              <w:rPr>
                <w:color w:val="00000A"/>
              </w:rPr>
              <w:t> </w:t>
            </w:r>
            <w:hyperlink r:id="rId6">
              <w:r>
                <w:rPr>
                  <w:rStyle w:val="InternetLink"/>
                  <w:rFonts w:ascii="Times New Roman" w:hAnsi="Times New Roman"/>
                  <w:color w:val="0000FF"/>
                  <w:sz w:val="24"/>
                  <w:u w:val="single"/>
                </w:rPr>
                <w:t xml:space="preserve">13 </w:t>
              </w:r>
            </w:hyperlink>
            <w:hyperlink r:id="rId7">
              <w:r>
                <w:rPr>
                  <w:rStyle w:val="InternetLink"/>
                  <w:rFonts w:ascii="Times New Roman" w:hAnsi="Times New Roman"/>
                  <w:color w:val="0000FF"/>
                  <w:sz w:val="24"/>
                  <w:u w:val="single"/>
                </w:rPr>
                <w:t xml:space="preserve">(2016), </w:t>
              </w:r>
            </w:hyperlink>
            <w:hyperlink r:id="rId8">
              <w:r>
                <w:rPr>
                  <w:rStyle w:val="InternetLink"/>
                  <w:rFonts w:ascii="Times New Roman" w:hAnsi="Times New Roman"/>
                  <w:color w:val="0000FF"/>
                  <w:sz w:val="24"/>
                  <w:u w:val="single"/>
                </w:rPr>
                <w:t>no. 5,</w:t>
              </w:r>
            </w:hyperlink>
            <w:r>
              <w:rPr>
                <w:color w:val="00000A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3499–3512. https://doi.org/10.1007/s00009-016-0699-3,  </w:t>
            </w:r>
            <w:r>
              <w:rPr>
                <w:rFonts w:ascii="Times" w:hAnsi="Times"/>
                <w:color w:val="000000"/>
                <w:sz w:val="24"/>
              </w:rPr>
              <w:t xml:space="preserve">impact factor 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1.305,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category M21-Mathematics </w:t>
            </w:r>
          </w:p>
        </w:tc>
      </w:tr>
      <w:tr>
        <w:trPr>
          <w:cantSplit w:val="false"/>
        </w:trPr>
        <w:tc>
          <w:tcPr>
            <w:tcW w:w="9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ind w:left="360" w:right="0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621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TextBody"/>
              <w:pBdr>
                <w:top w:val="nil"/>
                <w:left w:val="nil"/>
                <w:bottom w:val="nil"/>
                <w:right w:val="nil"/>
              </w:pBdr>
              <w:tabs>
                <w:tab w:val="left" w:pos="567" w:leader="none"/>
              </w:tabs>
              <w:spacing w:lineRule="atLeast" w:line="100" w:before="0" w:after="0"/>
              <w:jc w:val="both"/>
              <w:rPr>
                <w:rStyle w:val="InternetLink"/>
                <w:rFonts w:ascii="Times" w:hAnsi="Times"/>
                <w:color w:val="0000EE"/>
                <w:sz w:val="24"/>
                <w:u w:val="single"/>
              </w:rPr>
            </w:pPr>
            <w:r>
              <w:rPr>
                <w:rFonts w:ascii="Times New Roman" w:hAnsi="Times New Roman"/>
                <w:color w:val="00000A"/>
                <w:sz w:val="24"/>
              </w:rPr>
              <w:t>Aleksić, Jelena; Pilipović, Stevan</w:t>
            </w:r>
            <w:r>
              <w:rPr>
                <w:color w:val="00000A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>Two scale defect measure and linear equations with oscillating coefficients, accepted in Filomat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2019, ISSN 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0354-5180,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impact factor 0.789,  category M22-Mathematics </w:t>
            </w:r>
            <w:hyperlink r:id="rId9">
              <w:r>
                <w:rPr>
                  <w:rStyle w:val="InternetLink"/>
                  <w:rFonts w:ascii="Times" w:hAnsi="Times"/>
                  <w:color w:val="0000EE"/>
                  <w:sz w:val="24"/>
                  <w:u w:val="single"/>
                </w:rPr>
                <w:t>https://doi.org/10.2298/FIL1909867A</w:t>
              </w:r>
            </w:hyperlink>
          </w:p>
        </w:tc>
      </w:tr>
      <w:tr>
        <w:trPr>
          <w:cantSplit w:val="false"/>
        </w:trPr>
        <w:tc>
          <w:tcPr>
            <w:tcW w:w="9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ind w:left="360" w:right="0"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621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TextBody"/>
              <w:pBdr>
                <w:top w:val="nil"/>
                <w:left w:val="nil"/>
                <w:bottom w:val="nil"/>
                <w:right w:val="nil"/>
              </w:pBdr>
              <w:spacing w:lineRule="atLeast" w:line="141" w:before="0" w:after="60"/>
              <w:jc w:val="both"/>
              <w:rPr>
                <w:rFonts w:ascii="Times New Roman" w:hAnsi="Times New Roman"/>
                <w:color w:val="00000A"/>
                <w:sz w:val="24"/>
              </w:rPr>
            </w:pPr>
            <w:hyperlink r:id="rId10">
              <w:r>
                <w:rPr>
                  <w:rStyle w:val="InternetLink"/>
                  <w:rFonts w:ascii="Times" w:hAnsi="Times"/>
                  <w:color w:val="0000EE"/>
                  <w:sz w:val="24"/>
                  <w:u w:val="single"/>
                </w:rPr>
                <w:t>Aleksić, Jelena</w:t>
              </w:r>
            </w:hyperlink>
            <w:r>
              <w:rPr>
                <w:rFonts w:ascii="Times" w:hAnsi="Times"/>
                <w:color w:val="000000"/>
                <w:sz w:val="24"/>
              </w:rPr>
              <w:t xml:space="preserve">; </w:t>
            </w:r>
            <w:hyperlink r:id="rId11">
              <w:r>
                <w:rPr>
                  <w:rStyle w:val="InternetLink"/>
                  <w:rFonts w:ascii="Times" w:hAnsi="Times"/>
                  <w:color w:val="0000EE"/>
                  <w:sz w:val="24"/>
                  <w:u w:val="single"/>
                </w:rPr>
                <w:t>Pilipović, Stevan</w:t>
              </w:r>
            </w:hyperlink>
            <w:r>
              <w:rPr>
                <w:rFonts w:ascii="Times" w:hAnsi="Times"/>
                <w:color w:val="000000"/>
                <w:sz w:val="24"/>
              </w:rPr>
              <w:t xml:space="preserve">; </w:t>
            </w:r>
            <w:hyperlink r:id="rId12">
              <w:r>
                <w:rPr>
                  <w:rStyle w:val="InternetLink"/>
                  <w:rFonts w:ascii="Times" w:hAnsi="Times"/>
                  <w:color w:val="0000EE"/>
                  <w:sz w:val="24"/>
                  <w:u w:val="single"/>
                </w:rPr>
                <w:t>Vojnović, Ivana</w:t>
              </w:r>
            </w:hyperlink>
            <w:r>
              <w:rPr>
                <w:color w:val="000000"/>
              </w:rPr>
              <w:t xml:space="preserve"> </w:t>
            </w:r>
            <w:r>
              <w:rPr>
                <w:rFonts w:ascii="Times" w:hAnsi="Times"/>
                <w:color w:val="000000"/>
                <w:sz w:val="24"/>
              </w:rPr>
              <w:t>H-distributions with unbounded multipliers.</w:t>
            </w:r>
            <w:hyperlink r:id="rId13">
              <w:r>
                <w:rPr>
                  <w:rStyle w:val="InternetLink"/>
                  <w:color w:val="0000EE"/>
                  <w:u w:val="single"/>
                </w:rPr>
                <w:t> </w:t>
              </w:r>
              <w:r>
                <w:rPr>
                  <w:rStyle w:val="InternetLink"/>
                  <w:rFonts w:ascii="Times" w:hAnsi="Times"/>
                  <w:i/>
                  <w:color w:val="0000EE"/>
                  <w:sz w:val="24"/>
                  <w:u w:val="single"/>
                </w:rPr>
                <w:t>J. Pseudo-Differ. Oper. Appl.</w:t>
              </w:r>
            </w:hyperlink>
            <w:r>
              <w:rPr>
                <w:color w:val="000000"/>
              </w:rPr>
              <w:t> </w:t>
            </w:r>
            <w:hyperlink r:id="rId14">
              <w:r>
                <w:rPr>
                  <w:rStyle w:val="InternetLink"/>
                  <w:color w:val="0000EE"/>
                  <w:u w:val="single"/>
                </w:rPr>
                <w:t xml:space="preserve"> </w:t>
              </w:r>
              <w:r>
                <w:rPr>
                  <w:rStyle w:val="InternetLink"/>
                  <w:rFonts w:ascii="Times" w:hAnsi="Times"/>
                  <w:color w:val="0000EE"/>
                  <w:sz w:val="24"/>
                  <w:u w:val="single"/>
                </w:rPr>
                <w:t xml:space="preserve">9 </w:t>
              </w:r>
            </w:hyperlink>
            <w:hyperlink r:id="rId15">
              <w:r>
                <w:rPr>
                  <w:rStyle w:val="InternetLink"/>
                  <w:rFonts w:ascii="Times" w:hAnsi="Times"/>
                  <w:color w:val="0000EE"/>
                  <w:sz w:val="24"/>
                  <w:u w:val="single"/>
                </w:rPr>
                <w:t xml:space="preserve">(2018), </w:t>
              </w:r>
            </w:hyperlink>
            <w:hyperlink r:id="rId16">
              <w:r>
                <w:rPr>
                  <w:rStyle w:val="InternetLink"/>
                  <w:rFonts w:ascii="Times" w:hAnsi="Times"/>
                  <w:color w:val="0000EE"/>
                  <w:sz w:val="24"/>
                  <w:u w:val="single"/>
                </w:rPr>
                <w:t>no. 3,</w:t>
              </w:r>
            </w:hyperlink>
            <w:r>
              <w:rPr>
                <w:color w:val="000000"/>
              </w:rPr>
              <w:t xml:space="preserve"> </w:t>
            </w:r>
            <w:r>
              <w:rPr>
                <w:rFonts w:ascii="Times" w:hAnsi="Times"/>
                <w:color w:val="000000"/>
                <w:sz w:val="24"/>
              </w:rPr>
              <w:t xml:space="preserve">615–641.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impact factor </w:t>
            </w:r>
            <w:r>
              <w:rPr>
                <w:rFonts w:ascii="Times New Roman" w:hAnsi="Times New Roman"/>
                <w:color w:val="00000A"/>
                <w:sz w:val="24"/>
              </w:rPr>
              <w:t xml:space="preserve">1.260,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category M22-Mathematics, Applied Mathematics, </w:t>
            </w:r>
            <w:r>
              <w:rPr>
                <w:rFonts w:ascii="Times New Roman" w:hAnsi="Times New Roman"/>
                <w:color w:val="00000A"/>
                <w:sz w:val="24"/>
              </w:rPr>
              <w:t>https://doi.org/10.1007/s11868-017-0200-5</w:t>
            </w:r>
          </w:p>
        </w:tc>
      </w:tr>
      <w:tr>
        <w:trPr>
          <w:cantSplit w:val="false"/>
        </w:trPr>
        <w:tc>
          <w:tcPr>
            <w:tcW w:w="9593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Summary data of scientific or artistic and professional activities of a teacher</w:t>
            </w:r>
          </w:p>
        </w:tc>
      </w:tr>
      <w:tr>
        <w:trPr>
          <w:cantSplit w:val="false"/>
        </w:trPr>
        <w:tc>
          <w:tcPr>
            <w:tcW w:w="4332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total number of citations</w:t>
            </w:r>
          </w:p>
        </w:tc>
        <w:tc>
          <w:tcPr>
            <w:tcW w:w="526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5</w:t>
            </w:r>
          </w:p>
        </w:tc>
      </w:tr>
      <w:tr>
        <w:trPr>
          <w:cantSplit w:val="false"/>
        </w:trPr>
        <w:tc>
          <w:tcPr>
            <w:tcW w:w="4332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 number of papers from SCI (SSCI) list</w:t>
            </w:r>
          </w:p>
        </w:tc>
        <w:tc>
          <w:tcPr>
            <w:tcW w:w="526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</w:tr>
      <w:tr>
        <w:trPr>
          <w:cantSplit w:val="false"/>
        </w:trPr>
        <w:tc>
          <w:tcPr>
            <w:tcW w:w="4332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Current participation in projects</w:t>
            </w:r>
          </w:p>
        </w:tc>
        <w:tc>
          <w:tcPr>
            <w:tcW w:w="1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National    1  </w:t>
            </w:r>
          </w:p>
        </w:tc>
        <w:tc>
          <w:tcPr>
            <w:tcW w:w="366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International  1</w:t>
            </w:r>
          </w:p>
        </w:tc>
      </w:tr>
      <w:tr>
        <w:trPr>
          <w:cantSplit w:val="false"/>
        </w:trPr>
        <w:tc>
          <w:tcPr>
            <w:tcW w:w="17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Trainings </w:t>
            </w:r>
          </w:p>
        </w:tc>
        <w:tc>
          <w:tcPr>
            <w:tcW w:w="7845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593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Other relevant data</w:t>
            </w:r>
          </w:p>
        </w:tc>
      </w:tr>
      <w:tr>
        <w:trPr>
          <w:cantSplit w:val="false"/>
        </w:trPr>
        <w:tc>
          <w:tcPr>
            <w:tcW w:w="9593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</w:tcPr>
          <w:p>
            <w:pPr>
              <w:pStyle w:val="LO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auto"/>
    <w:pitch w:val="default"/>
  </w:font>
  <w:font w:name="Times">
    <w:altName w:val="Times New Roman"/>
    <w:charset w:val="01"/>
    <w:family w:val="auto"/>
    <w:pitch w:val="default"/>
  </w:font>
  <w:font w:name="STIXGeneral">
    <w:charset w:val="01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Arial Unicode MS" w:cs="Calibri"/>
        <w:sz w:val="22"/>
        <w:szCs w:val="22"/>
        <w:lang w:val="en-US" w:eastAsia="en-US" w:bidi="ar-SA"/>
      </w:rPr>
    </w:rPrDefault>
    <w:pPrDefault>
      <w:pPr>
        <w:spacing w:lineRule="auto" w:line="259"/>
      </w:pPr>
    </w:pPrDefault>
  </w:docDefaults>
  <w:latentStyles w:count="371" w:defQFormat="0" w:defUnhideWhenUsed="0" w:defSemiHidden="0" w:defUIPriority="99" w:defLockedState="0">
    <w:lsdException w:qFormat="1" w:uiPriority="0" w:name="Normal"/>
    <w:lsdException w:qFormat="1" w:uiPriority="9" w:name="heading 1"/>
    <w:lsdException w:qFormat="1" w:unhideWhenUsed="1" w:semiHidden="1" w:uiPriority="9" w:name="heading 2"/>
    <w:lsdException w:qFormat="1" w:unhideWhenUsed="1" w:semiHidden="1" w:uiPriority="9" w:name="heading 3"/>
    <w:lsdException w:qFormat="1" w:unhideWhenUsed="1" w:semiHidden="1" w:uiPriority="9" w:name="heading 4"/>
    <w:lsdException w:qFormat="1" w:unhideWhenUsed="1" w:semiHidden="1" w:uiPriority="9" w:name="heading 5"/>
    <w:lsdException w:qFormat="1" w:unhideWhenUsed="1" w:semiHidden="1" w:uiPriority="9" w:name="heading 6"/>
    <w:lsdException w:qFormat="1" w:unhideWhenUsed="1" w:semiHidden="1" w:uiPriority="9" w:name="heading 7"/>
    <w:lsdException w:qFormat="1" w:unhideWhenUsed="1" w:semiHidden="1" w:uiPriority="9" w:name="heading 8"/>
    <w:lsdException w:qFormat="1" w:unhideWhenUsed="1" w:semiHidden="1" w:uiPriority="9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uiPriority="39" w:name="toc 1"/>
    <w:lsdException w:unhideWhenUsed="1" w:semiHidden="1" w:uiPriority="39" w:name="toc 2"/>
    <w:lsdException w:unhideWhenUsed="1" w:semiHidden="1" w:uiPriority="39" w:name="toc 3"/>
    <w:lsdException w:unhideWhenUsed="1" w:semiHidden="1" w:uiPriority="39" w:name="toc 4"/>
    <w:lsdException w:unhideWhenUsed="1" w:semiHidden="1" w:uiPriority="39" w:name="toc 5"/>
    <w:lsdException w:unhideWhenUsed="1" w:semiHidden="1" w:uiPriority="39" w:name="toc 6"/>
    <w:lsdException w:unhideWhenUsed="1" w:semiHidden="1" w:uiPriority="39" w:name="toc 7"/>
    <w:lsdException w:unhideWhenUsed="1" w:semiHidden="1" w:uiPriority="39" w:name="toc 8"/>
    <w:lsdException w:unhideWhenUsed="1" w:semiHidden="1" w:uiPriority="39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semiHidden="1" w:name="header"/>
    <w:lsdException w:unhideWhenUsed="1" w:semiHidden="1" w:name="footer"/>
    <w:lsdException w:unhideWhenUsed="1" w:semiHidden="1" w:name="index heading"/>
    <w:lsdException w:qFormat="1" w:unhideWhenUsed="1" w:semiHidden="1" w:uiPriority="35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name="List"/>
    <w:lsdException w:unhideWhenUsed="1" w:semiHidden="1" w:name="List Bullet"/>
    <w:lsdException w:unhideWhenUsed="1" w:semiHidden="1" w:name="List Number"/>
    <w:lsdException w:unhideWhenUsed="1" w:semiHidden="1" w:name="List 2"/>
    <w:lsdException w:unhideWhenUsed="1" w:semiHidden="1" w:name="List 3"/>
    <w:lsdException w:unhideWhenUsed="1" w:semiHidden="1" w:name="List 4"/>
    <w:lsdException w:unhideWhenUsed="1" w:semiHidden="1" w:name="List 5"/>
    <w:lsdException w:unhideWhenUsed="1" w:semiHidden="1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uiPriority="10" w:name="Title"/>
    <w:lsdException w:unhideWhenUsed="1" w:semiHidden="1" w:name="Closing"/>
    <w:lsdException w:unhideWhenUsed="1" w:semiHidden="1" w:name="Signature"/>
    <w:lsdException w:unhideWhenUsed="1" w:semiHidden="1" w:uiPriority="1" w:name="Default Paragraph Font"/>
    <w:lsdException w:unhideWhenUsed="1" w:semiHidden="1" w:name="Body Text"/>
    <w:lsdException w:unhideWhenUsed="1" w:semiHidden="1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uiPriority="11" w:name="Subtitle"/>
    <w:lsdException w:unhideWhenUsed="1" w:semiHidden="1" w:name="Salutation"/>
    <w:lsdException w:unhideWhenUsed="1" w:semiHidden="1" w:name="Date"/>
    <w:lsdException w:unhideWhenUsed="1" w:semiHidden="1" w:name="Body Text First Indent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name="Hyperlink"/>
    <w:lsdException w:unhideWhenUsed="1" w:semiHidden="1" w:name="FollowedHyperlink"/>
    <w:lsdException w:qFormat="1" w:uiPriority="22" w:name="Strong"/>
    <w:lsdException w:qFormat="1" w:uiPriority="20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name="Balloon Text"/>
    <w:lsdException w:uiPriority="39" w:name="Table Grid"/>
    <w:lsdException w:unhideWhenUsed="1" w:semiHidden="1" w:name="Table Theme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semiHidden="1" w:uiPriority="37" w:name="Bibliography"/>
    <w:lsdException w:qFormat="1" w:unhideWhenUsed="1" w:semiHidden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type="paragraph" w:styleId="Normal" w:default="1">
    <w:name w:val="Normal"/>
    <w:qFormat/>
    <w:rsid w:val="0005143a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sz w:val="24"/>
      <w:szCs w:val="20"/>
      <w:lang w:val="en-GB" w:eastAsia="en-GB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ListLabel1">
    <w:name w:val="ListLabel 1"/>
    <w:rPr>
      <w:position w:val="0"/>
      <w:sz w:val="24"/>
      <w:sz w:val="24"/>
      <w:vertAlign w:val="baseline"/>
    </w:rPr>
  </w:style>
  <w:style w:type="character" w:styleId="ListLabel2">
    <w:name w:val="ListLabel 2"/>
    <w:rPr>
      <w:rFonts w:cs="Wingdings"/>
    </w:rPr>
  </w:style>
  <w:style w:type="character" w:styleId="InternetLink">
    <w:name w:val="Internet Link"/>
    <w:basedOn w:val="DefaultParagraphFont"/>
    <w:rPr>
      <w:color w:val="0000FF"/>
      <w:u w:val="single"/>
      <w:lang w:val="zxx" w:eastAsia="zxx" w:bidi="zxx"/>
    </w:rPr>
  </w:style>
  <w:style w:type="character" w:styleId="Title">
    <w:name w:val="title"/>
    <w:basedOn w:val="DefaultParagraphFont"/>
    <w:rPr/>
  </w:style>
  <w:style w:type="character" w:styleId="Emphasis">
    <w:name w:val="Emphasis"/>
    <w:basedOn w:val="DefaultParagraphFont"/>
    <w:rPr>
      <w:i/>
      <w:iCs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TextBody" w:customStyle="1">
    <w:name w:val="Text Body"/>
    <w:rsid w:val="0005143a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/>
  </w:style>
  <w:style w:type="paragraph" w:styleId="LOnormal" w:customStyle="1">
    <w:name w:val="LO-normal"/>
    <w:qFormat/>
    <w:rsid w:val="0005143a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sz w:val="24"/>
      <w:szCs w:val="20"/>
      <w:lang w:val="en-GB" w:eastAsia="en-GB" w:bidi="ar-SA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ams.org/mathscinet/search/author.html?mrauthid=866427" TargetMode="External"/><Relationship Id="rId3" Type="http://schemas.openxmlformats.org/officeDocument/2006/relationships/hyperlink" Target="http://www.ams.org/mathscinet/search/author.html?mrauthid=139595" TargetMode="External"/><Relationship Id="rId4" Type="http://schemas.openxmlformats.org/officeDocument/2006/relationships/hyperlink" Target="http://www.ams.org/mathscinet/search/author.html?mrauthid=1091657" TargetMode="External"/><Relationship Id="rId5" Type="http://schemas.openxmlformats.org/officeDocument/2006/relationships/hyperlink" Target="http://www.ams.org/mathscinet/search/journaldoc.html?id=6001" TargetMode="External"/><Relationship Id="rId6" Type="http://schemas.openxmlformats.org/officeDocument/2006/relationships/hyperlink" Target="http://www.ams.org/mathscinet/search/publications.html?pg1=ISSI&amp;s1=346245&amp;sort=oldest" TargetMode="External"/><Relationship Id="rId7" Type="http://schemas.openxmlformats.org/officeDocument/2006/relationships/hyperlink" Target="http://www.ams.org/mathscinet/search/publications.html?pg1=ISSI&amp;s1=346245&amp;sort=oldest" TargetMode="External"/><Relationship Id="rId8" Type="http://schemas.openxmlformats.org/officeDocument/2006/relationships/hyperlink" Target="http://www.ams.org/mathscinet/search/publications.html?pg1=ISSI&amp;s1=346245&amp;sort=oldest" TargetMode="External"/><Relationship Id="rId9" Type="http://schemas.openxmlformats.org/officeDocument/2006/relationships/hyperlink" Target="https://doi.org/10.2298/FIL1909867A" TargetMode="External"/><Relationship Id="rId10" Type="http://schemas.openxmlformats.org/officeDocument/2006/relationships/hyperlink" Target="https://mathscinet.ams.org/mathscinet/search/author.html?mrauthid=866427" TargetMode="External"/><Relationship Id="rId11" Type="http://schemas.openxmlformats.org/officeDocument/2006/relationships/hyperlink" Target="https://mathscinet.ams.org/mathscinet/search/author.html?mrauthid=139595" TargetMode="External"/><Relationship Id="rId12" Type="http://schemas.openxmlformats.org/officeDocument/2006/relationships/hyperlink" Target="https://mathscinet.ams.org/mathscinet/search/author.html?mrauthid=1091657" TargetMode="External"/><Relationship Id="rId13" Type="http://schemas.openxmlformats.org/officeDocument/2006/relationships/hyperlink" Target="https://mathscinet.ams.org/mathscinet/search/journaldoc.html?id=7173" TargetMode="External"/><Relationship Id="rId14" Type="http://schemas.openxmlformats.org/officeDocument/2006/relationships/hyperlink" Target="https://mathscinet.ams.org/mathscinet/search/publications.html?pg1=ISSI&amp;s1=364739" TargetMode="External"/><Relationship Id="rId15" Type="http://schemas.openxmlformats.org/officeDocument/2006/relationships/hyperlink" Target="https://mathscinet.ams.org/mathscinet/search/publications.html?pg1=ISSI&amp;s1=364739" TargetMode="External"/><Relationship Id="rId16" Type="http://schemas.openxmlformats.org/officeDocument/2006/relationships/hyperlink" Target="https://mathscinet.ams.org/mathscinet/search/publications.html?pg1=ISSI&amp;s1=364739" TargetMode="Externa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LibreOffice/4.2.5.2$MacOSX_x86 LibreOffice_project/61cb170a04bb1f12e77c884eab9192be736ec5f5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2017-02-05T17:06:00Z</dcterms:created>
  <dc:creator>Dora</dc:creator>
  <dc:language>en-US</dc:language>
  <cp:lastModifiedBy>Dora</cp:lastModifiedBy>
  <dcterms:modified xsi:type="dcterms:W3CDTF">2017-02-05T17:10:00Z</dcterms:modified>
  <cp:revision>1</cp:revision>
</cp:coreProperties>
</file>