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5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99"/>
        <w:gridCol w:w="170"/>
        <w:gridCol w:w="1400"/>
        <w:gridCol w:w="269"/>
        <w:gridCol w:w="170"/>
        <w:gridCol w:w="661"/>
        <w:gridCol w:w="885"/>
        <w:gridCol w:w="238"/>
        <w:gridCol w:w="185"/>
        <w:gridCol w:w="779"/>
        <w:gridCol w:w="344"/>
        <w:gridCol w:w="423"/>
        <w:gridCol w:w="1048"/>
        <w:gridCol w:w="170"/>
        <w:gridCol w:w="2009"/>
      </w:tblGrid>
      <w:tr>
        <w:tblPrEx>
          <w:shd w:val="clear" w:color="auto" w:fill="ced7e7"/>
        </w:tblPrEx>
        <w:trPr>
          <w:trHeight w:val="215" w:hRule="atLeast"/>
        </w:trPr>
        <w:tc>
          <w:tcPr>
            <w:tcW w:type="dxa" w:w="439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Name and family name</w:t>
            </w:r>
          </w:p>
        </w:tc>
        <w:tc>
          <w:tcPr>
            <w:tcW w:type="dxa" w:w="4957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Vladimir R. Kosti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ć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439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Title</w:t>
            </w:r>
          </w:p>
        </w:tc>
        <w:tc>
          <w:tcPr>
            <w:tcW w:type="dxa" w:w="4957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ffffff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Associated professor </w:t>
            </w:r>
          </w:p>
        </w:tc>
      </w:tr>
      <w:tr>
        <w:tblPrEx>
          <w:shd w:val="clear" w:color="auto" w:fill="ced7e7"/>
        </w:tblPrEx>
        <w:trPr>
          <w:trHeight w:val="389" w:hRule="atLeast"/>
        </w:trPr>
        <w:tc>
          <w:tcPr>
            <w:tcW w:type="dxa" w:w="439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Name of the institution employing the teacher full-time or part-time, since when</w:t>
            </w:r>
          </w:p>
        </w:tc>
        <w:tc>
          <w:tcPr>
            <w:tcW w:type="dxa" w:w="4957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Faculty of Science, Novi Sad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439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A narrow scientific or artistic field</w:t>
            </w:r>
          </w:p>
        </w:tc>
        <w:tc>
          <w:tcPr>
            <w:tcW w:type="dxa" w:w="4957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Mathematics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9350"/>
            <w:gridSpan w:val="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Academic career</w:t>
            </w:r>
          </w:p>
        </w:tc>
      </w:tr>
      <w:tr>
        <w:tblPrEx>
          <w:shd w:val="clear" w:color="auto" w:fill="ced7e7"/>
        </w:tblPrEx>
        <w:trPr>
          <w:trHeight w:val="389" w:hRule="atLeast"/>
        </w:trPr>
        <w:tc>
          <w:tcPr>
            <w:tcW w:type="dxa" w:w="260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Year  </w:t>
            </w:r>
          </w:p>
        </w:tc>
        <w:tc>
          <w:tcPr>
            <w:tcW w:type="dxa" w:w="208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Institution  </w:t>
            </w:r>
          </w:p>
        </w:tc>
        <w:tc>
          <w:tcPr>
            <w:tcW w:type="dxa" w:w="181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Scientific or art field </w:t>
            </w:r>
          </w:p>
        </w:tc>
        <w:tc>
          <w:tcPr>
            <w:tcW w:type="dxa" w:w="21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Narrow scientific, art or vocational field 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260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Election to a title</w:t>
            </w:r>
          </w:p>
        </w:tc>
        <w:tc>
          <w:tcPr>
            <w:tcW w:type="dxa" w:w="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2021</w:t>
            </w:r>
          </w:p>
        </w:tc>
        <w:tc>
          <w:tcPr>
            <w:tcW w:type="dxa" w:w="208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Faculty of Science Novi Sad</w:t>
            </w:r>
          </w:p>
        </w:tc>
        <w:tc>
          <w:tcPr>
            <w:tcW w:type="dxa" w:w="181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Applied Mathematics</w:t>
            </w:r>
          </w:p>
        </w:tc>
        <w:tc>
          <w:tcPr>
            <w:tcW w:type="dxa" w:w="21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Numerical Mathematics </w:t>
            </w:r>
          </w:p>
        </w:tc>
      </w:tr>
      <w:tr>
        <w:tblPrEx>
          <w:shd w:val="clear" w:color="auto" w:fill="ced7e7"/>
        </w:tblPrEx>
        <w:trPr>
          <w:trHeight w:val="267" w:hRule="atLeast"/>
        </w:trPr>
        <w:tc>
          <w:tcPr>
            <w:tcW w:type="dxa" w:w="260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Doctorate</w:t>
            </w:r>
          </w:p>
        </w:tc>
        <w:tc>
          <w:tcPr>
            <w:tcW w:type="dxa" w:w="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2010</w:t>
            </w:r>
          </w:p>
        </w:tc>
        <w:tc>
          <w:tcPr>
            <w:tcW w:type="dxa" w:w="208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Faculty of Science Novi Sad</w:t>
            </w:r>
          </w:p>
        </w:tc>
        <w:tc>
          <w:tcPr>
            <w:tcW w:type="dxa" w:w="181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Applied Mathematics</w:t>
            </w:r>
          </w:p>
        </w:tc>
        <w:tc>
          <w:tcPr>
            <w:tcW w:type="dxa" w:w="21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Mathematics</w:t>
            </w:r>
          </w:p>
        </w:tc>
      </w:tr>
      <w:tr>
        <w:tblPrEx>
          <w:shd w:val="clear" w:color="auto" w:fill="ced7e7"/>
        </w:tblPrEx>
        <w:trPr>
          <w:trHeight w:val="267" w:hRule="atLeast"/>
        </w:trPr>
        <w:tc>
          <w:tcPr>
            <w:tcW w:type="dxa" w:w="2608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Diploma</w:t>
            </w:r>
          </w:p>
        </w:tc>
        <w:tc>
          <w:tcPr>
            <w:tcW w:type="dxa" w:w="6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2003</w:t>
            </w:r>
          </w:p>
        </w:tc>
        <w:tc>
          <w:tcPr>
            <w:tcW w:type="dxa" w:w="208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Faculty of Science Novi Sad</w:t>
            </w:r>
          </w:p>
        </w:tc>
        <w:tc>
          <w:tcPr>
            <w:tcW w:type="dxa" w:w="181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Applied Mathematics</w:t>
            </w:r>
          </w:p>
        </w:tc>
        <w:tc>
          <w:tcPr>
            <w:tcW w:type="dxa" w:w="21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Mathematics</w:t>
            </w:r>
          </w:p>
        </w:tc>
      </w:tr>
      <w:tr>
        <w:tblPrEx>
          <w:shd w:val="clear" w:color="auto" w:fill="ced7e7"/>
        </w:tblPrEx>
        <w:trPr>
          <w:trHeight w:val="267" w:hRule="atLeast"/>
        </w:trPr>
        <w:tc>
          <w:tcPr>
            <w:tcW w:type="dxa" w:w="9350"/>
            <w:gridSpan w:val="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shd w:val="nil" w:color="auto" w:fill="auto"/>
                <w:rtl w:val="0"/>
                <w:lang w:val="en-US"/>
              </w:rPr>
              <w:t>List of subject the teacher has been accredited for in the first or the second degree of studies</w:t>
            </w:r>
          </w:p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5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  <w:rPr>
                <w:rFonts w:ascii="Times New Roman" w:cs="Times New Roman" w:hAnsi="Times New Roman" w:eastAsia="Times New Roman"/>
                <w:sz w:val="16"/>
                <w:szCs w:val="16"/>
                <w:shd w:val="nil" w:color="auto" w:fill="auto"/>
              </w:rPr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No. </w:t>
            </w:r>
          </w:p>
          <w:p>
            <w:pPr>
              <w:pStyle w:val="Body"/>
              <w:tabs>
                <w:tab w:val="left" w:pos="567"/>
              </w:tabs>
              <w:bidi w:val="0"/>
              <w:spacing w:after="6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1,2,3....</w:t>
            </w:r>
          </w:p>
        </w:tc>
        <w:tc>
          <w:tcPr>
            <w:tcW w:type="dxa" w:w="157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Code of the subject</w:t>
            </w:r>
          </w:p>
        </w:tc>
        <w:tc>
          <w:tcPr>
            <w:tcW w:type="dxa" w:w="2407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Name of the subject     </w:t>
            </w:r>
          </w:p>
        </w:tc>
        <w:tc>
          <w:tcPr>
            <w:tcW w:type="dxa" w:w="154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Model of teaching</w:t>
            </w:r>
          </w:p>
        </w:tc>
        <w:tc>
          <w:tcPr>
            <w:tcW w:type="dxa" w:w="12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Name of the study program </w:t>
            </w:r>
          </w:p>
        </w:tc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Type of studies (</w:t>
            </w:r>
            <w:r>
              <w:rPr>
                <w:rFonts w:ascii="Times New Roman" w:hAnsi="Times New Roman" w:hint="default"/>
                <w:sz w:val="16"/>
                <w:szCs w:val="16"/>
                <w:shd w:val="nil" w:color="auto" w:fill="auto"/>
                <w:rtl w:val="0"/>
                <w:lang w:val="en-US"/>
              </w:rPr>
              <w:t>ОСС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16"/>
                <w:szCs w:val="16"/>
                <w:shd w:val="nil" w:color="auto" w:fill="auto"/>
                <w:rtl w:val="0"/>
                <w:lang w:val="en-US"/>
              </w:rPr>
              <w:t>ССС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16"/>
                <w:szCs w:val="16"/>
                <w:shd w:val="nil" w:color="auto" w:fill="auto"/>
                <w:rtl w:val="0"/>
                <w:lang w:val="en-US"/>
              </w:rPr>
              <w:t>ОАС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16"/>
                <w:szCs w:val="16"/>
                <w:shd w:val="nil" w:color="auto" w:fill="auto"/>
                <w:rtl w:val="0"/>
                <w:lang w:val="en-US"/>
              </w:rPr>
              <w:t>МСС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16"/>
                <w:szCs w:val="16"/>
                <w:shd w:val="nil" w:color="auto" w:fill="auto"/>
                <w:rtl w:val="0"/>
                <w:lang w:val="en-US"/>
              </w:rPr>
              <w:t>МАС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16"/>
                <w:szCs w:val="16"/>
                <w:shd w:val="nil" w:color="auto" w:fill="auto"/>
                <w:rtl w:val="0"/>
                <w:lang w:val="en-US"/>
              </w:rPr>
              <w:t>САС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595" w:hRule="atLeast"/>
        </w:trPr>
        <w:tc>
          <w:tcPr>
            <w:tcW w:type="dxa" w:w="5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57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MDS03</w:t>
            </w:r>
          </w:p>
        </w:tc>
        <w:tc>
          <w:tcPr>
            <w:tcW w:type="dxa" w:w="2407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Linear Algebra 1</w:t>
            </w:r>
          </w:p>
        </w:tc>
        <w:tc>
          <w:tcPr>
            <w:tcW w:type="dxa" w:w="154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Applied Mathematics - Data Science</w:t>
            </w:r>
          </w:p>
        </w:tc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MAS</w:t>
            </w:r>
          </w:p>
        </w:tc>
      </w:tr>
      <w:tr>
        <w:tblPrEx>
          <w:shd w:val="clear" w:color="auto" w:fill="ced7e7"/>
        </w:tblPrEx>
        <w:trPr>
          <w:trHeight w:val="595" w:hRule="atLeast"/>
        </w:trPr>
        <w:tc>
          <w:tcPr>
            <w:tcW w:type="dxa" w:w="5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57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MDS15</w:t>
            </w:r>
          </w:p>
        </w:tc>
        <w:tc>
          <w:tcPr>
            <w:tcW w:type="dxa" w:w="2407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Linear Algebra 2</w:t>
            </w:r>
          </w:p>
        </w:tc>
        <w:tc>
          <w:tcPr>
            <w:tcW w:type="dxa" w:w="154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Applied Mathematics - Data Science</w:t>
            </w:r>
          </w:p>
        </w:tc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MAS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9350"/>
            <w:gridSpan w:val="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shd w:val="nil" w:color="auto" w:fill="auto"/>
                <w:rtl w:val="0"/>
                <w:lang w:val="en-US"/>
              </w:rPr>
              <w:t>Representative references (minimum 5, maximum 10)</w:t>
            </w:r>
          </w:p>
        </w:tc>
      </w:tr>
      <w:tr>
        <w:tblPrEx>
          <w:shd w:val="clear" w:color="auto" w:fill="ced7e7"/>
        </w:tblPrEx>
        <w:trPr>
          <w:trHeight w:val="363" w:hRule="atLeast"/>
        </w:trPr>
        <w:tc>
          <w:tcPr>
            <w:tcW w:type="dxa" w:w="76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858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Lj. Cvetkovi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and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E. 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Š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anca, From pseudospectra of diagonal blocks to pseudospectrum of a full matrix, Journal of Comput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and App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Mathematics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386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, 113265 (20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21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)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DOI: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10.1016/j.cam.2020.113265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  <w:lang w:val="en-US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363" w:hRule="atLeast"/>
        </w:trPr>
        <w:tc>
          <w:tcPr>
            <w:tcW w:type="dxa" w:w="76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858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E. 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Š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anca, 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and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Lj. Cvetkovi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F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ractional pseudospectra and their localizations, Linear Algebra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and its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Applications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559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, 244-269 (201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)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DOI: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10.1016/j.laa.2018.08.035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  <w:lang w:val="en-US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363" w:hRule="atLeast"/>
        </w:trPr>
        <w:tc>
          <w:tcPr>
            <w:tcW w:type="dxa" w:w="76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858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and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D. Garda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š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evi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, On the Ger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š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gorin-type localizations for nonlinear eigenvalue problems, Applied Mathematics and Computation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337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), 179-189 (201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)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DOI: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10.1016/j.amc.2018.05.018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  <w:lang w:val="en-US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363" w:hRule="atLeast"/>
        </w:trPr>
        <w:tc>
          <w:tcPr>
            <w:tcW w:type="dxa" w:w="76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858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Lj. Cvetkovi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, On the inertia of the block H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‐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matrices,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Numerical Linear Algebra with Applications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24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), 435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–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460 (2017)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DOI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 xml:space="preserve">Č 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10.1002/nla.2101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543" w:hRule="atLeast"/>
        </w:trPr>
        <w:tc>
          <w:tcPr>
            <w:tcW w:type="dxa" w:w="76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858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16"/>
                <w:szCs w:val="16"/>
                <w:rtl w:val="0"/>
              </w:rPr>
              <w:t>ć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S. Salzo and M. Pontil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 xml:space="preserve">, Batch Greenkhorn Algorithm for Entropic-Regularized Multimarginal Optimal Transport: Linear Rate of Convergence and Iteration Complexity, 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Proceedings of the 39th International Conference on Machine Learning,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PMLR 162:11529-11558</w:t>
            </w:r>
            <w:r>
              <w:rPr>
                <w:rFonts w:ascii="Times New Roman" w:hAnsi="Times New Roman" w:hint="default"/>
                <w:sz w:val="16"/>
                <w:szCs w:val="16"/>
                <w:rtl w:val="0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>(</w:t>
            </w:r>
            <w:r>
              <w:rPr>
                <w:rFonts w:ascii="Times New Roman" w:hAnsi="Times New Roman"/>
                <w:sz w:val="16"/>
                <w:szCs w:val="16"/>
                <w:rtl w:val="0"/>
              </w:rPr>
              <w:t>2022</w:t>
            </w:r>
            <w:r>
              <w:rPr>
                <w:rFonts w:ascii="Times New Roman" w:hAnsi="Times New Roman"/>
                <w:sz w:val="16"/>
                <w:szCs w:val="16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rtl w:val="0"/>
                <w:lang w:val="en-US"/>
              </w:rPr>
              <w:t>(M33)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9350"/>
            <w:gridSpan w:val="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 w:val="1"/>
                <w:bCs w:val="1"/>
                <w:sz w:val="16"/>
                <w:szCs w:val="16"/>
                <w:shd w:val="nil" w:color="auto" w:fill="auto"/>
                <w:rtl w:val="0"/>
                <w:lang w:val="en-US"/>
              </w:rPr>
              <w:t>Cumulative information about teachers scientific, art or vocational activity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4154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Total number of citations</w:t>
            </w:r>
          </w:p>
        </w:tc>
        <w:tc>
          <w:tcPr>
            <w:tcW w:type="dxa" w:w="519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752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4154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Total number of papers from the SCI (SSCI) list</w:t>
            </w:r>
          </w:p>
        </w:tc>
        <w:tc>
          <w:tcPr>
            <w:tcW w:type="dxa" w:w="519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38</w:t>
            </w:r>
          </w:p>
        </w:tc>
      </w:tr>
      <w:tr>
        <w:tblPrEx>
          <w:shd w:val="clear" w:color="auto" w:fill="ced7e7"/>
        </w:tblPrEx>
        <w:trPr>
          <w:trHeight w:val="183" w:hRule="atLeast"/>
        </w:trPr>
        <w:tc>
          <w:tcPr>
            <w:tcW w:type="dxa" w:w="4154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>Current participation in projects</w:t>
            </w:r>
          </w:p>
        </w:tc>
        <w:tc>
          <w:tcPr>
            <w:tcW w:type="dxa" w:w="154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National 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 0</w:t>
            </w:r>
          </w:p>
        </w:tc>
        <w:tc>
          <w:tcPr>
            <w:tcW w:type="dxa" w:w="3649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International </w:t>
            </w: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 1</w:t>
            </w:r>
          </w:p>
        </w:tc>
      </w:tr>
      <w:tr>
        <w:tblPrEx>
          <w:shd w:val="clear" w:color="auto" w:fill="ced7e7"/>
        </w:tblPrEx>
        <w:trPr>
          <w:trHeight w:val="1050" w:hRule="atLeast"/>
        </w:trPr>
        <w:tc>
          <w:tcPr>
            <w:tcW w:type="dxa" w:w="243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Specializations  </w:t>
            </w:r>
          </w:p>
        </w:tc>
        <w:tc>
          <w:tcPr>
            <w:tcW w:type="dxa" w:w="6911"/>
            <w:gridSpan w:val="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Roman" w:hAnsi="Times Roman"/>
                <w:sz w:val="16"/>
                <w:szCs w:val="16"/>
                <w:rtl w:val="0"/>
              </w:rPr>
              <w:t xml:space="preserve">2013/14 Post-doctoral Researcher in Numerical Mathematics, Fellow of IMU Berlin Einstein Foundation Program, Technical University Berlin, Germany </w:t>
            </w:r>
          </w:p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Roman" w:hAnsi="Times Roman"/>
                <w:sz w:val="16"/>
                <w:szCs w:val="16"/>
                <w:rtl w:val="0"/>
              </w:rPr>
              <w:t>2020-2022 Post-doctoral Researcher in Machine Learning and Statistical Computing, Italian Institute of Technology, Genova, Italy</w:t>
            </w:r>
          </w:p>
        </w:tc>
      </w:tr>
    </w:tbl>
    <w:p>
      <w:pPr>
        <w:pStyle w:val="Body"/>
        <w:widowControl w:val="0"/>
        <w:spacing w:line="240" w:lineRule="auto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