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52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352"/>
        <w:gridCol w:w="825"/>
        <w:gridCol w:w="105"/>
        <w:gridCol w:w="1012"/>
        <w:gridCol w:w="950"/>
        <w:gridCol w:w="321"/>
        <w:gridCol w:w="330"/>
        <w:gridCol w:w="1425"/>
        <w:gridCol w:w="650"/>
        <w:gridCol w:w="1965"/>
        <w:gridCol w:w="1290"/>
        <w:tblGridChange w:id="0">
          <w:tblGrid>
            <w:gridCol w:w="627"/>
            <w:gridCol w:w="352"/>
            <w:gridCol w:w="825"/>
            <w:gridCol w:w="105"/>
            <w:gridCol w:w="1012"/>
            <w:gridCol w:w="950"/>
            <w:gridCol w:w="321"/>
            <w:gridCol w:w="330"/>
            <w:gridCol w:w="1425"/>
            <w:gridCol w:w="650"/>
            <w:gridCol w:w="1965"/>
            <w:gridCol w:w="1290"/>
          </w:tblGrid>
        </w:tblGridChange>
      </w:tblGrid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First name, middle initial, last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hd w:fill="auto" w:val="clea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Danijela N. Boberić-Krstićev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hd w:fill="auto" w:val="clea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Associate professor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Affiliation, year of earliest employment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ageBreakBefore w:val="0"/>
              <w:shd w:fill="auto" w:val="clear"/>
              <w:ind w:right="629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Faculty of Sciences, University of Novi Sad</w:t>
            </w:r>
          </w:p>
          <w:p w:rsidR="00000000" w:rsidDel="00000000" w:rsidP="00000000" w:rsidRDefault="00000000" w:rsidRPr="00000000" w14:paraId="00000022">
            <w:pPr>
              <w:pageBreakBefore w:val="0"/>
              <w:shd w:fill="auto" w:val="clear"/>
              <w:ind w:right="629" w:hanging="2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01.03.2007.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Field of scientific expertise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pageBreakBefore w:val="0"/>
              <w:shd w:fill="auto" w:val="clea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Information systems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Academic carrier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Year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Institution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Scientific field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pageBreakBefore w:val="0"/>
              <w:shd w:fill="auto" w:val="clea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Elected to current 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Information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PhD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Information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Specialisation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MSc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2007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Information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BSc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pageBreakBefore w:val="0"/>
              <w:shd w:fill="auto" w:val="clear"/>
              <w:ind w:left="14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Information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Courses Assigned at the Institution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Course title</w:t>
            </w:r>
            <w:r w:rsidDel="00000000" w:rsidR="00000000" w:rsidRPr="00000000">
              <w:rPr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95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Study program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Hours of active teaching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Modeliranje informacionih sistema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pageBreakBefore w:val="0"/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BSc Information technology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Analiza velikih podataka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MSc Computer science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Razvoj informacionih sistema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BSc Information technology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NoSQL </w:t>
            </w:r>
            <w:r w:rsidDel="00000000" w:rsidR="00000000" w:rsidRPr="00000000">
              <w:rPr>
                <w:rtl w:val="0"/>
              </w:rPr>
              <w:t xml:space="preserve">baze podataka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pageBreakBefore w:val="0"/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BSc Information technology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Baze podataka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MSc Mathematics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Obrada i analiza velikih baza podataka u fizici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  <w:t xml:space="preserve">Sc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Physics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Representative publications (minimum 5, not more than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TEŠENDIĆ, D., BOBERIĆ-KRSTIĆEV, D., PREDRAG, M., BRDAR, S., PANIĆ, M., MINIĆ, V. and ŠIKOPARIJA, B. (2020) RealForAll: Real-time System for Automatic Detection of Airborne Pollen. Enterprise Information Systems, pp. 1-17, DOI: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https://doi.org/10.1080/17517575.2020.179339</w:t>
              </w:r>
            </w:hyperlink>
            <w:r w:rsidDel="00000000" w:rsidR="00000000" w:rsidRPr="00000000">
              <w:rPr>
                <w:rtl w:val="0"/>
              </w:rPr>
              <w:t xml:space="preserve">, M21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TEŠENDIĆ, D. and BOBERIĆ-KRSTIĆEV, D. (2019) Business Intelligence in the Service of Libraries. Information Technology and Libraries, 38 (4), pp. 98-113 DIO: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https://doi.org/10.6017/ital.v38i4.10599</w:t>
              </w:r>
            </w:hyperlink>
            <w:r w:rsidDel="00000000" w:rsidR="00000000" w:rsidRPr="00000000">
              <w:rPr>
                <w:rtl w:val="0"/>
              </w:rPr>
              <w:t xml:space="preserve"> M22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BOBERIĆ-KRSTIĆEV, D. and TEŠENDIĆ, D. (2019) BISIS Software as a Service. In:Proceedings of the 9th International Conference on Information Society and Technology, Kopaonik, 2019: Society for Information Systems and Computer Networks, pp. 58-61, ISBN:978-86-85525-24-7,  M33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BOBERIĆ-KRSTIĆEV, D., TEŠENDIĆ, D. and KUMAR VERMA, B. (2016) Inventory of a library collection using Android application. Electronic Library, 34 (5) DOI: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https://doi.org/10.1108/EL-08-2015-0150</w:t>
              </w:r>
            </w:hyperlink>
            <w:r w:rsidDel="00000000" w:rsidR="00000000" w:rsidRPr="00000000">
              <w:rPr>
                <w:rtl w:val="0"/>
              </w:rPr>
              <w:t xml:space="preserve"> M22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BOBERIĆ-KRSTIĆEV, D. and TEŠENDIĆ, D. (2015) Mixed approach in creating a university union catalogue. Electronic Library, 33 (6), pp. 970-989 DOI: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https://doi.org/10.1108/EL-02-2014-0026</w:t>
              </w:r>
            </w:hyperlink>
            <w:r w:rsidDel="00000000" w:rsidR="00000000" w:rsidRPr="00000000">
              <w:rPr>
                <w:rtl w:val="0"/>
              </w:rPr>
              <w:t xml:space="preserve"> M22</w:t>
            </w:r>
          </w:p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  <w:t xml:space="preserve">TEŠENDIĆ, D. and BOBERIĆ-KRSTIĆEV, D. (2015) Web service for connecting visually impaired people with libraries. Aslib Journal of Information Management, 67 (2), pp. 230-243 DOI: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https://doi.org/10.1108/AJIM-11-2014-0149</w:t>
              </w:r>
            </w:hyperlink>
            <w:r w:rsidDel="00000000" w:rsidR="00000000" w:rsidRPr="00000000">
              <w:rPr>
                <w:rtl w:val="0"/>
              </w:rPr>
              <w:t xml:space="preserve"> M23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BOBERIĆ-KRSTIĆEV, D. (2013) Information Retrieval Using a Middleware Approach. Information Technology and Libraries, 32 (1), pp. 54-69 DOI: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https://doi.org/10.6017/ital.v32i1.1941</w:t>
              </w:r>
            </w:hyperlink>
            <w:r w:rsidDel="00000000" w:rsidR="00000000" w:rsidRPr="00000000">
              <w:rPr>
                <w:rtl w:val="0"/>
              </w:rPr>
              <w:t xml:space="preserve"> M22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9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Other indicators of scientific 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pageBreakBefore w:val="0"/>
              <w:shd w:fill="auto" w:val="clea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Total number of citations (w/o self-cit.)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1">
            <w:pPr>
              <w:pageBreakBefore w:val="0"/>
              <w:shd w:fill="auto" w:val="clea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Total number of SCI papers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Grants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Domestic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International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Specializations, guest professor-ships, etc.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Other relevant data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pageBreakBefore w:val="0"/>
        <w:shd w:fill="auto" w:val="clear"/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i.org/10.6017/ital.v32i1.1941" TargetMode="External"/><Relationship Id="rId10" Type="http://schemas.openxmlformats.org/officeDocument/2006/relationships/hyperlink" Target="https://doi.org/10.1108/AJIM-11-2014-0149" TargetMode="External"/><Relationship Id="rId9" Type="http://schemas.openxmlformats.org/officeDocument/2006/relationships/hyperlink" Target="https://doi.org/10.1108/EL-02-2014-0026" TargetMode="External"/><Relationship Id="rId5" Type="http://schemas.openxmlformats.org/officeDocument/2006/relationships/styles" Target="styles.xml"/><Relationship Id="rId6" Type="http://schemas.openxmlformats.org/officeDocument/2006/relationships/hyperlink" Target="https://doi.org/10.1080/17517575.2020.179339" TargetMode="External"/><Relationship Id="rId7" Type="http://schemas.openxmlformats.org/officeDocument/2006/relationships/hyperlink" Target="https://doi.org/10.6017/ital.v38i4.10599" TargetMode="External"/><Relationship Id="rId8" Type="http://schemas.openxmlformats.org/officeDocument/2006/relationships/hyperlink" Target="https://doi.org/10.1108/EL-08-2015-01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