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1" w:type="dxa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6"/>
        <w:gridCol w:w="210"/>
        <w:gridCol w:w="1010"/>
        <w:gridCol w:w="280"/>
        <w:gridCol w:w="750"/>
        <w:gridCol w:w="1500"/>
        <w:gridCol w:w="1940"/>
        <w:gridCol w:w="1120"/>
        <w:gridCol w:w="22"/>
        <w:gridCol w:w="1578"/>
        <w:gridCol w:w="1345"/>
      </w:tblGrid>
      <w:tr w:rsidR="00D36AEA" w:rsidTr="005B708A">
        <w:trPr>
          <w:trHeight w:val="227"/>
          <w:jc w:val="center"/>
        </w:trPr>
        <w:tc>
          <w:tcPr>
            <w:tcW w:w="2706" w:type="dxa"/>
            <w:gridSpan w:val="5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7505" w:type="dxa"/>
            <w:gridSpan w:val="6"/>
            <w:vAlign w:val="center"/>
          </w:tcPr>
          <w:p w:rsidR="00D36AEA" w:rsidRDefault="00202AC6" w:rsidP="008B255F">
            <w:pPr>
              <w:spacing w:after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Aleksandar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Pavić</w:t>
            </w:r>
            <w:proofErr w:type="spellEnd"/>
          </w:p>
        </w:tc>
      </w:tr>
      <w:tr w:rsidR="00D36AEA" w:rsidTr="005B708A">
        <w:trPr>
          <w:trHeight w:val="227"/>
          <w:jc w:val="center"/>
        </w:trPr>
        <w:tc>
          <w:tcPr>
            <w:tcW w:w="2706" w:type="dxa"/>
            <w:gridSpan w:val="5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7505" w:type="dxa"/>
            <w:gridSpan w:val="6"/>
            <w:vAlign w:val="center"/>
          </w:tcPr>
          <w:p w:rsidR="00D36AEA" w:rsidRDefault="003A2C02" w:rsidP="008B255F">
            <w:pPr>
              <w:spacing w:after="0"/>
              <w:rPr>
                <w:sz w:val="22"/>
                <w:szCs w:val="22"/>
                <w:lang w:val="en-US"/>
              </w:rPr>
            </w:pPr>
            <w:r w:rsidRPr="003A2C02">
              <w:rPr>
                <w:sz w:val="22"/>
                <w:szCs w:val="22"/>
                <w:lang w:val="en-GB"/>
              </w:rPr>
              <w:t>Associate Research Professor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2706" w:type="dxa"/>
            <w:gridSpan w:val="5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7505" w:type="dxa"/>
            <w:gridSpan w:val="6"/>
            <w:vAlign w:val="center"/>
          </w:tcPr>
          <w:p w:rsidR="00D36AEA" w:rsidRDefault="00AB66B3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 xml:space="preserve">Molecular Biology and Drugs </w:t>
            </w:r>
            <w:r w:rsidR="003A2C02">
              <w:rPr>
                <w:sz w:val="22"/>
                <w:szCs w:val="22"/>
                <w:lang w:val="en-GB"/>
              </w:rPr>
              <w:t>Toxicology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956" w:type="dxa"/>
            <w:gridSpan w:val="4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750" w:type="dxa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3440" w:type="dxa"/>
            <w:gridSpan w:val="2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2923" w:type="dxa"/>
            <w:gridSpan w:val="2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956" w:type="dxa"/>
            <w:gridSpan w:val="4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750" w:type="dxa"/>
          </w:tcPr>
          <w:p w:rsidR="00D36AEA" w:rsidRDefault="008B5D0D" w:rsidP="008B255F">
            <w:pPr>
              <w:spacing w:after="0"/>
              <w:rPr>
                <w:lang w:val="en-US"/>
              </w:rPr>
            </w:pPr>
            <w:r>
              <w:t>2016</w:t>
            </w:r>
          </w:p>
        </w:tc>
        <w:tc>
          <w:tcPr>
            <w:tcW w:w="3440" w:type="dxa"/>
            <w:gridSpan w:val="2"/>
          </w:tcPr>
          <w:p w:rsidR="00D36AEA" w:rsidRDefault="008B5D0D" w:rsidP="008B255F">
            <w:pPr>
              <w:spacing w:after="0"/>
              <w:rPr>
                <w:lang w:val="en-US"/>
              </w:rPr>
            </w:pPr>
            <w:r>
              <w:t xml:space="preserve">University of </w:t>
            </w:r>
            <w:r w:rsidR="003A2C02">
              <w:t>Belgrade</w:t>
            </w:r>
            <w:r w:rsidR="003B448E">
              <w:t xml:space="preserve">, </w:t>
            </w:r>
            <w:r w:rsidR="003B448E" w:rsidRPr="003B448E">
              <w:t>Institute of Molecular Genetics and Genetic Engineering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36AEA" w:rsidRDefault="003B448E" w:rsidP="008B255F">
            <w:pPr>
              <w:spacing w:after="0"/>
              <w:rPr>
                <w:lang w:val="en-US"/>
              </w:rPr>
            </w:pPr>
            <w:r>
              <w:t>Molecular Biology</w:t>
            </w:r>
          </w:p>
        </w:tc>
        <w:tc>
          <w:tcPr>
            <w:tcW w:w="2923" w:type="dxa"/>
            <w:gridSpan w:val="2"/>
            <w:shd w:val="clear" w:color="auto" w:fill="auto"/>
          </w:tcPr>
          <w:p w:rsidR="00D36AEA" w:rsidRDefault="00D93DFF" w:rsidP="008B255F">
            <w:pPr>
              <w:spacing w:after="0"/>
              <w:rPr>
                <w:lang w:val="en-US"/>
              </w:rPr>
            </w:pPr>
            <w:r w:rsidRPr="003A1C5C">
              <w:rPr>
                <w:sz w:val="18"/>
                <w:szCs w:val="18"/>
              </w:rPr>
              <w:t>Molecular Biology, DrugsToxicology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956" w:type="dxa"/>
            <w:gridSpan w:val="4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750" w:type="dxa"/>
          </w:tcPr>
          <w:p w:rsidR="00D36AEA" w:rsidRDefault="003B448E" w:rsidP="008B255F">
            <w:pPr>
              <w:spacing w:after="0"/>
              <w:rPr>
                <w:lang w:val="en-US"/>
              </w:rPr>
            </w:pPr>
            <w:r>
              <w:t>2012</w:t>
            </w:r>
          </w:p>
        </w:tc>
        <w:tc>
          <w:tcPr>
            <w:tcW w:w="3440" w:type="dxa"/>
            <w:gridSpan w:val="2"/>
          </w:tcPr>
          <w:p w:rsidR="00D36AEA" w:rsidRDefault="008B5D0D" w:rsidP="008B255F">
            <w:pPr>
              <w:spacing w:after="0"/>
              <w:rPr>
                <w:lang w:val="en-US"/>
              </w:rPr>
            </w:pPr>
            <w:r>
              <w:t xml:space="preserve">University of </w:t>
            </w:r>
            <w:r w:rsidR="003A2C02">
              <w:t>Belgrade</w:t>
            </w:r>
            <w:r>
              <w:t xml:space="preserve">, </w:t>
            </w:r>
            <w:r w:rsidR="003A2C02">
              <w:t>Faculty of Biology</w:t>
            </w:r>
          </w:p>
        </w:tc>
        <w:tc>
          <w:tcPr>
            <w:tcW w:w="1142" w:type="dxa"/>
            <w:gridSpan w:val="2"/>
            <w:shd w:val="clear" w:color="auto" w:fill="auto"/>
          </w:tcPr>
          <w:p w:rsidR="00D36AEA" w:rsidRDefault="003B448E" w:rsidP="008B255F">
            <w:pPr>
              <w:spacing w:after="0"/>
              <w:rPr>
                <w:lang w:val="en-US"/>
              </w:rPr>
            </w:pPr>
            <w:r>
              <w:t>Biology</w:t>
            </w:r>
          </w:p>
        </w:tc>
        <w:tc>
          <w:tcPr>
            <w:tcW w:w="2923" w:type="dxa"/>
            <w:gridSpan w:val="2"/>
            <w:shd w:val="clear" w:color="auto" w:fill="auto"/>
          </w:tcPr>
          <w:p w:rsidR="00D36AEA" w:rsidRDefault="00541EE6" w:rsidP="008B255F">
            <w:pPr>
              <w:spacing w:after="0"/>
              <w:rPr>
                <w:lang w:val="en-US"/>
              </w:rPr>
            </w:pPr>
            <w:r>
              <w:t>Biology (</w:t>
            </w:r>
            <w:r w:rsidR="003B448E">
              <w:t>Microbiology</w:t>
            </w:r>
            <w:r>
              <w:t>)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956" w:type="dxa"/>
            <w:gridSpan w:val="4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750" w:type="dxa"/>
            <w:vAlign w:val="center"/>
          </w:tcPr>
          <w:p w:rsidR="00D36AEA" w:rsidRDefault="003B448E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2006</w:t>
            </w:r>
          </w:p>
        </w:tc>
        <w:tc>
          <w:tcPr>
            <w:tcW w:w="3440" w:type="dxa"/>
            <w:gridSpan w:val="2"/>
            <w:vAlign w:val="center"/>
          </w:tcPr>
          <w:p w:rsidR="00D36AEA" w:rsidRDefault="003A2C02" w:rsidP="008B255F">
            <w:pPr>
              <w:spacing w:after="0"/>
              <w:rPr>
                <w:lang w:val="en-US"/>
              </w:rPr>
            </w:pPr>
            <w:r>
              <w:t>University of Belgrade, Faculty of Biology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D36AEA" w:rsidRDefault="00541EE6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  <w:tc>
          <w:tcPr>
            <w:tcW w:w="2923" w:type="dxa"/>
            <w:gridSpan w:val="2"/>
            <w:shd w:val="clear" w:color="auto" w:fill="auto"/>
            <w:vAlign w:val="center"/>
          </w:tcPr>
          <w:p w:rsidR="00D36AEA" w:rsidRDefault="003B448E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Biology (Biology of microorganisms)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956" w:type="dxa"/>
            <w:gridSpan w:val="4"/>
            <w:vAlign w:val="center"/>
          </w:tcPr>
          <w:p w:rsidR="00D36AEA" w:rsidRDefault="008B5D0D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750" w:type="dxa"/>
            <w:vAlign w:val="center"/>
          </w:tcPr>
          <w:p w:rsidR="00D36AEA" w:rsidRDefault="00541EE6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2006</w:t>
            </w:r>
          </w:p>
        </w:tc>
        <w:tc>
          <w:tcPr>
            <w:tcW w:w="3440" w:type="dxa"/>
            <w:gridSpan w:val="2"/>
            <w:vAlign w:val="center"/>
          </w:tcPr>
          <w:p w:rsidR="00D36AEA" w:rsidRDefault="003A2C02" w:rsidP="008B255F">
            <w:pPr>
              <w:spacing w:after="0"/>
              <w:rPr>
                <w:lang w:val="en-US"/>
              </w:rPr>
            </w:pPr>
            <w:r>
              <w:t>University of Belgrade, Faculty of Biology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  <w:tc>
          <w:tcPr>
            <w:tcW w:w="2923" w:type="dxa"/>
            <w:gridSpan w:val="2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lang w:val="en-US"/>
              </w:rPr>
            </w:pPr>
            <w:r>
              <w:rPr>
                <w:lang w:val="en-GB"/>
              </w:rPr>
              <w:t>Biology</w:t>
            </w:r>
            <w:r w:rsidR="003B448E">
              <w:rPr>
                <w:lang w:val="en-GB"/>
              </w:rPr>
              <w:t xml:space="preserve"> (Biology of microorganisms)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0211" w:type="dxa"/>
            <w:gridSpan w:val="11"/>
            <w:vAlign w:val="center"/>
          </w:tcPr>
          <w:p w:rsidR="00D36AEA" w:rsidRDefault="008B5D0D" w:rsidP="008B255F">
            <w:pPr>
              <w:spacing w:after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666" w:type="dxa"/>
            <w:gridSpan w:val="2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36AEA" w:rsidRDefault="008B5D0D" w:rsidP="008B255F">
            <w:pPr>
              <w:spacing w:after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8535" w:type="dxa"/>
            <w:gridSpan w:val="8"/>
            <w:vAlign w:val="center"/>
          </w:tcPr>
          <w:p w:rsidR="00D36AEA" w:rsidRDefault="008B5D0D" w:rsidP="008B255F">
            <w:pPr>
              <w:spacing w:after="0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D36AEA" w:rsidTr="005B708A">
        <w:trPr>
          <w:trHeight w:val="227"/>
          <w:jc w:val="center"/>
        </w:trPr>
        <w:tc>
          <w:tcPr>
            <w:tcW w:w="10211" w:type="dxa"/>
            <w:gridSpan w:val="11"/>
            <w:vAlign w:val="center"/>
          </w:tcPr>
          <w:p w:rsidR="00D36AEA" w:rsidRDefault="008B5D0D" w:rsidP="008B255F">
            <w:pPr>
              <w:spacing w:after="0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 most significant papers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Pavić</w:t>
            </w:r>
            <w:proofErr w:type="spellEnd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, A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. ...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Djuran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, M.I. </w:t>
            </w:r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</w:t>
            </w:r>
            <w:proofErr w:type="gram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Silver(</w:t>
            </w:r>
            <w:proofErr w:type="gram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I) complexes with 4,7-phenanthroline efficient in rescuing the 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zebrafish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embryos of lethal Candida 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albicans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infection. </w:t>
            </w:r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J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Inorg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, 195: 149-163.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Pavić</w:t>
            </w:r>
            <w:proofErr w:type="spellEnd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, A</w:t>
            </w:r>
            <w:proofErr w:type="gram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Knežević</w:t>
            </w:r>
            <w:proofErr w:type="gram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-Vukčević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J. </w:t>
            </w:r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Wild edible onions -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Allium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flavum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and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Allium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carinatum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– successfully prevent adverse effects of chemotherapeutic drug doxorubicin. </w:t>
            </w:r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Biomed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Pharmacother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, 109, 2482-2491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Tran, J. P</w:t>
            </w:r>
            <w:proofErr w:type="gram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., ...</w:t>
            </w:r>
            <w:proofErr w:type="gram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Pavic</w:t>
            </w:r>
            <w:proofErr w:type="spellEnd"/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, A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Solaja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, B. </w:t>
            </w:r>
            <w:r w:rsidRPr="008B272B">
              <w:rPr>
                <w:rFonts w:eastAsia="Times New Roman"/>
                <w:b/>
                <w:bCs/>
                <w:sz w:val="16"/>
                <w:szCs w:val="16"/>
                <w:lang w:val="en-US" w:eastAsia="en-US"/>
              </w:rPr>
              <w:t>(2019)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 Second generation of </w:t>
            </w:r>
            <w:proofErr w:type="spellStart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>diazachrysenes</w:t>
            </w:r>
            <w:proofErr w:type="spellEnd"/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: Protection of Ebola virus infected mice and mechanism of action.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Eur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J Med Chem</w:t>
            </w:r>
            <w:r w:rsidRPr="008B272B">
              <w:rPr>
                <w:rFonts w:eastAsia="Times New Roman"/>
                <w:sz w:val="16"/>
                <w:szCs w:val="16"/>
                <w:lang w:val="en-US" w:eastAsia="en-US"/>
              </w:rPr>
              <w:t xml:space="preserve">. 162, 32-50. 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21a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Filipovic</w:t>
            </w:r>
            <w:proofErr w:type="spellEnd"/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V.,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...</w:t>
            </w:r>
            <w:proofErr w:type="spellStart"/>
            <w:r w:rsidRPr="008B272B">
              <w:rPr>
                <w:rFonts w:eastAsia="Times New Roman"/>
                <w:b/>
                <w:color w:val="000000"/>
                <w:sz w:val="16"/>
                <w:szCs w:val="16"/>
                <w:lang w:val="en-US" w:eastAsia="en-US"/>
              </w:rPr>
              <w:t>Pavic</w:t>
            </w:r>
            <w:proofErr w:type="spellEnd"/>
            <w:r w:rsidRPr="008B272B">
              <w:rPr>
                <w:rFonts w:eastAsia="Times New Roman"/>
                <w:b/>
                <w:color w:val="000000"/>
                <w:sz w:val="16"/>
                <w:szCs w:val="16"/>
                <w:lang w:val="en-US" w:eastAsia="en-US"/>
              </w:rPr>
              <w:t>, A.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...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Tomic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, S. (2019) In </w:t>
            </w:r>
            <w:r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v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itro and in vivo biocompatibility of novel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zwitterionic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poly(beta amino)ester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hydrogels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based on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diacrylate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and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glycine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for site</w:t>
            </w:r>
            <w:r w:rsidRPr="008B272B">
              <w:rPr>
                <w:rFonts w:ascii="Cambria Math" w:eastAsia="Times New Roman" w:hAnsi="Cambria Math" w:cs="Cambria Math"/>
                <w:color w:val="000000"/>
                <w:sz w:val="16"/>
                <w:szCs w:val="16"/>
                <w:lang w:val="en-US" w:eastAsia="en-US"/>
              </w:rPr>
              <w:t>‐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specific controlled drug release. </w:t>
            </w:r>
            <w:proofErr w:type="spellStart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Macromol</w:t>
            </w:r>
            <w:proofErr w:type="spellEnd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 xml:space="preserve"> Physics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Savić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N.D</w:t>
            </w:r>
            <w:proofErr w:type="gram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Pavic</w:t>
            </w:r>
            <w:proofErr w:type="spellEnd"/>
            <w:proofErr w:type="gramEnd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, A.,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...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Djuran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M.I. (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2018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) Mononuclear silver (I) complexes with 1, 7-phenanthroline as potent inhibitors of </w:t>
            </w:r>
            <w:r w:rsidRPr="008B272B"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>Candida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growth.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Eur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J Med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156: 760-773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21a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Veselinović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J.B</w:t>
            </w:r>
            <w:proofErr w:type="gram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Pavic</w:t>
            </w:r>
            <w:proofErr w:type="spellEnd"/>
            <w:proofErr w:type="gramEnd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, A.,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Nikodinovic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-Runic, J. 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(2017)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Potent anti-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melanogenic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activity and favorable toxicity profile of selected 4-phenyl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hydroxycoumarins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in the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zebrafish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model and the computational molecular modeling studies. </w:t>
            </w:r>
            <w:proofErr w:type="spellStart"/>
            <w:r w:rsidRPr="008B272B"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>Bioorg</w:t>
            </w:r>
            <w:proofErr w:type="spellEnd"/>
            <w:r w:rsidRPr="008B272B"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 xml:space="preserve"> Med </w:t>
            </w:r>
            <w:proofErr w:type="spellStart"/>
            <w:r w:rsidRPr="008B272B">
              <w:rPr>
                <w:rFonts w:eastAsia="Times New Roman"/>
                <w:i/>
                <w:iCs/>
                <w:color w:val="000000"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25, 6286-6296. 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Pavić</w:t>
            </w:r>
            <w:proofErr w:type="spellEnd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, A</w:t>
            </w:r>
            <w:proofErr w:type="gramStart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.,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...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Rychlewska</w:t>
            </w:r>
            <w:proofErr w:type="spellEnd"/>
            <w:proofErr w:type="gram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, U. 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(2017)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Mononuclear gold(III) complexes with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phenanthroline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ligands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as efficient inhibitors of angiogenesis: A comparative study with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auranofin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and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sunitinib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J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Inorg</w:t>
            </w:r>
            <w:proofErr w:type="spellEnd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i/>
                <w:iCs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174, 156-157.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Jovic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D.S</w:t>
            </w:r>
            <w:proofErr w:type="gram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Pavić</w:t>
            </w:r>
            <w:proofErr w:type="spellEnd"/>
            <w:proofErr w:type="gramEnd"/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, A.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Plavece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, J. 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(2016)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Fullerenol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nanoparticles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as a new delivery system for doxorubicin. </w:t>
            </w:r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RSC Adv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6, 38563–38578.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Senerovic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L</w:t>
            </w:r>
            <w:proofErr w:type="gram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Pavic</w:t>
            </w:r>
            <w:proofErr w:type="spellEnd"/>
            <w:proofErr w:type="gram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, A., ...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Nikodinovic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-Runic, J. 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US" w:eastAsia="en-US"/>
              </w:rPr>
              <w:t>(2015)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Synthesis and evaluation of series of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diazine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-bridged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>dinuclear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platinum(II) complexes through in vitro toxicity and molecular modeling: correlation between structure  and activity of Pt(II) complexes. </w:t>
            </w:r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 xml:space="preserve">J Med </w:t>
            </w:r>
            <w:proofErr w:type="spellStart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US" w:eastAsia="en-US"/>
              </w:rPr>
              <w:t>Chem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  <w:t xml:space="preserve"> 58, 1442-145.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21a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56" w:type="dxa"/>
            <w:vAlign w:val="center"/>
          </w:tcPr>
          <w:p w:rsidR="008B255F" w:rsidRDefault="008B255F" w:rsidP="008B255F">
            <w:pPr>
              <w:spacing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8410" w:type="dxa"/>
            <w:gridSpan w:val="9"/>
            <w:shd w:val="clear" w:color="auto" w:fill="auto"/>
            <w:vAlign w:val="center"/>
          </w:tcPr>
          <w:p w:rsidR="008B255F" w:rsidRPr="008B272B" w:rsidRDefault="008B255F" w:rsidP="008E3E2F">
            <w:pPr>
              <w:widowControl/>
              <w:autoSpaceDE/>
              <w:autoSpaceDN/>
              <w:adjustRightInd/>
              <w:spacing w:after="0"/>
              <w:jc w:val="both"/>
              <w:rPr>
                <w:rFonts w:eastAsia="Times New Roman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Stanković</w:t>
            </w:r>
            <w:proofErr w:type="spellEnd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, S</w:t>
            </w:r>
            <w:proofErr w:type="gramStart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., ...</w:t>
            </w:r>
            <w:proofErr w:type="spellStart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Pavić</w:t>
            </w:r>
            <w:proofErr w:type="spellEnd"/>
            <w:proofErr w:type="gramEnd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, A., ...</w:t>
            </w:r>
            <w:proofErr w:type="spellStart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>Cvetković</w:t>
            </w:r>
            <w:proofErr w:type="spellEnd"/>
            <w:r w:rsidRPr="008B272B">
              <w:rPr>
                <w:rFonts w:eastAsia="Times New Roman"/>
                <w:iCs/>
                <w:color w:val="000000"/>
                <w:sz w:val="16"/>
                <w:szCs w:val="16"/>
                <w:lang w:val="en-GB" w:eastAsia="en-US"/>
              </w:rPr>
              <w:t xml:space="preserve">, V. </w:t>
            </w:r>
            <w:r w:rsidRPr="008B272B">
              <w:rPr>
                <w:rFonts w:eastAsia="Times New Roman"/>
                <w:b/>
                <w:bCs/>
                <w:color w:val="000000"/>
                <w:sz w:val="16"/>
                <w:szCs w:val="16"/>
                <w:lang w:val="en-GB" w:eastAsia="en-US"/>
              </w:rPr>
              <w:t xml:space="preserve">(2015) 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 xml:space="preserve">Bioleaching of copper from old flotation tailings samples (Copper Mine </w:t>
            </w:r>
            <w:proofErr w:type="spellStart"/>
            <w:r w:rsidRPr="008B272B"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>Bor</w:t>
            </w:r>
            <w:proofErr w:type="spellEnd"/>
            <w:r w:rsidRPr="008B272B"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 xml:space="preserve">, Serbia). </w:t>
            </w:r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GB" w:eastAsia="en-US"/>
              </w:rPr>
              <w:t xml:space="preserve">J Serb </w:t>
            </w:r>
            <w:proofErr w:type="spellStart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GB" w:eastAsia="en-US"/>
              </w:rPr>
              <w:t>Chem</w:t>
            </w:r>
            <w:proofErr w:type="spellEnd"/>
            <w:r w:rsidRPr="008B272B">
              <w:rPr>
                <w:rFonts w:eastAsia="Times New Roman"/>
                <w:i/>
                <w:color w:val="000000"/>
                <w:sz w:val="16"/>
                <w:szCs w:val="16"/>
                <w:lang w:val="en-GB" w:eastAsia="en-US"/>
              </w:rPr>
              <w:t xml:space="preserve"> Soc</w:t>
            </w:r>
            <w:r w:rsidRPr="008B272B">
              <w:rPr>
                <w:rFonts w:eastAsia="Times New Roman"/>
                <w:color w:val="000000"/>
                <w:sz w:val="16"/>
                <w:szCs w:val="16"/>
                <w:lang w:val="en-GB" w:eastAsia="en-US"/>
              </w:rPr>
              <w:t xml:space="preserve">, 80, 391-405. </w:t>
            </w:r>
          </w:p>
        </w:tc>
        <w:tc>
          <w:tcPr>
            <w:tcW w:w="1345" w:type="dxa"/>
            <w:vAlign w:val="center"/>
          </w:tcPr>
          <w:p w:rsidR="008B255F" w:rsidRPr="008B272B" w:rsidRDefault="005B708A" w:rsidP="008E3E2F">
            <w:pPr>
              <w:spacing w:after="0"/>
              <w:ind w:left="-69"/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B255F" w:rsidRPr="008B272B">
              <w:rPr>
                <w:lang w:val="en-US"/>
              </w:rPr>
              <w:t>23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10211" w:type="dxa"/>
            <w:gridSpan w:val="11"/>
            <w:vAlign w:val="center"/>
          </w:tcPr>
          <w:p w:rsidR="008B255F" w:rsidRDefault="008B255F" w:rsidP="008B255F">
            <w:pPr>
              <w:spacing w:after="0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206" w:type="dxa"/>
            <w:gridSpan w:val="6"/>
          </w:tcPr>
          <w:p w:rsidR="008B255F" w:rsidRDefault="008B255F" w:rsidP="008B25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Total number of citations, without self citations</w:t>
            </w:r>
          </w:p>
        </w:tc>
        <w:tc>
          <w:tcPr>
            <w:tcW w:w="6005" w:type="dxa"/>
            <w:gridSpan w:val="5"/>
            <w:vAlign w:val="center"/>
          </w:tcPr>
          <w:p w:rsidR="008B255F" w:rsidRDefault="008B255F" w:rsidP="008B255F">
            <w:pPr>
              <w:spacing w:after="0"/>
              <w:rPr>
                <w:lang w:val="en-US"/>
              </w:rPr>
            </w:pPr>
            <w:r>
              <w:rPr>
                <w:bCs/>
                <w:lang w:val="en-GB"/>
              </w:rPr>
              <w:t>Total 209, Without self - citations 129, without self-citations of all co-authors 109, H 8, (SCOPUS 21.09.2019.)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206" w:type="dxa"/>
            <w:gridSpan w:val="6"/>
          </w:tcPr>
          <w:p w:rsidR="008B255F" w:rsidRDefault="008B255F" w:rsidP="008B25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Total number of papers on the SCI (or SSCI) list</w:t>
            </w:r>
          </w:p>
        </w:tc>
        <w:tc>
          <w:tcPr>
            <w:tcW w:w="6005" w:type="dxa"/>
            <w:gridSpan w:val="5"/>
            <w:vAlign w:val="center"/>
          </w:tcPr>
          <w:p w:rsidR="008B255F" w:rsidRDefault="008B255F" w:rsidP="008B255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29 </w:t>
            </w:r>
            <w:r>
              <w:rPr>
                <w:bCs/>
                <w:lang w:val="en-GB"/>
              </w:rPr>
              <w:t>(SCOPUS 21.09.2019.)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4206" w:type="dxa"/>
            <w:gridSpan w:val="6"/>
          </w:tcPr>
          <w:p w:rsidR="008B255F" w:rsidRDefault="008B255F" w:rsidP="008B255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Current participation in projects</w:t>
            </w:r>
          </w:p>
        </w:tc>
        <w:tc>
          <w:tcPr>
            <w:tcW w:w="3060" w:type="dxa"/>
            <w:gridSpan w:val="2"/>
            <w:vAlign w:val="center"/>
          </w:tcPr>
          <w:p w:rsidR="008B255F" w:rsidRDefault="008B255F" w:rsidP="008B255F">
            <w:pPr>
              <w:spacing w:after="0"/>
              <w:rPr>
                <w:lang w:val="en-GB"/>
              </w:rPr>
            </w:pPr>
            <w:r>
              <w:rPr>
                <w:lang w:val="en-US"/>
              </w:rPr>
              <w:t xml:space="preserve">Domestic </w:t>
            </w:r>
            <w:r>
              <w:rPr>
                <w:lang w:val="en-GB"/>
              </w:rPr>
              <w:t>3</w:t>
            </w:r>
          </w:p>
        </w:tc>
        <w:tc>
          <w:tcPr>
            <w:tcW w:w="2945" w:type="dxa"/>
            <w:gridSpan w:val="3"/>
            <w:vAlign w:val="center"/>
          </w:tcPr>
          <w:p w:rsidR="008B255F" w:rsidRDefault="008B255F" w:rsidP="008B255F">
            <w:pPr>
              <w:spacing w:after="0"/>
              <w:rPr>
                <w:lang w:val="en-GB"/>
              </w:rPr>
            </w:pPr>
            <w:r>
              <w:rPr>
                <w:lang w:val="en-US"/>
              </w:rPr>
              <w:t xml:space="preserve">International </w:t>
            </w:r>
            <w:r>
              <w:rPr>
                <w:lang w:val="en-GB"/>
              </w:rPr>
              <w:t>0</w:t>
            </w:r>
          </w:p>
        </w:tc>
      </w:tr>
      <w:tr w:rsidR="008B255F" w:rsidTr="005B708A">
        <w:trPr>
          <w:trHeight w:val="227"/>
          <w:jc w:val="center"/>
        </w:trPr>
        <w:tc>
          <w:tcPr>
            <w:tcW w:w="10211" w:type="dxa"/>
            <w:gridSpan w:val="11"/>
            <w:vAlign w:val="center"/>
          </w:tcPr>
          <w:p w:rsidR="008B255F" w:rsidRPr="00A642D3" w:rsidRDefault="008B255F" w:rsidP="00143A2D">
            <w:pPr>
              <w:spacing w:after="0"/>
              <w:rPr>
                <w:sz w:val="16"/>
                <w:szCs w:val="16"/>
                <w:lang w:val="en-US"/>
              </w:rPr>
            </w:pPr>
            <w:bookmarkStart w:id="0" w:name="_GoBack"/>
            <w:r w:rsidRPr="00A642D3">
              <w:rPr>
                <w:sz w:val="16"/>
                <w:szCs w:val="16"/>
                <w:lang w:val="en-US"/>
              </w:rPr>
              <w:t>Other information you consider to be important</w:t>
            </w:r>
            <w:r w:rsidRPr="00A642D3">
              <w:rPr>
                <w:sz w:val="16"/>
                <w:szCs w:val="16"/>
                <w:lang w:val="en-GB"/>
              </w:rPr>
              <w:t>:</w:t>
            </w:r>
            <w:r w:rsidRPr="00A642D3">
              <w:rPr>
                <w:sz w:val="16"/>
                <w:szCs w:val="16"/>
              </w:rPr>
              <w:t xml:space="preserve"> </w:t>
            </w:r>
            <w:r w:rsidRPr="00A642D3">
              <w:rPr>
                <w:sz w:val="16"/>
                <w:szCs w:val="16"/>
                <w:lang w:val="en-US"/>
              </w:rPr>
              <w:t xml:space="preserve"> </w:t>
            </w:r>
            <w:r w:rsidRPr="00A642D3">
              <w:rPr>
                <w:sz w:val="16"/>
                <w:szCs w:val="16"/>
              </w:rPr>
              <w:t>Т</w:t>
            </w:r>
            <w:r w:rsidRPr="00A642D3">
              <w:rPr>
                <w:sz w:val="16"/>
                <w:szCs w:val="16"/>
                <w:lang w:val="en-US"/>
              </w:rPr>
              <w:t xml:space="preserve">he person in charge for the housing, care and reproduction of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zebrafish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in </w:t>
            </w:r>
            <w:r w:rsidR="002A6DBD" w:rsidRPr="00A642D3">
              <w:rPr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zebrafish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facility in IMGGE (</w:t>
            </w:r>
            <w:r w:rsidR="000308DD" w:rsidRPr="00A642D3">
              <w:rPr>
                <w:sz w:val="16"/>
                <w:szCs w:val="16"/>
                <w:lang w:val="en-US"/>
              </w:rPr>
              <w:t xml:space="preserve">since </w:t>
            </w:r>
            <w:r w:rsidRPr="00A642D3">
              <w:rPr>
                <w:sz w:val="16"/>
                <w:szCs w:val="16"/>
                <w:lang w:val="en-US"/>
              </w:rPr>
              <w:t>2016), and</w:t>
            </w:r>
            <w:r w:rsidRPr="00A642D3">
              <w:rPr>
                <w:sz w:val="16"/>
                <w:szCs w:val="16"/>
              </w:rPr>
              <w:t xml:space="preserve"> </w:t>
            </w:r>
            <w:r w:rsidRPr="00A642D3">
              <w:rPr>
                <w:sz w:val="16"/>
                <w:szCs w:val="16"/>
                <w:lang w:val="en-US"/>
              </w:rPr>
              <w:t xml:space="preserve">for the training of researchers for </w:t>
            </w:r>
            <w:r w:rsidR="000308DD" w:rsidRPr="00A642D3">
              <w:rPr>
                <w:sz w:val="16"/>
                <w:szCs w:val="16"/>
                <w:lang w:val="en-US"/>
              </w:rPr>
              <w:t>work with</w:t>
            </w:r>
            <w:r w:rsidRPr="00A642D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zebrafish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(</w:t>
            </w:r>
            <w:r w:rsidR="000308DD" w:rsidRPr="00A642D3">
              <w:rPr>
                <w:sz w:val="16"/>
                <w:szCs w:val="16"/>
                <w:lang w:val="en-US"/>
              </w:rPr>
              <w:t xml:space="preserve">since </w:t>
            </w:r>
            <w:r w:rsidRPr="00A642D3">
              <w:rPr>
                <w:sz w:val="16"/>
                <w:szCs w:val="16"/>
                <w:lang w:val="en-US"/>
              </w:rPr>
              <w:t xml:space="preserve">2016); </w:t>
            </w:r>
            <w:r w:rsidR="00C020CD" w:rsidRPr="00A642D3">
              <w:rPr>
                <w:sz w:val="16"/>
                <w:szCs w:val="16"/>
                <w:lang w:val="en-US"/>
              </w:rPr>
              <w:t>Professional t</w:t>
            </w:r>
            <w:r w:rsidR="002A6DBD" w:rsidRPr="00A642D3">
              <w:rPr>
                <w:sz w:val="16"/>
                <w:szCs w:val="16"/>
                <w:lang w:val="en-US"/>
              </w:rPr>
              <w:t xml:space="preserve">raining </w:t>
            </w:r>
            <w:r w:rsidR="00E72E47" w:rsidRPr="00A642D3">
              <w:rPr>
                <w:sz w:val="16"/>
                <w:szCs w:val="16"/>
                <w:lang w:val="en-US"/>
              </w:rPr>
              <w:t>at</w:t>
            </w:r>
            <w:r w:rsidR="002A6DBD" w:rsidRPr="00A642D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Wellcom</w:t>
            </w:r>
            <w:r w:rsidR="002A6DBD" w:rsidRPr="00A642D3">
              <w:rPr>
                <w:sz w:val="16"/>
                <w:szCs w:val="16"/>
                <w:lang w:val="en-US"/>
              </w:rPr>
              <w:t>e</w:t>
            </w:r>
            <w:proofErr w:type="spellEnd"/>
            <w:r w:rsidR="002A6DBD" w:rsidRPr="00A642D3">
              <w:rPr>
                <w:sz w:val="16"/>
                <w:szCs w:val="16"/>
                <w:lang w:val="en-US"/>
              </w:rPr>
              <w:t xml:space="preserve"> Trust Sanger Institute</w:t>
            </w:r>
            <w:r w:rsidR="00E72E47" w:rsidRPr="00A642D3">
              <w:rPr>
                <w:sz w:val="16"/>
                <w:szCs w:val="16"/>
                <w:lang w:val="en-US"/>
              </w:rPr>
              <w:t>,</w:t>
            </w:r>
            <w:r w:rsidR="002A6DBD" w:rsidRPr="00A642D3">
              <w:rPr>
                <w:sz w:val="16"/>
                <w:szCs w:val="16"/>
                <w:lang w:val="en-US"/>
              </w:rPr>
              <w:t xml:space="preserve"> </w:t>
            </w:r>
            <w:r w:rsidR="00E72E47" w:rsidRPr="00A642D3">
              <w:rPr>
                <w:color w:val="000000" w:themeColor="text1"/>
                <w:sz w:val="16"/>
                <w:szCs w:val="16"/>
              </w:rPr>
              <w:t>C</w:t>
            </w:r>
            <w:proofErr w:type="spellStart"/>
            <w:r w:rsidR="00E72E47" w:rsidRPr="00A642D3">
              <w:rPr>
                <w:sz w:val="16"/>
                <w:szCs w:val="16"/>
                <w:lang w:val="en-US"/>
              </w:rPr>
              <w:t>ambridge</w:t>
            </w:r>
            <w:proofErr w:type="spellEnd"/>
            <w:r w:rsidR="00E72E47" w:rsidRPr="00A642D3">
              <w:rPr>
                <w:sz w:val="16"/>
                <w:szCs w:val="16"/>
                <w:lang w:val="en-US"/>
              </w:rPr>
              <w:t xml:space="preserve"> UK </w:t>
            </w:r>
            <w:r w:rsidR="002A6DBD" w:rsidRPr="00A642D3">
              <w:rPr>
                <w:sz w:val="16"/>
                <w:szCs w:val="16"/>
                <w:lang w:val="en-US"/>
              </w:rPr>
              <w:t>(2016</w:t>
            </w:r>
            <w:r w:rsidRPr="00A642D3">
              <w:rPr>
                <w:sz w:val="16"/>
                <w:szCs w:val="16"/>
              </w:rPr>
              <w:t>)</w:t>
            </w:r>
            <w:r w:rsidR="00C020CD" w:rsidRPr="00A642D3">
              <w:rPr>
                <w:sz w:val="16"/>
                <w:szCs w:val="16"/>
                <w:lang w:val="en-US"/>
              </w:rPr>
              <w:t xml:space="preserve"> for work in the </w:t>
            </w:r>
            <w:proofErr w:type="spellStart"/>
            <w:r w:rsidR="00C020CD" w:rsidRPr="00A642D3">
              <w:rPr>
                <w:sz w:val="16"/>
                <w:szCs w:val="16"/>
                <w:lang w:val="en-US"/>
              </w:rPr>
              <w:t>zebrafish</w:t>
            </w:r>
            <w:proofErr w:type="spellEnd"/>
            <w:r w:rsidR="00C020CD" w:rsidRPr="00A642D3">
              <w:rPr>
                <w:sz w:val="16"/>
                <w:szCs w:val="16"/>
                <w:lang w:val="en-US"/>
              </w:rPr>
              <w:t xml:space="preserve"> model</w:t>
            </w:r>
            <w:r w:rsidR="002A6DBD" w:rsidRPr="00A642D3">
              <w:rPr>
                <w:sz w:val="16"/>
                <w:szCs w:val="16"/>
                <w:lang w:val="en-US"/>
              </w:rPr>
              <w:t>;</w:t>
            </w:r>
            <w:r w:rsidR="000308DD" w:rsidRPr="00A642D3">
              <w:rPr>
                <w:sz w:val="16"/>
                <w:szCs w:val="16"/>
                <w:lang w:val="en-US"/>
              </w:rPr>
              <w:t xml:space="preserve"> DAAD alumni (2009/2010).</w:t>
            </w:r>
            <w:r w:rsidRPr="00A642D3">
              <w:rPr>
                <w:sz w:val="16"/>
                <w:szCs w:val="16"/>
                <w:lang w:val="en-US"/>
              </w:rPr>
              <w:t xml:space="preserve"> PI of the research project funded by Philip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Moris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foundation (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Pokreni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se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za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Nauku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 xml:space="preserve"> – </w:t>
            </w:r>
            <w:proofErr w:type="spellStart"/>
            <w:r w:rsidRPr="00A642D3">
              <w:rPr>
                <w:sz w:val="16"/>
                <w:szCs w:val="16"/>
                <w:lang w:val="en-US"/>
              </w:rPr>
              <w:t>Istrazi.Promeni</w:t>
            </w:r>
            <w:proofErr w:type="spellEnd"/>
            <w:r w:rsidRPr="00A642D3">
              <w:rPr>
                <w:sz w:val="16"/>
                <w:szCs w:val="16"/>
                <w:lang w:val="en-US"/>
              </w:rPr>
              <w:t>; 2019</w:t>
            </w:r>
            <w:r w:rsidR="002A6DBD" w:rsidRPr="00A642D3">
              <w:rPr>
                <w:sz w:val="16"/>
                <w:szCs w:val="16"/>
                <w:lang w:val="en-US"/>
              </w:rPr>
              <w:t>/2020</w:t>
            </w:r>
            <w:r w:rsidRPr="00A642D3">
              <w:rPr>
                <w:sz w:val="16"/>
                <w:szCs w:val="16"/>
                <w:lang w:val="en-US"/>
              </w:rPr>
              <w:t xml:space="preserve">) and </w:t>
            </w:r>
            <w:proofErr w:type="gramStart"/>
            <w:r w:rsidRPr="00A642D3">
              <w:rPr>
                <w:sz w:val="16"/>
                <w:szCs w:val="16"/>
                <w:lang w:val="en-US"/>
              </w:rPr>
              <w:t>a</w:t>
            </w:r>
            <w:proofErr w:type="gramEnd"/>
            <w:r w:rsidRPr="00A642D3">
              <w:rPr>
                <w:sz w:val="16"/>
                <w:szCs w:val="16"/>
                <w:lang w:val="en-US"/>
              </w:rPr>
              <w:t xml:space="preserve"> Innovation Voucher (2018/2019).</w:t>
            </w:r>
            <w:r w:rsidR="000308DD" w:rsidRPr="00A642D3">
              <w:rPr>
                <w:sz w:val="16"/>
                <w:szCs w:val="16"/>
                <w:lang w:val="en-US"/>
              </w:rPr>
              <w:t xml:space="preserve"> Member of Animal Ethics Committee of IMGGE (since 2016</w:t>
            </w:r>
            <w:r w:rsidR="002A6DBD" w:rsidRPr="00A642D3">
              <w:rPr>
                <w:sz w:val="16"/>
                <w:szCs w:val="16"/>
                <w:lang w:val="en-US"/>
              </w:rPr>
              <w:t xml:space="preserve">) and </w:t>
            </w:r>
            <w:r w:rsidR="002A6DBD" w:rsidRPr="00A642D3">
              <w:rPr>
                <w:color w:val="000000" w:themeColor="text1"/>
                <w:sz w:val="16"/>
                <w:szCs w:val="16"/>
              </w:rPr>
              <w:t>programme committee of the Biology at Petnica Science Centre, Serbia (since 2019).</w:t>
            </w:r>
            <w:r w:rsidR="00143A2D" w:rsidRPr="00A642D3">
              <w:rPr>
                <w:color w:val="000000" w:themeColor="text1"/>
                <w:sz w:val="16"/>
                <w:szCs w:val="16"/>
              </w:rPr>
              <w:t xml:space="preserve"> Invited lectur at courses: Microbiology of water and soil </w:t>
            </w:r>
            <w:r w:rsidR="00A642D3" w:rsidRPr="00A642D3">
              <w:rPr>
                <w:color w:val="000000" w:themeColor="text1"/>
                <w:sz w:val="16"/>
                <w:szCs w:val="16"/>
              </w:rPr>
              <w:t xml:space="preserve">– 2019 </w:t>
            </w:r>
            <w:r w:rsidR="00143A2D" w:rsidRPr="00A642D3">
              <w:rPr>
                <w:color w:val="000000" w:themeColor="text1"/>
                <w:sz w:val="16"/>
                <w:szCs w:val="16"/>
              </w:rPr>
              <w:t xml:space="preserve">(Faculty of Biology, UB) and Medicinal Chemistry </w:t>
            </w:r>
            <w:r w:rsidR="00A642D3" w:rsidRPr="00A642D3">
              <w:rPr>
                <w:color w:val="000000" w:themeColor="text1"/>
                <w:sz w:val="16"/>
                <w:szCs w:val="16"/>
              </w:rPr>
              <w:t xml:space="preserve">2018/2019 </w:t>
            </w:r>
            <w:r w:rsidR="00143A2D" w:rsidRPr="00A642D3">
              <w:rPr>
                <w:color w:val="000000" w:themeColor="text1"/>
                <w:sz w:val="16"/>
                <w:szCs w:val="16"/>
              </w:rPr>
              <w:t>(Faculty of Science, University of Kragujevac</w:t>
            </w:r>
            <w:r w:rsidR="00A642D3" w:rsidRPr="00A642D3">
              <w:rPr>
                <w:color w:val="000000" w:themeColor="text1"/>
                <w:sz w:val="16"/>
                <w:szCs w:val="16"/>
              </w:rPr>
              <w:t>)</w:t>
            </w:r>
            <w:bookmarkEnd w:id="0"/>
          </w:p>
        </w:tc>
      </w:tr>
    </w:tbl>
    <w:p w:rsidR="00D36AEA" w:rsidRDefault="00A642D3" w:rsidP="00A642D3">
      <w:pPr>
        <w:tabs>
          <w:tab w:val="left" w:pos="7790"/>
        </w:tabs>
      </w:pPr>
      <w:r>
        <w:tab/>
      </w:r>
    </w:p>
    <w:sectPr w:rsidR="00D36AEA" w:rsidSect="004B68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C7920"/>
    <w:rsid w:val="000308DD"/>
    <w:rsid w:val="000B5F33"/>
    <w:rsid w:val="000E6349"/>
    <w:rsid w:val="00143A2D"/>
    <w:rsid w:val="001633D1"/>
    <w:rsid w:val="001B09DD"/>
    <w:rsid w:val="00202AC6"/>
    <w:rsid w:val="002A6DBD"/>
    <w:rsid w:val="00372E33"/>
    <w:rsid w:val="003A2C02"/>
    <w:rsid w:val="003B448E"/>
    <w:rsid w:val="0047415A"/>
    <w:rsid w:val="004B68C6"/>
    <w:rsid w:val="00541EE6"/>
    <w:rsid w:val="005A6B53"/>
    <w:rsid w:val="005B708A"/>
    <w:rsid w:val="00631BE3"/>
    <w:rsid w:val="0082344A"/>
    <w:rsid w:val="00880906"/>
    <w:rsid w:val="008B255F"/>
    <w:rsid w:val="008B5D0D"/>
    <w:rsid w:val="008C170D"/>
    <w:rsid w:val="009146C0"/>
    <w:rsid w:val="009539F8"/>
    <w:rsid w:val="00987B9B"/>
    <w:rsid w:val="00A642D3"/>
    <w:rsid w:val="00AB66B3"/>
    <w:rsid w:val="00B1770B"/>
    <w:rsid w:val="00BF1F50"/>
    <w:rsid w:val="00BF6C43"/>
    <w:rsid w:val="00C020CD"/>
    <w:rsid w:val="00D36AEA"/>
    <w:rsid w:val="00D93DFF"/>
    <w:rsid w:val="00DB6C8D"/>
    <w:rsid w:val="00DC1ABE"/>
    <w:rsid w:val="00E72E47"/>
    <w:rsid w:val="00FB20B6"/>
    <w:rsid w:val="00FC7920"/>
    <w:rsid w:val="3D363EC7"/>
    <w:rsid w:val="6D3C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C6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  <w:rsid w:val="004B6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2019-09-24T07:07:00Z</dcterms:created>
  <dcterms:modified xsi:type="dcterms:W3CDTF">2020-03-07T11:15:00Z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1033-11.2.0.8888</vt:lpwstr>
  </property>
</Properties>
</file>