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23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0"/>
        <w:gridCol w:w="1683"/>
        <w:gridCol w:w="664"/>
        <w:gridCol w:w="246"/>
        <w:gridCol w:w="2334"/>
        <w:gridCol w:w="1519"/>
        <w:gridCol w:w="204"/>
        <w:gridCol w:w="929"/>
        <w:gridCol w:w="2125"/>
        <w:gridCol w:w="637"/>
      </w:tblGrid>
      <w:tr w:rsidR="00FC7920" w:rsidRPr="001C4B97" w:rsidTr="001C4B97">
        <w:trPr>
          <w:trHeight w:val="227"/>
          <w:jc w:val="center"/>
        </w:trPr>
        <w:tc>
          <w:tcPr>
            <w:tcW w:w="1310" w:type="pct"/>
            <w:gridSpan w:val="3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690" w:type="pct"/>
            <w:gridSpan w:val="7"/>
            <w:vAlign w:val="center"/>
          </w:tcPr>
          <w:p w:rsidR="00FC7920" w:rsidRPr="001C4B97" w:rsidRDefault="005872AC" w:rsidP="00E917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Bojana S</w:t>
            </w:r>
            <w:r w:rsidRPr="001C4B97">
              <w:rPr>
                <w:sz w:val="18"/>
                <w:szCs w:val="18"/>
              </w:rPr>
              <w:t>tanić</w:t>
            </w:r>
          </w:p>
        </w:tc>
      </w:tr>
      <w:tr w:rsidR="00FC7920" w:rsidRPr="001C4B97" w:rsidTr="001C4B97">
        <w:trPr>
          <w:trHeight w:val="227"/>
          <w:jc w:val="center"/>
        </w:trPr>
        <w:tc>
          <w:tcPr>
            <w:tcW w:w="1310" w:type="pct"/>
            <w:gridSpan w:val="3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690" w:type="pct"/>
            <w:gridSpan w:val="7"/>
            <w:vAlign w:val="center"/>
          </w:tcPr>
          <w:p w:rsidR="00FC7920" w:rsidRPr="001C4B97" w:rsidRDefault="00C55462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Research Associate</w:t>
            </w:r>
            <w:r w:rsidRPr="00F2339A">
              <w:rPr>
                <w:sz w:val="16"/>
                <w:szCs w:val="16"/>
                <w:lang w:val="en-US"/>
              </w:rPr>
              <w:t> </w:t>
            </w:r>
          </w:p>
        </w:tc>
      </w:tr>
      <w:tr w:rsidR="00FC7920" w:rsidRPr="001C4B97" w:rsidTr="001C4B97">
        <w:trPr>
          <w:trHeight w:val="227"/>
          <w:jc w:val="center"/>
        </w:trPr>
        <w:tc>
          <w:tcPr>
            <w:tcW w:w="1310" w:type="pct"/>
            <w:gridSpan w:val="3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690" w:type="pct"/>
            <w:gridSpan w:val="7"/>
            <w:vAlign w:val="center"/>
          </w:tcPr>
          <w:p w:rsidR="00FC7920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Biochemistry</w:t>
            </w:r>
          </w:p>
        </w:tc>
      </w:tr>
      <w:tr w:rsidR="001C4B97" w:rsidRPr="001C4B97" w:rsidTr="001C4B97">
        <w:trPr>
          <w:trHeight w:val="227"/>
          <w:jc w:val="center"/>
        </w:trPr>
        <w:tc>
          <w:tcPr>
            <w:tcW w:w="1002" w:type="pct"/>
            <w:gridSpan w:val="2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08" w:type="pct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898" w:type="pct"/>
            <w:gridSpan w:val="3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267" w:type="pct"/>
            <w:gridSpan w:val="2"/>
            <w:shd w:val="clear" w:color="auto" w:fill="auto"/>
            <w:vAlign w:val="center"/>
          </w:tcPr>
          <w:p w:rsidR="00FC7920" w:rsidRPr="001C4B97" w:rsidRDefault="00FC7920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1C4B97" w:rsidRPr="001C4B97" w:rsidTr="001C4B97">
        <w:trPr>
          <w:trHeight w:val="227"/>
          <w:jc w:val="center"/>
        </w:trPr>
        <w:tc>
          <w:tcPr>
            <w:tcW w:w="1002" w:type="pct"/>
            <w:gridSpan w:val="2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08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sr-Cyrl-CS"/>
              </w:rPr>
            </w:pPr>
            <w:r w:rsidRPr="001C4B97">
              <w:rPr>
                <w:sz w:val="18"/>
                <w:szCs w:val="18"/>
                <w:lang w:val="sr-Cyrl-CS"/>
              </w:rPr>
              <w:t>2014</w:t>
            </w:r>
          </w:p>
        </w:tc>
        <w:tc>
          <w:tcPr>
            <w:tcW w:w="1898" w:type="pct"/>
            <w:gridSpan w:val="3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University of Novi Sad, Faculty of Sciences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Chemistry</w:t>
            </w:r>
          </w:p>
        </w:tc>
        <w:tc>
          <w:tcPr>
            <w:tcW w:w="1267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Biochemistry</w:t>
            </w:r>
          </w:p>
        </w:tc>
      </w:tr>
      <w:tr w:rsidR="001C4B97" w:rsidRPr="001C4B97" w:rsidTr="001C4B97">
        <w:trPr>
          <w:trHeight w:val="227"/>
          <w:jc w:val="center"/>
        </w:trPr>
        <w:tc>
          <w:tcPr>
            <w:tcW w:w="1002" w:type="pct"/>
            <w:gridSpan w:val="2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08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sr-Cyrl-CS"/>
              </w:rPr>
            </w:pPr>
            <w:r w:rsidRPr="001C4B97">
              <w:rPr>
                <w:sz w:val="18"/>
                <w:szCs w:val="18"/>
                <w:lang w:val="sr-Cyrl-CS"/>
              </w:rPr>
              <w:t>2012</w:t>
            </w:r>
          </w:p>
        </w:tc>
        <w:tc>
          <w:tcPr>
            <w:tcW w:w="1898" w:type="pct"/>
            <w:gridSpan w:val="3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University of Novi Sad, Faculty of Sciences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Chemistry</w:t>
            </w:r>
          </w:p>
        </w:tc>
        <w:tc>
          <w:tcPr>
            <w:tcW w:w="1267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Biochemistry</w:t>
            </w:r>
          </w:p>
        </w:tc>
      </w:tr>
      <w:tr w:rsidR="001C4B97" w:rsidRPr="001C4B97" w:rsidTr="001C4B97">
        <w:trPr>
          <w:trHeight w:val="227"/>
          <w:jc w:val="center"/>
        </w:trPr>
        <w:tc>
          <w:tcPr>
            <w:tcW w:w="1002" w:type="pct"/>
            <w:gridSpan w:val="2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08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sr-Cyrl-CS"/>
              </w:rPr>
            </w:pPr>
            <w:r w:rsidRPr="001C4B97">
              <w:rPr>
                <w:sz w:val="18"/>
                <w:szCs w:val="18"/>
                <w:lang w:val="sr-Cyrl-CS"/>
              </w:rPr>
              <w:t>2003</w:t>
            </w:r>
          </w:p>
        </w:tc>
        <w:tc>
          <w:tcPr>
            <w:tcW w:w="1898" w:type="pct"/>
            <w:gridSpan w:val="3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University of Novi Sad, Faculty of Sciences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Chemistry</w:t>
            </w:r>
          </w:p>
        </w:tc>
        <w:tc>
          <w:tcPr>
            <w:tcW w:w="1267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Biochemistry</w:t>
            </w:r>
          </w:p>
        </w:tc>
      </w:tr>
      <w:tr w:rsidR="001C4B97" w:rsidRPr="001C4B97" w:rsidTr="001C4B97">
        <w:trPr>
          <w:trHeight w:val="227"/>
          <w:jc w:val="center"/>
        </w:trPr>
        <w:tc>
          <w:tcPr>
            <w:tcW w:w="1002" w:type="pct"/>
            <w:gridSpan w:val="2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08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sr-Cyrl-CS"/>
              </w:rPr>
            </w:pPr>
            <w:r w:rsidRPr="001C4B97">
              <w:rPr>
                <w:sz w:val="18"/>
                <w:szCs w:val="18"/>
                <w:lang w:val="sr-Cyrl-CS"/>
              </w:rPr>
              <w:t>1998</w:t>
            </w:r>
          </w:p>
        </w:tc>
        <w:tc>
          <w:tcPr>
            <w:tcW w:w="1898" w:type="pct"/>
            <w:gridSpan w:val="3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University of Novi Sad, Faculty of Sciences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267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1002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423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575" w:type="pct"/>
            <w:gridSpan w:val="6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1002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423" w:type="pct"/>
            <w:gridSpan w:val="2"/>
            <w:shd w:val="clear" w:color="auto" w:fill="auto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3575" w:type="pct"/>
            <w:gridSpan w:val="6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1C4B97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493" w:type="pct"/>
            <w:gridSpan w:val="8"/>
            <w:shd w:val="clear" w:color="auto" w:fill="auto"/>
            <w:vAlign w:val="center"/>
          </w:tcPr>
          <w:p w:rsidR="004734B3" w:rsidRPr="001C4B97" w:rsidRDefault="004734B3" w:rsidP="00F23B6D">
            <w:pPr>
              <w:ind w:right="-14"/>
              <w:rPr>
                <w:rFonts w:eastAsia="Times New Roman"/>
                <w:sz w:val="18"/>
                <w:szCs w:val="18"/>
                <w:lang w:val="uz-Cyrl-UZ"/>
              </w:rPr>
            </w:pP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, Katsuyama M, Miller FJ Jr (2010): An oxidized extracellular oxidation-reduction state increases Nox1 expression and proliferation in vascular smooth muscle cells via epidermal growth factor receptor activation. 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Arteriosclerosis, Thrombosis and Vascular Biology 30(11):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2234-2241.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М21</w:t>
            </w:r>
            <w:r w:rsidRPr="001C4B97">
              <w:rPr>
                <w:sz w:val="18"/>
                <w:szCs w:val="18"/>
                <w:lang w:val="en-US"/>
              </w:rPr>
              <w:t>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493" w:type="pct"/>
            <w:gridSpan w:val="8"/>
            <w:shd w:val="clear" w:color="auto" w:fill="auto"/>
            <w:vAlign w:val="center"/>
          </w:tcPr>
          <w:p w:rsidR="004734B3" w:rsidRPr="001C4B97" w:rsidRDefault="004734B3" w:rsidP="00F23B6D">
            <w:pPr>
              <w:ind w:right="-14"/>
              <w:rPr>
                <w:rFonts w:eastAsia="Times New Roman"/>
                <w:sz w:val="18"/>
                <w:szCs w:val="18"/>
                <w:lang w:val="uz-Cyrl-UZ"/>
              </w:rPr>
            </w:pP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, Pandey D, Fulton DJ, Miller FJ Jr (2012): Increased epidermal growth factor-like ligands are associated with elevated vascular nicotinamide adenine dinucleotide phosphate oxidase in a primate model of atherosclerosis. 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Arteriosclerosis, Thrombosis and Vascular Biology 32(10)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:2452-2460.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М21</w:t>
            </w:r>
            <w:r w:rsidRPr="001C4B97">
              <w:rPr>
                <w:sz w:val="18"/>
                <w:szCs w:val="18"/>
                <w:lang w:val="en-US"/>
              </w:rPr>
              <w:t>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Miller FJ Jr, Filali M, Huss GJ, </w:t>
            </w: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, Chamseddine A, Barna TJ, Lamb FS (2007): Cytokine activation of nuclear factor kappa B in vascular smooth muscle cells requires signaling endosomes containing Nox1 and ClC-3. 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Circulation Research 101(7)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:663-671. 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М21</w:t>
            </w:r>
            <w:r w:rsidRPr="001C4B97">
              <w:rPr>
                <w:sz w:val="18"/>
                <w:szCs w:val="18"/>
                <w:lang w:val="en-US"/>
              </w:rPr>
              <w:t>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Miller FJ Jr, Chu X, </w:t>
            </w: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, Tian X, Sharma RV, Davisson RL, Lamb FS (2010): A differential role for endocytosis in receptor-mediated activation of Nox1. 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Antioxidants &amp; Redox Signaling 12(5)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:583-593.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М21</w:t>
            </w:r>
            <w:r w:rsidRPr="001C4B97">
              <w:rPr>
                <w:sz w:val="18"/>
                <w:szCs w:val="18"/>
                <w:lang w:val="en-US"/>
              </w:rPr>
              <w:t>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Chu X, Filali M, </w:t>
            </w: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, Takapoo M, Sheehan A, Bhalla R, Lamb FS, Miller FJ Jr (2011): A critical role for ClC-3 in smooth muscle cell activation and neointima formation. 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Arteriosclerosis, Thrombosis and Vascular Biology 31(2):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345-351.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М21</w:t>
            </w:r>
            <w:r w:rsidRPr="001C4B97">
              <w:rPr>
                <w:sz w:val="18"/>
                <w:szCs w:val="18"/>
                <w:lang w:val="en-US"/>
              </w:rPr>
              <w:t>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ind w:right="-14"/>
              <w:rPr>
                <w:rFonts w:eastAsia="Times New Roman"/>
                <w:sz w:val="18"/>
                <w:szCs w:val="18"/>
              </w:rPr>
            </w:pP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Sheehan AL, Carrell S, Johnson B, </w:t>
            </w: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, Banfi B, Miller FJ Jr (2011): Role for Nox1 NADPH oxidase in atherosclerosis. 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Atherosclerosis 216(2):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321-326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sr-Cyrl-CS"/>
              </w:rPr>
            </w:pPr>
            <w:r w:rsidRPr="001C4B97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Zimmerman MC, Takapoo M, Jagadeesha DK, </w:t>
            </w: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, Banfi B, Bhalla R, Miller FJ (2011): Activation of NADPH oxidase 1 increases intracellular calcium and migration of smooth muscle cells. 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>Hypertension 58(3)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:446-453.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М21</w:t>
            </w:r>
            <w:r w:rsidRPr="001C4B97">
              <w:rPr>
                <w:sz w:val="18"/>
                <w:szCs w:val="18"/>
                <w:lang w:val="en-US"/>
              </w:rPr>
              <w:t>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spacing w:after="60"/>
              <w:rPr>
                <w:b/>
                <w:sz w:val="18"/>
                <w:szCs w:val="18"/>
                <w:lang w:val="sr-Cyrl-CS"/>
              </w:rPr>
            </w:pPr>
            <w:r w:rsidRPr="001C4B97">
              <w:rPr>
                <w:rFonts w:eastAsia="Times New Roman"/>
                <w:color w:val="000000"/>
                <w:sz w:val="18"/>
                <w:szCs w:val="18"/>
              </w:rPr>
              <w:t xml:space="preserve">Streeter J, Schickling BM, Jiang S, </w:t>
            </w:r>
            <w:r w:rsidRPr="001C4B97">
              <w:rPr>
                <w:rFonts w:eastAsia="Times New Roman"/>
                <w:bCs/>
                <w:color w:val="000000"/>
                <w:sz w:val="18"/>
                <w:szCs w:val="18"/>
              </w:rPr>
              <w:t>Stanic B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, Thiel WH, Gakhar L, Houtman JCD, Miller FJ Jr (2014):</w:t>
            </w:r>
            <w:r w:rsidRPr="001C4B97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 xml:space="preserve"> Phosphorylation of Nox1 regulates association with NoxA1 activation domain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.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</w:rPr>
              <w:t xml:space="preserve"> Circulation Research</w:t>
            </w:r>
            <w:r w:rsidRPr="001C4B97">
              <w:rPr>
                <w:rFonts w:eastAsia="Times New Roman"/>
                <w:i/>
                <w:iCs/>
                <w:color w:val="000000"/>
                <w:sz w:val="18"/>
                <w:szCs w:val="18"/>
                <w:shd w:val="clear" w:color="auto" w:fill="FFFFFF"/>
              </w:rPr>
              <w:t xml:space="preserve"> 115(11)</w:t>
            </w:r>
            <w:r w:rsidRPr="001C4B97">
              <w:rPr>
                <w:rFonts w:eastAsia="Times New Roman"/>
                <w:color w:val="000000"/>
                <w:sz w:val="18"/>
                <w:szCs w:val="18"/>
                <w:shd w:val="clear" w:color="auto" w:fill="FFFFFF"/>
              </w:rPr>
              <w:t>: 911-918</w:t>
            </w:r>
            <w:r w:rsidRPr="001C4B97"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М2</w:t>
            </w:r>
            <w:r w:rsidRPr="001C4B97">
              <w:rPr>
                <w:sz w:val="18"/>
                <w:szCs w:val="18"/>
                <w:lang w:val="en-US"/>
              </w:rPr>
              <w:t>1a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sr-Cyrl-CS"/>
              </w:rPr>
            </w:pPr>
            <w:r w:rsidRPr="001C4B97">
              <w:rPr>
                <w:sz w:val="18"/>
                <w:szCs w:val="18"/>
                <w:lang w:val="sr-Cyrl-CS"/>
              </w:rPr>
              <w:t>Hrubik J, Glisic B, Samardzija D, Stanic B, Pogrmic-Majkic K, Fa S, Andric N (2016): Effect of PMA-induced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sz w:val="18"/>
                <w:szCs w:val="18"/>
                <w:lang w:val="sr-Cyrl-CS"/>
              </w:rPr>
              <w:t>protein kinase C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sz w:val="18"/>
                <w:szCs w:val="18"/>
                <w:lang w:val="sr-Cyrl-CS"/>
              </w:rPr>
              <w:t>activation on development and apoptosis in early zebrafish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sz w:val="18"/>
                <w:szCs w:val="18"/>
                <w:lang w:val="sr-Cyrl-CS"/>
              </w:rPr>
              <w:t xml:space="preserve">embryos. </w:t>
            </w:r>
            <w:r w:rsidRPr="001C4B97">
              <w:rPr>
                <w:i/>
                <w:sz w:val="18"/>
                <w:szCs w:val="18"/>
                <w:lang w:val="sr-Cyrl-CS"/>
              </w:rPr>
              <w:t>Comparative Biochemistry</w:t>
            </w:r>
            <w:r w:rsidRPr="001C4B97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i/>
                <w:sz w:val="18"/>
                <w:szCs w:val="18"/>
                <w:lang w:val="sr-Cyrl-CS"/>
              </w:rPr>
              <w:t>&amp;Physiology – Part C: Toxicology and Pharmacology 190</w:t>
            </w:r>
            <w:r w:rsidRPr="001C4B97">
              <w:rPr>
                <w:sz w:val="18"/>
                <w:szCs w:val="18"/>
                <w:lang w:val="sr-Cyrl-CS"/>
              </w:rPr>
              <w:t xml:space="preserve">:24-31. 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</w:t>
            </w:r>
            <w:r w:rsidRPr="001C4B97">
              <w:rPr>
                <w:sz w:val="18"/>
                <w:szCs w:val="18"/>
                <w:lang w:val="en-US"/>
              </w:rPr>
              <w:t>21a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4493" w:type="pct"/>
            <w:gridSpan w:val="8"/>
            <w:shd w:val="clear" w:color="auto" w:fill="auto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sr-Cyrl-CS"/>
              </w:rPr>
            </w:pPr>
            <w:r w:rsidRPr="001C4B97">
              <w:rPr>
                <w:sz w:val="18"/>
                <w:szCs w:val="18"/>
                <w:lang w:val="sr-Cyrl-CS"/>
              </w:rPr>
              <w:t>Samardzija Nenadov D, Pogrmic-Majkic K, Fa S, Stanic B, Tubic A, Andric N (2018): Environmental mixture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sz w:val="18"/>
                <w:szCs w:val="18"/>
                <w:lang w:val="sr-Cyrl-CS"/>
              </w:rPr>
              <w:t>with estrogenic activity increases 3bHSD expression through estrogen receptors in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sz w:val="18"/>
                <w:szCs w:val="18"/>
                <w:lang w:val="sr-Cyrl-CS"/>
              </w:rPr>
              <w:t>immature rat granulosa cells.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i/>
                <w:sz w:val="18"/>
                <w:szCs w:val="18"/>
                <w:lang w:val="sr-Cyrl-CS"/>
              </w:rPr>
              <w:t>Journal of Applied Toxicology 38(6)</w:t>
            </w:r>
            <w:r w:rsidRPr="001C4B97">
              <w:rPr>
                <w:sz w:val="18"/>
                <w:szCs w:val="18"/>
                <w:lang w:val="sr-Cyrl-CS"/>
              </w:rPr>
              <w:t>:879-887.</w:t>
            </w:r>
          </w:p>
        </w:tc>
        <w:tc>
          <w:tcPr>
            <w:tcW w:w="284" w:type="pct"/>
            <w:vAlign w:val="center"/>
          </w:tcPr>
          <w:p w:rsidR="004734B3" w:rsidRPr="001C4B97" w:rsidRDefault="004734B3" w:rsidP="00F23B6D">
            <w:pPr>
              <w:spacing w:after="60"/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</w:t>
            </w:r>
            <w:r w:rsidRPr="001C4B97">
              <w:rPr>
                <w:sz w:val="18"/>
                <w:szCs w:val="18"/>
                <w:lang w:val="en-US"/>
              </w:rPr>
              <w:t>21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9E7B0A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4493" w:type="pct"/>
            <w:gridSpan w:val="8"/>
            <w:shd w:val="clear" w:color="auto" w:fill="auto"/>
            <w:vAlign w:val="center"/>
          </w:tcPr>
          <w:p w:rsidR="004734B3" w:rsidRPr="001C4B97" w:rsidRDefault="009E7B0A" w:rsidP="009E7B0A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</w:rPr>
              <w:t>Pogrmic-Majkic K, Samardzija Nenadov D, Fa S, Stanic B, Trninic Pjevic A, Andric N (2019): BPA activates EGFR and ERK1/2 through PPAR</w:t>
            </w:r>
            <w:r w:rsidRPr="001C4B97">
              <w:rPr>
                <w:rFonts w:ascii="Symbol" w:hAnsi="Symbol"/>
                <w:sz w:val="18"/>
                <w:szCs w:val="18"/>
              </w:rPr>
              <w:t></w:t>
            </w:r>
            <w:r w:rsidRPr="001C4B97">
              <w:rPr>
                <w:sz w:val="18"/>
                <w:szCs w:val="18"/>
              </w:rPr>
              <w:t xml:space="preserve"> to increase expression of steroidogenic acute regulatory protein in human cumulus granulosa cells. </w:t>
            </w:r>
            <w:r w:rsidRPr="001C4B97">
              <w:rPr>
                <w:i/>
                <w:sz w:val="18"/>
                <w:szCs w:val="18"/>
              </w:rPr>
              <w:t xml:space="preserve">Chemosphere </w:t>
            </w:r>
            <w:r w:rsidRPr="001C4B97">
              <w:rPr>
                <w:i/>
                <w:sz w:val="18"/>
                <w:szCs w:val="18"/>
                <w:lang w:val="en-US"/>
              </w:rPr>
              <w:t>229</w:t>
            </w:r>
            <w:r w:rsidRPr="001C4B97">
              <w:rPr>
                <w:sz w:val="18"/>
                <w:szCs w:val="18"/>
                <w:lang w:val="en-US"/>
              </w:rPr>
              <w:t>:60-67.</w:t>
            </w:r>
          </w:p>
        </w:tc>
        <w:tc>
          <w:tcPr>
            <w:tcW w:w="284" w:type="pct"/>
            <w:vAlign w:val="center"/>
          </w:tcPr>
          <w:p w:rsidR="004734B3" w:rsidRPr="001C4B97" w:rsidRDefault="009E7B0A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</w:t>
            </w:r>
            <w:r w:rsidRPr="001C4B97">
              <w:rPr>
                <w:sz w:val="18"/>
                <w:szCs w:val="18"/>
                <w:lang w:val="en-US"/>
              </w:rPr>
              <w:t>21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23" w:type="pct"/>
            <w:vAlign w:val="center"/>
          </w:tcPr>
          <w:p w:rsidR="004734B3" w:rsidRPr="001C4B97" w:rsidRDefault="009E7B0A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4493" w:type="pct"/>
            <w:gridSpan w:val="8"/>
            <w:shd w:val="clear" w:color="auto" w:fill="auto"/>
            <w:vAlign w:val="center"/>
          </w:tcPr>
          <w:p w:rsidR="004734B3" w:rsidRPr="001C4B97" w:rsidRDefault="009E7B0A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</w:rPr>
              <w:t>Pogrmic-Majkic K, Kosanin G, Samardzija Nenadov D, Fa S, Stanic B, Trninic Pjevic A, Andric N (2019): Rosiglitazone increases expression of steroidogenic acute regulatory protein and progesterone production through PPAR</w:t>
            </w:r>
            <w:r w:rsidRPr="001C4B97">
              <w:rPr>
                <w:rFonts w:ascii="Symbol" w:hAnsi="Symbol"/>
                <w:sz w:val="18"/>
                <w:szCs w:val="18"/>
              </w:rPr>
              <w:t></w:t>
            </w:r>
            <w:r w:rsidRPr="001C4B97">
              <w:rPr>
                <w:sz w:val="18"/>
                <w:szCs w:val="18"/>
              </w:rPr>
              <w:t xml:space="preserve">/EGFR/ERK1/2 in human cumulus granulosa cells. </w:t>
            </w:r>
            <w:r w:rsidRPr="001C4B97">
              <w:rPr>
                <w:i/>
                <w:sz w:val="18"/>
                <w:szCs w:val="18"/>
              </w:rPr>
              <w:t>Reproduction, Fertility and Development</w:t>
            </w:r>
            <w:r w:rsidRPr="001C4B97">
              <w:rPr>
                <w:sz w:val="18"/>
                <w:szCs w:val="18"/>
              </w:rPr>
              <w:t xml:space="preserve"> (</w:t>
            </w:r>
            <w:r w:rsidRPr="001C4B97">
              <w:rPr>
                <w:rFonts w:eastAsia="Times New Roman"/>
                <w:sz w:val="18"/>
                <w:szCs w:val="18"/>
                <w:lang w:val="en-US"/>
              </w:rPr>
              <w:t>in press</w:t>
            </w:r>
            <w:r w:rsidRPr="001C4B97">
              <w:rPr>
                <w:sz w:val="18"/>
                <w:szCs w:val="18"/>
              </w:rPr>
              <w:t>).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color w:val="000000"/>
                <w:sz w:val="18"/>
                <w:szCs w:val="18"/>
                <w:shd w:val="clear" w:color="auto" w:fill="FFFFFF"/>
              </w:rPr>
              <w:t>doi: 10.1071/RD19108</w:t>
            </w:r>
            <w:r w:rsidRPr="001C4B97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.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color w:val="000000"/>
                <w:sz w:val="18"/>
                <w:szCs w:val="18"/>
                <w:shd w:val="clear" w:color="auto" w:fill="FFFFFF"/>
              </w:rPr>
              <w:t xml:space="preserve">Epub 2019 </w:t>
            </w:r>
            <w:r w:rsidRPr="001C4B97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Jun</w:t>
            </w:r>
            <w:r w:rsidRPr="001C4B97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1C4B97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25</w:t>
            </w:r>
            <w:r w:rsidRPr="001C4B97">
              <w:rPr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4" w:type="pct"/>
            <w:vAlign w:val="center"/>
          </w:tcPr>
          <w:p w:rsidR="004734B3" w:rsidRPr="001C4B97" w:rsidRDefault="009E7B0A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sr-Cyrl-CS"/>
              </w:rPr>
              <w:t>М</w:t>
            </w:r>
            <w:r w:rsidRPr="001C4B97">
              <w:rPr>
                <w:sz w:val="18"/>
                <w:szCs w:val="18"/>
                <w:lang w:val="en-US"/>
              </w:rPr>
              <w:t>21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505" w:type="pct"/>
            <w:gridSpan w:val="5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2495" w:type="pct"/>
            <w:gridSpan w:val="5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591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505" w:type="pct"/>
            <w:gridSpan w:val="5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2495" w:type="pct"/>
            <w:gridSpan w:val="5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22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505" w:type="pct"/>
            <w:gridSpan w:val="5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798" w:type="pct"/>
            <w:gridSpan w:val="2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 xml:space="preserve">Domestic  </w:t>
            </w:r>
            <w:r w:rsidRPr="001C4B97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697" w:type="pct"/>
            <w:gridSpan w:val="3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 xml:space="preserve">International  </w:t>
            </w:r>
            <w:r w:rsidRPr="001C4B97">
              <w:rPr>
                <w:b/>
                <w:sz w:val="18"/>
                <w:szCs w:val="18"/>
                <w:lang w:val="en-US"/>
              </w:rPr>
              <w:t xml:space="preserve"> 0</w:t>
            </w: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2505" w:type="pct"/>
            <w:gridSpan w:val="5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2495" w:type="pct"/>
            <w:gridSpan w:val="5"/>
            <w:vAlign w:val="center"/>
          </w:tcPr>
          <w:p w:rsidR="004734B3" w:rsidRPr="001C4B97" w:rsidRDefault="004734B3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4734B3" w:rsidRPr="001C4B97" w:rsidTr="001C4B97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734B3" w:rsidRPr="001C4B97" w:rsidRDefault="004734B3" w:rsidP="00E917D5">
            <w:pPr>
              <w:rPr>
                <w:b/>
                <w:sz w:val="18"/>
                <w:szCs w:val="18"/>
                <w:lang w:val="en-US"/>
              </w:rPr>
            </w:pPr>
            <w:r w:rsidRPr="001C4B97">
              <w:rPr>
                <w:b/>
                <w:sz w:val="18"/>
                <w:szCs w:val="18"/>
                <w:lang w:val="en-US"/>
              </w:rPr>
              <w:t>Other information you consider to be important</w:t>
            </w:r>
          </w:p>
          <w:p w:rsidR="009E7B0A" w:rsidRPr="001C4B97" w:rsidRDefault="009E7B0A" w:rsidP="009E7B0A">
            <w:pPr>
              <w:rPr>
                <w:sz w:val="18"/>
                <w:szCs w:val="18"/>
                <w:lang w:val="en-US"/>
              </w:rPr>
            </w:pPr>
            <w:r w:rsidRPr="001C4B97">
              <w:rPr>
                <w:sz w:val="18"/>
                <w:szCs w:val="18"/>
              </w:rPr>
              <w:t xml:space="preserve">From 2005-2012 worked as Research Associate (Natural/Health Sciences) in the Division of Cardiovascular Medicine, </w:t>
            </w:r>
            <w:r w:rsidRPr="001C4B97">
              <w:rPr>
                <w:sz w:val="18"/>
                <w:szCs w:val="18"/>
                <w:lang w:val="en-US"/>
              </w:rPr>
              <w:t>Department of Internal Medicine, Carver College of Medicine, University of Iowa, Iowa City, USA</w:t>
            </w:r>
            <w:r w:rsidRPr="001C4B97">
              <w:rPr>
                <w:sz w:val="18"/>
                <w:szCs w:val="18"/>
              </w:rPr>
              <w:t>,</w:t>
            </w:r>
            <w:r w:rsidRPr="001C4B97">
              <w:rPr>
                <w:sz w:val="18"/>
                <w:szCs w:val="18"/>
                <w:lang w:val="en-US"/>
              </w:rPr>
              <w:t xml:space="preserve"> </w:t>
            </w:r>
            <w:r w:rsidRPr="001C4B97">
              <w:rPr>
                <w:sz w:val="18"/>
                <w:szCs w:val="18"/>
              </w:rPr>
              <w:t>in the laboratory of Dr. Francis J. Miller, Jr., where she completed experimental part of her Ph.D. Thesis.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25D99"/>
    <w:rsid w:val="001C4B97"/>
    <w:rsid w:val="001D60B8"/>
    <w:rsid w:val="00255AF8"/>
    <w:rsid w:val="004734B3"/>
    <w:rsid w:val="0047415A"/>
    <w:rsid w:val="004E70A3"/>
    <w:rsid w:val="005610EE"/>
    <w:rsid w:val="005872AC"/>
    <w:rsid w:val="005C5FD6"/>
    <w:rsid w:val="0077173F"/>
    <w:rsid w:val="00880906"/>
    <w:rsid w:val="008C170D"/>
    <w:rsid w:val="009768CD"/>
    <w:rsid w:val="009E7B0A"/>
    <w:rsid w:val="00AE6D32"/>
    <w:rsid w:val="00B373F6"/>
    <w:rsid w:val="00B42DFE"/>
    <w:rsid w:val="00C55462"/>
    <w:rsid w:val="00CB505B"/>
    <w:rsid w:val="00F27A64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2019-09-24T13:00:00Z</dcterms:created>
  <dcterms:modified xsi:type="dcterms:W3CDTF">2020-04-23T12:55:00Z</dcterms:modified>
</cp:coreProperties>
</file>