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731" w:type="pct"/>
        <w:jc w:val="center"/>
        <w:tblInd w:w="-2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
        <w:gridCol w:w="1493"/>
        <w:gridCol w:w="803"/>
        <w:gridCol w:w="126"/>
        <w:gridCol w:w="1054"/>
        <w:gridCol w:w="1610"/>
        <w:gridCol w:w="990"/>
        <w:gridCol w:w="1006"/>
        <w:gridCol w:w="2499"/>
        <w:gridCol w:w="995"/>
      </w:tblGrid>
      <w:tr w:rsidR="00FC7920" w:rsidRPr="00DD131E" w:rsidTr="00B4202A">
        <w:trPr>
          <w:trHeight w:val="227"/>
          <w:jc w:val="center"/>
        </w:trPr>
        <w:tc>
          <w:tcPr>
            <w:tcW w:w="1246" w:type="pct"/>
            <w:gridSpan w:val="3"/>
            <w:vAlign w:val="center"/>
          </w:tcPr>
          <w:p w:rsidR="00FC7920" w:rsidRPr="00DD131E" w:rsidRDefault="00FC7920" w:rsidP="00E917D5">
            <w:pPr>
              <w:rPr>
                <w:sz w:val="18"/>
                <w:szCs w:val="18"/>
                <w:lang w:val="en-US"/>
              </w:rPr>
            </w:pPr>
            <w:r w:rsidRPr="00DD131E">
              <w:rPr>
                <w:b/>
                <w:sz w:val="18"/>
                <w:szCs w:val="18"/>
                <w:lang w:val="en-US"/>
              </w:rPr>
              <w:t>Name and family name</w:t>
            </w:r>
          </w:p>
        </w:tc>
        <w:tc>
          <w:tcPr>
            <w:tcW w:w="3754" w:type="pct"/>
            <w:gridSpan w:val="7"/>
            <w:vAlign w:val="center"/>
          </w:tcPr>
          <w:p w:rsidR="00FC7920" w:rsidRPr="00B4202A" w:rsidRDefault="002B4AE0" w:rsidP="00E917D5">
            <w:pPr>
              <w:rPr>
                <w:sz w:val="18"/>
                <w:szCs w:val="18"/>
                <w:lang w:val="en-US"/>
              </w:rPr>
            </w:pPr>
            <w:proofErr w:type="spellStart"/>
            <w:r w:rsidRPr="00B4202A">
              <w:rPr>
                <w:sz w:val="18"/>
                <w:szCs w:val="18"/>
                <w:lang w:val="en-US"/>
              </w:rPr>
              <w:t>Saša</w:t>
            </w:r>
            <w:proofErr w:type="spellEnd"/>
            <w:r w:rsidRPr="00B4202A">
              <w:rPr>
                <w:sz w:val="18"/>
                <w:szCs w:val="18"/>
                <w:lang w:val="en-US"/>
              </w:rPr>
              <w:t xml:space="preserve"> </w:t>
            </w:r>
            <w:proofErr w:type="spellStart"/>
            <w:r w:rsidRPr="00B4202A">
              <w:rPr>
                <w:sz w:val="18"/>
                <w:szCs w:val="18"/>
                <w:lang w:val="en-US"/>
              </w:rPr>
              <w:t>Orlović</w:t>
            </w:r>
            <w:proofErr w:type="spellEnd"/>
          </w:p>
        </w:tc>
      </w:tr>
      <w:tr w:rsidR="00FC7920" w:rsidRPr="00DD131E" w:rsidTr="00B4202A">
        <w:trPr>
          <w:trHeight w:val="227"/>
          <w:jc w:val="center"/>
        </w:trPr>
        <w:tc>
          <w:tcPr>
            <w:tcW w:w="1246" w:type="pct"/>
            <w:gridSpan w:val="3"/>
            <w:vAlign w:val="center"/>
          </w:tcPr>
          <w:p w:rsidR="00FC7920" w:rsidRPr="00DD131E" w:rsidRDefault="00FC7920" w:rsidP="00E917D5">
            <w:pPr>
              <w:rPr>
                <w:sz w:val="18"/>
                <w:szCs w:val="18"/>
                <w:lang w:val="en-US"/>
              </w:rPr>
            </w:pPr>
            <w:r w:rsidRPr="00DD131E">
              <w:rPr>
                <w:b/>
                <w:sz w:val="18"/>
                <w:szCs w:val="18"/>
                <w:lang w:val="en-US"/>
              </w:rPr>
              <w:t xml:space="preserve">Title </w:t>
            </w:r>
          </w:p>
        </w:tc>
        <w:tc>
          <w:tcPr>
            <w:tcW w:w="3754" w:type="pct"/>
            <w:gridSpan w:val="7"/>
            <w:vAlign w:val="center"/>
          </w:tcPr>
          <w:p w:rsidR="00FC7920" w:rsidRPr="00B4202A" w:rsidRDefault="00B4202A" w:rsidP="00E917D5">
            <w:pPr>
              <w:rPr>
                <w:sz w:val="18"/>
                <w:szCs w:val="18"/>
                <w:lang w:val="en-US"/>
              </w:rPr>
            </w:pPr>
            <w:r w:rsidRPr="00B4202A">
              <w:rPr>
                <w:sz w:val="18"/>
                <w:szCs w:val="18"/>
                <w:lang w:val="en-US"/>
              </w:rPr>
              <w:t>Full Research Professor</w:t>
            </w:r>
          </w:p>
        </w:tc>
      </w:tr>
      <w:tr w:rsidR="00FC7920" w:rsidRPr="00DD131E" w:rsidTr="00B4202A">
        <w:trPr>
          <w:trHeight w:val="227"/>
          <w:jc w:val="center"/>
        </w:trPr>
        <w:tc>
          <w:tcPr>
            <w:tcW w:w="1246" w:type="pct"/>
            <w:gridSpan w:val="3"/>
            <w:vAlign w:val="center"/>
          </w:tcPr>
          <w:p w:rsidR="00FC7920" w:rsidRPr="00DD131E" w:rsidRDefault="00FC7920" w:rsidP="00E917D5">
            <w:pPr>
              <w:rPr>
                <w:sz w:val="18"/>
                <w:szCs w:val="18"/>
                <w:lang w:val="en-US"/>
              </w:rPr>
            </w:pPr>
            <w:r w:rsidRPr="00DD131E">
              <w:rPr>
                <w:b/>
                <w:sz w:val="18"/>
                <w:szCs w:val="18"/>
                <w:lang w:val="en-US"/>
              </w:rPr>
              <w:t>Narrow scientific area</w:t>
            </w:r>
          </w:p>
        </w:tc>
        <w:tc>
          <w:tcPr>
            <w:tcW w:w="3754" w:type="pct"/>
            <w:gridSpan w:val="7"/>
            <w:vAlign w:val="center"/>
          </w:tcPr>
          <w:p w:rsidR="00FC7920" w:rsidRPr="00DD131E" w:rsidRDefault="002B4AE0" w:rsidP="00E917D5">
            <w:pPr>
              <w:rPr>
                <w:sz w:val="18"/>
                <w:szCs w:val="18"/>
                <w:lang w:val="en-US"/>
              </w:rPr>
            </w:pPr>
            <w:r w:rsidRPr="00DD131E">
              <w:rPr>
                <w:sz w:val="18"/>
                <w:szCs w:val="18"/>
                <w:lang w:val="en-US"/>
              </w:rPr>
              <w:t>Forestry</w:t>
            </w:r>
          </w:p>
        </w:tc>
      </w:tr>
      <w:tr w:rsidR="00BD6C7C" w:rsidRPr="00DD131E" w:rsidTr="00B4202A">
        <w:trPr>
          <w:trHeight w:val="227"/>
          <w:jc w:val="center"/>
        </w:trPr>
        <w:tc>
          <w:tcPr>
            <w:tcW w:w="882" w:type="pct"/>
            <w:gridSpan w:val="2"/>
            <w:vAlign w:val="center"/>
          </w:tcPr>
          <w:p w:rsidR="00FC7920" w:rsidRPr="00DD131E" w:rsidRDefault="00FC7920" w:rsidP="00E917D5">
            <w:pPr>
              <w:rPr>
                <w:sz w:val="18"/>
                <w:szCs w:val="18"/>
                <w:lang w:val="en-US"/>
              </w:rPr>
            </w:pPr>
            <w:r w:rsidRPr="00DD131E">
              <w:rPr>
                <w:b/>
                <w:sz w:val="18"/>
                <w:szCs w:val="18"/>
                <w:lang w:val="en-US"/>
              </w:rPr>
              <w:t>Academic career</w:t>
            </w:r>
          </w:p>
        </w:tc>
        <w:tc>
          <w:tcPr>
            <w:tcW w:w="364" w:type="pct"/>
            <w:vAlign w:val="center"/>
          </w:tcPr>
          <w:p w:rsidR="00FC7920" w:rsidRPr="00DD131E" w:rsidRDefault="00FC7920" w:rsidP="00E917D5">
            <w:pPr>
              <w:rPr>
                <w:b/>
                <w:sz w:val="18"/>
                <w:szCs w:val="18"/>
                <w:lang w:val="en-US"/>
              </w:rPr>
            </w:pPr>
            <w:r w:rsidRPr="00DD131E">
              <w:rPr>
                <w:b/>
                <w:sz w:val="18"/>
                <w:szCs w:val="18"/>
                <w:lang w:val="en-US"/>
              </w:rPr>
              <w:t xml:space="preserve">Year  </w:t>
            </w:r>
          </w:p>
        </w:tc>
        <w:tc>
          <w:tcPr>
            <w:tcW w:w="1265" w:type="pct"/>
            <w:gridSpan w:val="3"/>
            <w:vAlign w:val="center"/>
          </w:tcPr>
          <w:p w:rsidR="00FC7920" w:rsidRPr="00DD131E" w:rsidRDefault="00FC7920" w:rsidP="00E917D5">
            <w:pPr>
              <w:rPr>
                <w:b/>
                <w:sz w:val="18"/>
                <w:szCs w:val="18"/>
                <w:lang w:val="en-US"/>
              </w:rPr>
            </w:pPr>
            <w:r w:rsidRPr="00DD131E">
              <w:rPr>
                <w:b/>
                <w:sz w:val="18"/>
                <w:szCs w:val="18"/>
                <w:lang w:val="en-US"/>
              </w:rPr>
              <w:t xml:space="preserve">Institution  </w:t>
            </w:r>
          </w:p>
        </w:tc>
        <w:tc>
          <w:tcPr>
            <w:tcW w:w="449" w:type="pct"/>
            <w:shd w:val="clear" w:color="auto" w:fill="auto"/>
            <w:vAlign w:val="center"/>
          </w:tcPr>
          <w:p w:rsidR="00FC7920" w:rsidRPr="00DD131E" w:rsidRDefault="00FC7920" w:rsidP="00E917D5">
            <w:pPr>
              <w:rPr>
                <w:b/>
                <w:sz w:val="18"/>
                <w:szCs w:val="18"/>
                <w:lang w:val="en-US"/>
              </w:rPr>
            </w:pPr>
            <w:r w:rsidRPr="00DD131E">
              <w:rPr>
                <w:b/>
                <w:sz w:val="18"/>
                <w:szCs w:val="18"/>
                <w:lang w:val="en-US"/>
              </w:rPr>
              <w:t xml:space="preserve">Area  </w:t>
            </w:r>
          </w:p>
        </w:tc>
        <w:tc>
          <w:tcPr>
            <w:tcW w:w="2040" w:type="pct"/>
            <w:gridSpan w:val="3"/>
            <w:shd w:val="clear" w:color="auto" w:fill="auto"/>
            <w:vAlign w:val="center"/>
          </w:tcPr>
          <w:p w:rsidR="00FC7920" w:rsidRPr="00DD131E" w:rsidRDefault="00FC7920" w:rsidP="00E917D5">
            <w:pPr>
              <w:rPr>
                <w:b/>
                <w:sz w:val="18"/>
                <w:szCs w:val="18"/>
                <w:lang w:val="en-US"/>
              </w:rPr>
            </w:pPr>
            <w:r w:rsidRPr="00DD131E">
              <w:rPr>
                <w:b/>
                <w:sz w:val="18"/>
                <w:szCs w:val="18"/>
                <w:lang w:val="en-US"/>
              </w:rPr>
              <w:t>Narrow scientific or art area</w:t>
            </w:r>
          </w:p>
        </w:tc>
      </w:tr>
      <w:tr w:rsidR="00BD6C7C" w:rsidRPr="00DD131E" w:rsidTr="00B4202A">
        <w:trPr>
          <w:trHeight w:val="227"/>
          <w:jc w:val="center"/>
        </w:trPr>
        <w:tc>
          <w:tcPr>
            <w:tcW w:w="882" w:type="pct"/>
            <w:gridSpan w:val="2"/>
            <w:vAlign w:val="center"/>
          </w:tcPr>
          <w:p w:rsidR="00FC7920" w:rsidRPr="00DD131E" w:rsidRDefault="00FC7920" w:rsidP="00E917D5">
            <w:pPr>
              <w:rPr>
                <w:sz w:val="18"/>
                <w:szCs w:val="18"/>
                <w:lang w:val="en-US"/>
              </w:rPr>
            </w:pPr>
            <w:r w:rsidRPr="00DD131E">
              <w:rPr>
                <w:sz w:val="18"/>
                <w:szCs w:val="18"/>
                <w:lang w:val="en-US"/>
              </w:rPr>
              <w:t>Election to the title</w:t>
            </w:r>
          </w:p>
        </w:tc>
        <w:tc>
          <w:tcPr>
            <w:tcW w:w="364" w:type="pct"/>
            <w:vAlign w:val="center"/>
          </w:tcPr>
          <w:p w:rsidR="00FC7920" w:rsidRPr="00B4202A" w:rsidRDefault="00B4202A" w:rsidP="00E917D5">
            <w:pPr>
              <w:rPr>
                <w:sz w:val="18"/>
                <w:szCs w:val="18"/>
              </w:rPr>
            </w:pPr>
            <w:r>
              <w:rPr>
                <w:sz w:val="18"/>
                <w:szCs w:val="18"/>
              </w:rPr>
              <w:t>2005</w:t>
            </w:r>
          </w:p>
        </w:tc>
        <w:tc>
          <w:tcPr>
            <w:tcW w:w="1265" w:type="pct"/>
            <w:gridSpan w:val="3"/>
            <w:vAlign w:val="center"/>
          </w:tcPr>
          <w:p w:rsidR="00FC7920" w:rsidRPr="00B4202A" w:rsidRDefault="00B4202A" w:rsidP="00E917D5">
            <w:pPr>
              <w:rPr>
                <w:sz w:val="18"/>
                <w:szCs w:val="18"/>
                <w:lang w:val="en-US"/>
              </w:rPr>
            </w:pPr>
            <w:r w:rsidRPr="00B4202A">
              <w:rPr>
                <w:rStyle w:val="tlid-translation"/>
                <w:sz w:val="18"/>
                <w:szCs w:val="18"/>
              </w:rPr>
              <w:t>Institute of Lowland Forestry and the Environment</w:t>
            </w:r>
          </w:p>
        </w:tc>
        <w:tc>
          <w:tcPr>
            <w:tcW w:w="449" w:type="pct"/>
            <w:shd w:val="clear" w:color="auto" w:fill="auto"/>
            <w:vAlign w:val="center"/>
          </w:tcPr>
          <w:p w:rsidR="00FC7920" w:rsidRPr="00DD131E" w:rsidRDefault="002B4AE0" w:rsidP="00E917D5">
            <w:pPr>
              <w:rPr>
                <w:sz w:val="18"/>
                <w:szCs w:val="18"/>
                <w:lang w:val="en-US"/>
              </w:rPr>
            </w:pPr>
            <w:r w:rsidRPr="00DD131E">
              <w:rPr>
                <w:sz w:val="18"/>
                <w:szCs w:val="18"/>
                <w:lang w:val="en-US"/>
              </w:rPr>
              <w:t>Forestry</w:t>
            </w:r>
          </w:p>
        </w:tc>
        <w:tc>
          <w:tcPr>
            <w:tcW w:w="2040" w:type="pct"/>
            <w:gridSpan w:val="3"/>
            <w:shd w:val="clear" w:color="auto" w:fill="auto"/>
            <w:vAlign w:val="center"/>
          </w:tcPr>
          <w:p w:rsidR="00FC7920" w:rsidRPr="00DD131E" w:rsidRDefault="00B4202A" w:rsidP="00E917D5">
            <w:pPr>
              <w:rPr>
                <w:sz w:val="18"/>
                <w:szCs w:val="18"/>
                <w:lang w:val="en-US"/>
              </w:rPr>
            </w:pPr>
            <w:r w:rsidRPr="00DD131E">
              <w:rPr>
                <w:sz w:val="18"/>
                <w:szCs w:val="18"/>
                <w:lang w:val="en-US"/>
              </w:rPr>
              <w:t>Forestry</w:t>
            </w:r>
          </w:p>
        </w:tc>
      </w:tr>
      <w:tr w:rsidR="00BD6C7C" w:rsidRPr="00DD131E" w:rsidTr="00B4202A">
        <w:trPr>
          <w:trHeight w:val="227"/>
          <w:jc w:val="center"/>
        </w:trPr>
        <w:tc>
          <w:tcPr>
            <w:tcW w:w="882" w:type="pct"/>
            <w:gridSpan w:val="2"/>
            <w:vAlign w:val="center"/>
          </w:tcPr>
          <w:p w:rsidR="00FC7920" w:rsidRPr="00DD131E" w:rsidRDefault="00FC7920" w:rsidP="00E917D5">
            <w:pPr>
              <w:rPr>
                <w:sz w:val="18"/>
                <w:szCs w:val="18"/>
                <w:lang w:val="en-US"/>
              </w:rPr>
            </w:pPr>
            <w:r w:rsidRPr="00DD131E">
              <w:rPr>
                <w:sz w:val="18"/>
                <w:szCs w:val="18"/>
                <w:lang w:val="en-US"/>
              </w:rPr>
              <w:t>PhD</w:t>
            </w:r>
          </w:p>
        </w:tc>
        <w:tc>
          <w:tcPr>
            <w:tcW w:w="364" w:type="pct"/>
            <w:vAlign w:val="center"/>
          </w:tcPr>
          <w:p w:rsidR="00FC7920" w:rsidRPr="00DD131E" w:rsidRDefault="002B4AE0" w:rsidP="00E917D5">
            <w:pPr>
              <w:rPr>
                <w:sz w:val="18"/>
                <w:szCs w:val="18"/>
                <w:lang w:val="en-US"/>
              </w:rPr>
            </w:pPr>
            <w:r w:rsidRPr="00DD131E">
              <w:rPr>
                <w:sz w:val="18"/>
                <w:szCs w:val="18"/>
                <w:lang w:val="en-US"/>
              </w:rPr>
              <w:t>1996</w:t>
            </w:r>
          </w:p>
        </w:tc>
        <w:tc>
          <w:tcPr>
            <w:tcW w:w="1265" w:type="pct"/>
            <w:gridSpan w:val="3"/>
            <w:vAlign w:val="center"/>
          </w:tcPr>
          <w:p w:rsidR="00FC7920" w:rsidRPr="00B4202A" w:rsidRDefault="00B4202A" w:rsidP="00E917D5">
            <w:pPr>
              <w:rPr>
                <w:sz w:val="18"/>
                <w:szCs w:val="18"/>
                <w:lang w:val="en-US"/>
              </w:rPr>
            </w:pPr>
            <w:r w:rsidRPr="00B4202A">
              <w:rPr>
                <w:rStyle w:val="tlid-translation"/>
                <w:sz w:val="18"/>
                <w:szCs w:val="18"/>
              </w:rPr>
              <w:t>Faculty of Forestry</w:t>
            </w:r>
          </w:p>
        </w:tc>
        <w:tc>
          <w:tcPr>
            <w:tcW w:w="449" w:type="pct"/>
            <w:shd w:val="clear" w:color="auto" w:fill="auto"/>
            <w:vAlign w:val="center"/>
          </w:tcPr>
          <w:p w:rsidR="00FC7920" w:rsidRPr="00DD131E" w:rsidRDefault="008E49A1" w:rsidP="00E917D5">
            <w:pPr>
              <w:rPr>
                <w:sz w:val="18"/>
                <w:szCs w:val="18"/>
                <w:lang w:val="en-US"/>
              </w:rPr>
            </w:pPr>
            <w:r w:rsidRPr="00DD131E">
              <w:rPr>
                <w:sz w:val="18"/>
                <w:szCs w:val="18"/>
                <w:lang w:val="en-US"/>
              </w:rPr>
              <w:t>Forestry</w:t>
            </w:r>
          </w:p>
        </w:tc>
        <w:tc>
          <w:tcPr>
            <w:tcW w:w="2040" w:type="pct"/>
            <w:gridSpan w:val="3"/>
            <w:shd w:val="clear" w:color="auto" w:fill="auto"/>
            <w:vAlign w:val="center"/>
          </w:tcPr>
          <w:p w:rsidR="00FC7920" w:rsidRPr="00DD131E" w:rsidRDefault="008147AE" w:rsidP="00E917D5">
            <w:pPr>
              <w:rPr>
                <w:sz w:val="18"/>
                <w:szCs w:val="18"/>
                <w:lang w:val="en-US"/>
              </w:rPr>
            </w:pPr>
            <w:r w:rsidRPr="00DD131E">
              <w:rPr>
                <w:sz w:val="18"/>
                <w:szCs w:val="18"/>
                <w:lang w:val="en-US"/>
              </w:rPr>
              <w:t xml:space="preserve">Seed management, nursery production and </w:t>
            </w:r>
            <w:proofErr w:type="spellStart"/>
            <w:r w:rsidRPr="00DD131E">
              <w:rPr>
                <w:sz w:val="18"/>
                <w:szCs w:val="18"/>
                <w:lang w:val="en-US"/>
              </w:rPr>
              <w:t>afforestation</w:t>
            </w:r>
            <w:proofErr w:type="spellEnd"/>
          </w:p>
        </w:tc>
      </w:tr>
      <w:tr w:rsidR="00BD6C7C" w:rsidRPr="00DD131E" w:rsidTr="00B4202A">
        <w:trPr>
          <w:trHeight w:val="227"/>
          <w:jc w:val="center"/>
        </w:trPr>
        <w:tc>
          <w:tcPr>
            <w:tcW w:w="882" w:type="pct"/>
            <w:gridSpan w:val="2"/>
            <w:vAlign w:val="center"/>
          </w:tcPr>
          <w:p w:rsidR="00FC7920" w:rsidRPr="00DD131E" w:rsidRDefault="00FC7920" w:rsidP="00E917D5">
            <w:pPr>
              <w:rPr>
                <w:sz w:val="18"/>
                <w:szCs w:val="18"/>
                <w:lang w:val="en-US"/>
              </w:rPr>
            </w:pPr>
            <w:r w:rsidRPr="00DD131E">
              <w:rPr>
                <w:sz w:val="18"/>
                <w:szCs w:val="18"/>
                <w:lang w:val="en-US"/>
              </w:rPr>
              <w:t>Master degree</w:t>
            </w:r>
          </w:p>
        </w:tc>
        <w:tc>
          <w:tcPr>
            <w:tcW w:w="364" w:type="pct"/>
            <w:vAlign w:val="center"/>
          </w:tcPr>
          <w:p w:rsidR="00FC7920" w:rsidRPr="00DD131E" w:rsidRDefault="002B4AE0" w:rsidP="00E917D5">
            <w:pPr>
              <w:rPr>
                <w:sz w:val="18"/>
                <w:szCs w:val="18"/>
                <w:lang w:val="en-US"/>
              </w:rPr>
            </w:pPr>
            <w:r w:rsidRPr="00DD131E">
              <w:rPr>
                <w:sz w:val="18"/>
                <w:szCs w:val="18"/>
                <w:lang w:val="en-US"/>
              </w:rPr>
              <w:t>1993</w:t>
            </w:r>
          </w:p>
        </w:tc>
        <w:tc>
          <w:tcPr>
            <w:tcW w:w="1265" w:type="pct"/>
            <w:gridSpan w:val="3"/>
            <w:vAlign w:val="center"/>
          </w:tcPr>
          <w:p w:rsidR="00FC7920" w:rsidRPr="00B4202A" w:rsidRDefault="00B4202A" w:rsidP="00E917D5">
            <w:pPr>
              <w:rPr>
                <w:sz w:val="18"/>
                <w:szCs w:val="18"/>
                <w:lang w:val="en-US"/>
              </w:rPr>
            </w:pPr>
            <w:r w:rsidRPr="00B4202A">
              <w:rPr>
                <w:rStyle w:val="tlid-translation"/>
                <w:sz w:val="18"/>
                <w:szCs w:val="18"/>
              </w:rPr>
              <w:t>Faculty of Forestry</w:t>
            </w:r>
          </w:p>
        </w:tc>
        <w:tc>
          <w:tcPr>
            <w:tcW w:w="449" w:type="pct"/>
            <w:shd w:val="clear" w:color="auto" w:fill="auto"/>
            <w:vAlign w:val="center"/>
          </w:tcPr>
          <w:p w:rsidR="00FC7920" w:rsidRPr="00DD131E" w:rsidRDefault="008E49A1" w:rsidP="00E917D5">
            <w:pPr>
              <w:rPr>
                <w:sz w:val="18"/>
                <w:szCs w:val="18"/>
                <w:lang w:val="en-US"/>
              </w:rPr>
            </w:pPr>
            <w:r w:rsidRPr="00DD131E">
              <w:rPr>
                <w:sz w:val="18"/>
                <w:szCs w:val="18"/>
                <w:lang w:val="en-US"/>
              </w:rPr>
              <w:t>Forestry</w:t>
            </w:r>
          </w:p>
        </w:tc>
        <w:tc>
          <w:tcPr>
            <w:tcW w:w="2040" w:type="pct"/>
            <w:gridSpan w:val="3"/>
            <w:shd w:val="clear" w:color="auto" w:fill="auto"/>
            <w:vAlign w:val="center"/>
          </w:tcPr>
          <w:p w:rsidR="00FC7920" w:rsidRPr="00DD131E" w:rsidRDefault="008147AE" w:rsidP="00E917D5">
            <w:pPr>
              <w:rPr>
                <w:sz w:val="18"/>
                <w:szCs w:val="18"/>
                <w:lang w:val="en-US"/>
              </w:rPr>
            </w:pPr>
            <w:r w:rsidRPr="00DD131E">
              <w:rPr>
                <w:sz w:val="18"/>
                <w:szCs w:val="18"/>
                <w:lang w:val="en-US"/>
              </w:rPr>
              <w:t xml:space="preserve">Seed management, nursery production and </w:t>
            </w:r>
            <w:proofErr w:type="spellStart"/>
            <w:r w:rsidRPr="00DD131E">
              <w:rPr>
                <w:sz w:val="18"/>
                <w:szCs w:val="18"/>
                <w:lang w:val="en-US"/>
              </w:rPr>
              <w:t>afforestation</w:t>
            </w:r>
            <w:proofErr w:type="spellEnd"/>
          </w:p>
        </w:tc>
      </w:tr>
      <w:tr w:rsidR="00BD6C7C" w:rsidRPr="00DD131E" w:rsidTr="00B4202A">
        <w:trPr>
          <w:trHeight w:val="227"/>
          <w:jc w:val="center"/>
        </w:trPr>
        <w:tc>
          <w:tcPr>
            <w:tcW w:w="882" w:type="pct"/>
            <w:gridSpan w:val="2"/>
            <w:vAlign w:val="center"/>
          </w:tcPr>
          <w:p w:rsidR="00FC7920" w:rsidRPr="00DD131E" w:rsidRDefault="00FC7920" w:rsidP="00E917D5">
            <w:pPr>
              <w:rPr>
                <w:sz w:val="18"/>
                <w:szCs w:val="18"/>
                <w:lang w:val="en-US"/>
              </w:rPr>
            </w:pPr>
            <w:r w:rsidRPr="00DD131E">
              <w:rPr>
                <w:sz w:val="18"/>
                <w:szCs w:val="18"/>
                <w:lang w:val="en-US"/>
              </w:rPr>
              <w:t>Master diploma</w:t>
            </w:r>
          </w:p>
        </w:tc>
        <w:tc>
          <w:tcPr>
            <w:tcW w:w="364" w:type="pct"/>
            <w:vAlign w:val="center"/>
          </w:tcPr>
          <w:p w:rsidR="00FC7920" w:rsidRPr="00DD131E" w:rsidRDefault="00FC7920" w:rsidP="00E917D5">
            <w:pPr>
              <w:rPr>
                <w:sz w:val="18"/>
                <w:szCs w:val="18"/>
                <w:lang w:val="en-US"/>
              </w:rPr>
            </w:pPr>
          </w:p>
        </w:tc>
        <w:tc>
          <w:tcPr>
            <w:tcW w:w="1265" w:type="pct"/>
            <w:gridSpan w:val="3"/>
            <w:vAlign w:val="center"/>
          </w:tcPr>
          <w:p w:rsidR="00FC7920" w:rsidRPr="00B4202A" w:rsidRDefault="00FC7920" w:rsidP="00E917D5">
            <w:pPr>
              <w:rPr>
                <w:sz w:val="18"/>
                <w:szCs w:val="18"/>
                <w:lang w:val="en-US"/>
              </w:rPr>
            </w:pPr>
          </w:p>
        </w:tc>
        <w:tc>
          <w:tcPr>
            <w:tcW w:w="449" w:type="pct"/>
            <w:shd w:val="clear" w:color="auto" w:fill="auto"/>
            <w:vAlign w:val="center"/>
          </w:tcPr>
          <w:p w:rsidR="00FC7920" w:rsidRPr="00DD131E" w:rsidRDefault="00FC7920" w:rsidP="00E917D5">
            <w:pPr>
              <w:rPr>
                <w:sz w:val="18"/>
                <w:szCs w:val="18"/>
                <w:lang w:val="en-US"/>
              </w:rPr>
            </w:pPr>
          </w:p>
        </w:tc>
        <w:tc>
          <w:tcPr>
            <w:tcW w:w="2040" w:type="pct"/>
            <w:gridSpan w:val="3"/>
            <w:shd w:val="clear" w:color="auto" w:fill="auto"/>
            <w:vAlign w:val="center"/>
          </w:tcPr>
          <w:p w:rsidR="00FC7920" w:rsidRPr="00DD131E" w:rsidRDefault="00FC7920" w:rsidP="00E917D5">
            <w:pPr>
              <w:rPr>
                <w:sz w:val="18"/>
                <w:szCs w:val="18"/>
                <w:lang w:val="en-US"/>
              </w:rPr>
            </w:pPr>
          </w:p>
        </w:tc>
      </w:tr>
      <w:tr w:rsidR="00BD6C7C" w:rsidRPr="00DD131E" w:rsidTr="00B4202A">
        <w:trPr>
          <w:trHeight w:val="227"/>
          <w:jc w:val="center"/>
        </w:trPr>
        <w:tc>
          <w:tcPr>
            <w:tcW w:w="882" w:type="pct"/>
            <w:gridSpan w:val="2"/>
            <w:vAlign w:val="center"/>
          </w:tcPr>
          <w:p w:rsidR="00FC7920" w:rsidRPr="00DD131E" w:rsidRDefault="00FC7920" w:rsidP="00E917D5">
            <w:pPr>
              <w:rPr>
                <w:sz w:val="18"/>
                <w:szCs w:val="18"/>
                <w:lang w:val="en-US"/>
              </w:rPr>
            </w:pPr>
            <w:r w:rsidRPr="00DD131E">
              <w:rPr>
                <w:sz w:val="18"/>
                <w:szCs w:val="18"/>
                <w:lang w:val="en-US"/>
              </w:rPr>
              <w:t xml:space="preserve">Diploma </w:t>
            </w:r>
          </w:p>
        </w:tc>
        <w:tc>
          <w:tcPr>
            <w:tcW w:w="364" w:type="pct"/>
            <w:vAlign w:val="center"/>
          </w:tcPr>
          <w:p w:rsidR="00FC7920" w:rsidRPr="00DD131E" w:rsidRDefault="002B4AE0" w:rsidP="00E917D5">
            <w:pPr>
              <w:rPr>
                <w:sz w:val="18"/>
                <w:szCs w:val="18"/>
                <w:lang w:val="en-US"/>
              </w:rPr>
            </w:pPr>
            <w:r w:rsidRPr="00DD131E">
              <w:rPr>
                <w:sz w:val="18"/>
                <w:szCs w:val="18"/>
                <w:lang w:val="en-US"/>
              </w:rPr>
              <w:t>1990</w:t>
            </w:r>
          </w:p>
        </w:tc>
        <w:tc>
          <w:tcPr>
            <w:tcW w:w="1265" w:type="pct"/>
            <w:gridSpan w:val="3"/>
            <w:vAlign w:val="center"/>
          </w:tcPr>
          <w:p w:rsidR="00FC7920" w:rsidRPr="00B4202A" w:rsidRDefault="00B4202A" w:rsidP="00E917D5">
            <w:pPr>
              <w:rPr>
                <w:sz w:val="18"/>
                <w:szCs w:val="18"/>
                <w:lang w:val="en-US"/>
              </w:rPr>
            </w:pPr>
            <w:r w:rsidRPr="00B4202A">
              <w:rPr>
                <w:rStyle w:val="tlid-translation"/>
                <w:sz w:val="18"/>
                <w:szCs w:val="18"/>
              </w:rPr>
              <w:t>Faculty of Forestry</w:t>
            </w:r>
          </w:p>
        </w:tc>
        <w:tc>
          <w:tcPr>
            <w:tcW w:w="449" w:type="pct"/>
            <w:shd w:val="clear" w:color="auto" w:fill="auto"/>
            <w:vAlign w:val="center"/>
          </w:tcPr>
          <w:p w:rsidR="00FC7920" w:rsidRPr="00DD131E" w:rsidRDefault="008E49A1" w:rsidP="00E917D5">
            <w:pPr>
              <w:rPr>
                <w:sz w:val="18"/>
                <w:szCs w:val="18"/>
                <w:lang w:val="en-US"/>
              </w:rPr>
            </w:pPr>
            <w:r w:rsidRPr="00DD131E">
              <w:rPr>
                <w:sz w:val="18"/>
                <w:szCs w:val="18"/>
                <w:lang w:val="en-US"/>
              </w:rPr>
              <w:t>Forestry</w:t>
            </w:r>
          </w:p>
        </w:tc>
        <w:tc>
          <w:tcPr>
            <w:tcW w:w="2040" w:type="pct"/>
            <w:gridSpan w:val="3"/>
            <w:shd w:val="clear" w:color="auto" w:fill="auto"/>
            <w:vAlign w:val="center"/>
          </w:tcPr>
          <w:p w:rsidR="00FC7920" w:rsidRPr="00DD131E" w:rsidRDefault="008147AE" w:rsidP="00E917D5">
            <w:pPr>
              <w:rPr>
                <w:sz w:val="18"/>
                <w:szCs w:val="18"/>
                <w:lang w:val="en-US"/>
              </w:rPr>
            </w:pPr>
            <w:r w:rsidRPr="00DD131E">
              <w:rPr>
                <w:sz w:val="18"/>
                <w:szCs w:val="18"/>
                <w:lang w:val="en-US"/>
              </w:rPr>
              <w:t xml:space="preserve">Seed management, nursery production and </w:t>
            </w:r>
            <w:proofErr w:type="spellStart"/>
            <w:r w:rsidRPr="00DD131E">
              <w:rPr>
                <w:sz w:val="18"/>
                <w:szCs w:val="18"/>
                <w:lang w:val="en-US"/>
              </w:rPr>
              <w:t>afforestation</w:t>
            </w:r>
            <w:proofErr w:type="spellEnd"/>
          </w:p>
        </w:tc>
      </w:tr>
      <w:tr w:rsidR="00FC7920" w:rsidRPr="00DD131E" w:rsidTr="00B4202A">
        <w:trPr>
          <w:trHeight w:val="227"/>
          <w:jc w:val="center"/>
        </w:trPr>
        <w:tc>
          <w:tcPr>
            <w:tcW w:w="5000" w:type="pct"/>
            <w:gridSpan w:val="10"/>
            <w:vAlign w:val="center"/>
          </w:tcPr>
          <w:p w:rsidR="00FC7920" w:rsidRPr="00DD131E" w:rsidRDefault="00FC7920" w:rsidP="00E917D5">
            <w:pPr>
              <w:rPr>
                <w:b/>
                <w:sz w:val="18"/>
                <w:szCs w:val="18"/>
                <w:lang w:val="en-US"/>
              </w:rPr>
            </w:pPr>
            <w:r w:rsidRPr="00DD131E">
              <w:rPr>
                <w:b/>
                <w:sz w:val="18"/>
                <w:szCs w:val="18"/>
                <w:lang w:val="en-US"/>
              </w:rPr>
              <w:t>List of subjects the teacher is lecturing in doctoral studies</w:t>
            </w:r>
          </w:p>
        </w:tc>
      </w:tr>
      <w:tr w:rsidR="00FC7920" w:rsidRPr="00DD131E" w:rsidTr="00B4202A">
        <w:trPr>
          <w:trHeight w:val="227"/>
          <w:jc w:val="center"/>
        </w:trPr>
        <w:tc>
          <w:tcPr>
            <w:tcW w:w="882" w:type="pct"/>
            <w:gridSpan w:val="2"/>
            <w:shd w:val="clear" w:color="auto" w:fill="auto"/>
            <w:vAlign w:val="center"/>
          </w:tcPr>
          <w:p w:rsidR="00FC7920" w:rsidRPr="00DD131E" w:rsidRDefault="00FC7920" w:rsidP="00E917D5">
            <w:pPr>
              <w:rPr>
                <w:b/>
                <w:sz w:val="18"/>
                <w:szCs w:val="18"/>
                <w:lang w:val="en-US"/>
              </w:rPr>
            </w:pPr>
            <w:r w:rsidRPr="00DD131E">
              <w:rPr>
                <w:b/>
                <w:sz w:val="18"/>
                <w:szCs w:val="18"/>
                <w:lang w:val="en-US"/>
              </w:rPr>
              <w:t>No.</w:t>
            </w:r>
          </w:p>
        </w:tc>
        <w:tc>
          <w:tcPr>
            <w:tcW w:w="421" w:type="pct"/>
            <w:gridSpan w:val="2"/>
            <w:shd w:val="clear" w:color="auto" w:fill="auto"/>
            <w:vAlign w:val="center"/>
          </w:tcPr>
          <w:p w:rsidR="00FC7920" w:rsidRPr="00DD131E" w:rsidRDefault="00FC7920" w:rsidP="00E917D5">
            <w:pPr>
              <w:rPr>
                <w:b/>
                <w:sz w:val="18"/>
                <w:szCs w:val="18"/>
                <w:lang w:val="en-US"/>
              </w:rPr>
            </w:pPr>
            <w:r w:rsidRPr="00DD131E">
              <w:rPr>
                <w:b/>
                <w:sz w:val="18"/>
                <w:szCs w:val="18"/>
                <w:lang w:val="en-US"/>
              </w:rPr>
              <w:t xml:space="preserve">Mark  </w:t>
            </w:r>
          </w:p>
        </w:tc>
        <w:tc>
          <w:tcPr>
            <w:tcW w:w="3697" w:type="pct"/>
            <w:gridSpan w:val="6"/>
            <w:vAlign w:val="center"/>
          </w:tcPr>
          <w:p w:rsidR="00FC7920" w:rsidRPr="00DD131E" w:rsidRDefault="00FC7920" w:rsidP="00E917D5">
            <w:pPr>
              <w:rPr>
                <w:b/>
                <w:sz w:val="18"/>
                <w:szCs w:val="18"/>
                <w:lang w:val="en-US"/>
              </w:rPr>
            </w:pPr>
            <w:r w:rsidRPr="00DD131E">
              <w:rPr>
                <w:b/>
                <w:iCs/>
                <w:sz w:val="18"/>
                <w:szCs w:val="18"/>
                <w:lang w:val="en-US"/>
              </w:rPr>
              <w:t>Subject name</w:t>
            </w:r>
          </w:p>
        </w:tc>
      </w:tr>
      <w:tr w:rsidR="00FC7920" w:rsidRPr="00DD131E" w:rsidTr="00B4202A">
        <w:trPr>
          <w:trHeight w:val="227"/>
          <w:jc w:val="center"/>
        </w:trPr>
        <w:tc>
          <w:tcPr>
            <w:tcW w:w="882" w:type="pct"/>
            <w:gridSpan w:val="2"/>
            <w:shd w:val="clear" w:color="auto" w:fill="auto"/>
            <w:vAlign w:val="center"/>
          </w:tcPr>
          <w:p w:rsidR="00FC7920" w:rsidRPr="00DD131E" w:rsidRDefault="00496DDC" w:rsidP="00E917D5">
            <w:pPr>
              <w:rPr>
                <w:sz w:val="18"/>
                <w:szCs w:val="18"/>
                <w:lang w:val="en-US"/>
              </w:rPr>
            </w:pPr>
            <w:r w:rsidRPr="00DD131E">
              <w:rPr>
                <w:sz w:val="18"/>
                <w:szCs w:val="18"/>
                <w:lang w:val="en-US"/>
              </w:rPr>
              <w:t>1.</w:t>
            </w:r>
          </w:p>
        </w:tc>
        <w:tc>
          <w:tcPr>
            <w:tcW w:w="421" w:type="pct"/>
            <w:gridSpan w:val="2"/>
            <w:shd w:val="clear" w:color="auto" w:fill="auto"/>
            <w:vAlign w:val="center"/>
          </w:tcPr>
          <w:p w:rsidR="00FC7920" w:rsidRPr="00DD131E" w:rsidRDefault="00FC7920" w:rsidP="00E917D5">
            <w:pPr>
              <w:rPr>
                <w:sz w:val="18"/>
                <w:szCs w:val="18"/>
                <w:lang w:val="en-US"/>
              </w:rPr>
            </w:pPr>
          </w:p>
        </w:tc>
        <w:tc>
          <w:tcPr>
            <w:tcW w:w="3697" w:type="pct"/>
            <w:gridSpan w:val="6"/>
            <w:vAlign w:val="center"/>
          </w:tcPr>
          <w:p w:rsidR="00FC7920" w:rsidRPr="00DD131E" w:rsidRDefault="00496DDC" w:rsidP="00E917D5">
            <w:pPr>
              <w:rPr>
                <w:sz w:val="18"/>
                <w:szCs w:val="18"/>
                <w:lang w:val="en-US"/>
              </w:rPr>
            </w:pPr>
            <w:r w:rsidRPr="00DD131E">
              <w:rPr>
                <w:sz w:val="18"/>
                <w:szCs w:val="18"/>
                <w:lang w:val="en-US"/>
              </w:rPr>
              <w:t>Forest tree genetic resources</w:t>
            </w:r>
          </w:p>
        </w:tc>
      </w:tr>
      <w:tr w:rsidR="00FC7920" w:rsidRPr="00DD131E" w:rsidTr="00B4202A">
        <w:trPr>
          <w:trHeight w:val="227"/>
          <w:jc w:val="center"/>
        </w:trPr>
        <w:tc>
          <w:tcPr>
            <w:tcW w:w="882" w:type="pct"/>
            <w:gridSpan w:val="2"/>
            <w:shd w:val="clear" w:color="auto" w:fill="auto"/>
            <w:vAlign w:val="center"/>
          </w:tcPr>
          <w:p w:rsidR="00FC7920" w:rsidRPr="00DD131E" w:rsidRDefault="00496DDC" w:rsidP="00E917D5">
            <w:pPr>
              <w:rPr>
                <w:sz w:val="18"/>
                <w:szCs w:val="18"/>
                <w:lang w:val="en-US"/>
              </w:rPr>
            </w:pPr>
            <w:r w:rsidRPr="00DD131E">
              <w:rPr>
                <w:sz w:val="18"/>
                <w:szCs w:val="18"/>
                <w:lang w:val="en-US"/>
              </w:rPr>
              <w:t>2.</w:t>
            </w:r>
          </w:p>
        </w:tc>
        <w:tc>
          <w:tcPr>
            <w:tcW w:w="421" w:type="pct"/>
            <w:gridSpan w:val="2"/>
            <w:shd w:val="clear" w:color="auto" w:fill="auto"/>
            <w:vAlign w:val="center"/>
          </w:tcPr>
          <w:p w:rsidR="00FC7920" w:rsidRPr="00DD131E" w:rsidRDefault="00FC7920" w:rsidP="00E917D5">
            <w:pPr>
              <w:rPr>
                <w:sz w:val="18"/>
                <w:szCs w:val="18"/>
                <w:lang w:val="en-US"/>
              </w:rPr>
            </w:pPr>
          </w:p>
        </w:tc>
        <w:tc>
          <w:tcPr>
            <w:tcW w:w="3697" w:type="pct"/>
            <w:gridSpan w:val="6"/>
            <w:vAlign w:val="center"/>
          </w:tcPr>
          <w:p w:rsidR="00FC7920" w:rsidRPr="00DD131E" w:rsidRDefault="00496DDC" w:rsidP="00E917D5">
            <w:pPr>
              <w:rPr>
                <w:sz w:val="18"/>
                <w:szCs w:val="18"/>
                <w:lang w:val="en-US"/>
              </w:rPr>
            </w:pPr>
            <w:r w:rsidRPr="00DD131E">
              <w:rPr>
                <w:sz w:val="18"/>
                <w:szCs w:val="18"/>
                <w:lang w:val="en-US"/>
              </w:rPr>
              <w:t>Systems of green spaces</w:t>
            </w:r>
          </w:p>
        </w:tc>
      </w:tr>
      <w:tr w:rsidR="007B69B5" w:rsidRPr="00DD131E" w:rsidTr="00B4202A">
        <w:trPr>
          <w:trHeight w:val="227"/>
          <w:jc w:val="center"/>
        </w:trPr>
        <w:tc>
          <w:tcPr>
            <w:tcW w:w="882" w:type="pct"/>
            <w:gridSpan w:val="2"/>
            <w:shd w:val="clear" w:color="auto" w:fill="auto"/>
            <w:vAlign w:val="center"/>
          </w:tcPr>
          <w:p w:rsidR="007B69B5" w:rsidRPr="00DD131E" w:rsidRDefault="007B69B5" w:rsidP="00E917D5">
            <w:pPr>
              <w:rPr>
                <w:sz w:val="18"/>
                <w:szCs w:val="18"/>
                <w:lang w:val="en-US"/>
              </w:rPr>
            </w:pPr>
            <w:r w:rsidRPr="00DD131E">
              <w:rPr>
                <w:sz w:val="18"/>
                <w:szCs w:val="18"/>
                <w:lang w:val="en-US"/>
              </w:rPr>
              <w:t>3.</w:t>
            </w:r>
          </w:p>
        </w:tc>
        <w:tc>
          <w:tcPr>
            <w:tcW w:w="421" w:type="pct"/>
            <w:gridSpan w:val="2"/>
            <w:shd w:val="clear" w:color="auto" w:fill="auto"/>
            <w:vAlign w:val="center"/>
          </w:tcPr>
          <w:p w:rsidR="007B69B5" w:rsidRPr="00DD131E" w:rsidRDefault="007B69B5" w:rsidP="00E917D5">
            <w:pPr>
              <w:rPr>
                <w:sz w:val="18"/>
                <w:szCs w:val="18"/>
                <w:lang w:val="en-US"/>
              </w:rPr>
            </w:pPr>
            <w:r w:rsidRPr="00DD131E">
              <w:rPr>
                <w:sz w:val="18"/>
                <w:szCs w:val="18"/>
                <w:lang w:val="en-US"/>
              </w:rPr>
              <w:t>DNE003</w:t>
            </w:r>
          </w:p>
        </w:tc>
        <w:tc>
          <w:tcPr>
            <w:tcW w:w="3697" w:type="pct"/>
            <w:gridSpan w:val="6"/>
            <w:vAlign w:val="center"/>
          </w:tcPr>
          <w:p w:rsidR="007B69B5" w:rsidRPr="00DD131E" w:rsidRDefault="007B69B5" w:rsidP="00E917D5">
            <w:pPr>
              <w:rPr>
                <w:sz w:val="18"/>
                <w:szCs w:val="18"/>
                <w:lang w:val="en-US"/>
              </w:rPr>
            </w:pPr>
            <w:r w:rsidRPr="00DD131E">
              <w:rPr>
                <w:rStyle w:val="tlid-translation"/>
                <w:sz w:val="18"/>
                <w:szCs w:val="18"/>
              </w:rPr>
              <w:t>Forest ecosystems and sustainable development</w:t>
            </w:r>
          </w:p>
        </w:tc>
      </w:tr>
      <w:tr w:rsidR="00FC7920" w:rsidRPr="00DD131E" w:rsidTr="00B4202A">
        <w:trPr>
          <w:trHeight w:val="227"/>
          <w:jc w:val="center"/>
        </w:trPr>
        <w:tc>
          <w:tcPr>
            <w:tcW w:w="5000" w:type="pct"/>
            <w:gridSpan w:val="10"/>
            <w:vAlign w:val="center"/>
          </w:tcPr>
          <w:p w:rsidR="00FC7920" w:rsidRPr="00DD131E" w:rsidRDefault="00FC7920" w:rsidP="00E917D5">
            <w:pPr>
              <w:rPr>
                <w:b/>
                <w:sz w:val="18"/>
                <w:szCs w:val="18"/>
                <w:lang w:val="en-US"/>
              </w:rPr>
            </w:pPr>
            <w:r w:rsidRPr="00DD131E">
              <w:rPr>
                <w:sz w:val="18"/>
                <w:szCs w:val="18"/>
                <w:lang w:val="en-US"/>
              </w:rPr>
              <w:t xml:space="preserve">The most significant papers, in compliance with the requirements of the additional requirements of the standard for the given field </w:t>
            </w:r>
            <w:r w:rsidRPr="00DD131E">
              <w:rPr>
                <w:b/>
                <w:sz w:val="18"/>
                <w:szCs w:val="18"/>
                <w:lang w:val="en-US"/>
              </w:rPr>
              <w:t>(minimum 10, not more than 20)</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1</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Pšidová, E., Živčák, M., Stojnić, S.,</w:t>
            </w:r>
            <w:r w:rsidRPr="00DD131E">
              <w:rPr>
                <w:b/>
                <w:sz w:val="18"/>
                <w:szCs w:val="18"/>
              </w:rPr>
              <w:t xml:space="preserve"> Orlović, S.,</w:t>
            </w:r>
            <w:r w:rsidRPr="00DD131E">
              <w:rPr>
                <w:sz w:val="18"/>
                <w:szCs w:val="18"/>
              </w:rPr>
              <w:t xml:space="preserve"> Gömöry, D., Kučerová, J., Ditmarová, L., Střelcová, K., Brestič, M., Kalaji, H.M. (2018). Altitude of origin influences the responses of PSII photochemistry to heat waves in European beech (</w:t>
            </w:r>
            <w:r w:rsidRPr="00DD131E">
              <w:rPr>
                <w:i/>
                <w:sz w:val="18"/>
                <w:szCs w:val="18"/>
              </w:rPr>
              <w:t>Fagus sylvatica</w:t>
            </w:r>
            <w:r w:rsidRPr="00DD131E">
              <w:rPr>
                <w:sz w:val="18"/>
                <w:szCs w:val="18"/>
              </w:rPr>
              <w:t xml:space="preserve"> L.). Environmental and Experimental Botany 152, 97-106.</w:t>
            </w:r>
          </w:p>
        </w:tc>
        <w:tc>
          <w:tcPr>
            <w:tcW w:w="451" w:type="pct"/>
            <w:vAlign w:val="center"/>
          </w:tcPr>
          <w:p w:rsidR="00BD6C7C" w:rsidRPr="00DD131E" w:rsidRDefault="00BD6C7C" w:rsidP="00BC7A51">
            <w:pPr>
              <w:rPr>
                <w:sz w:val="18"/>
                <w:szCs w:val="18"/>
              </w:rPr>
            </w:pPr>
            <w:r w:rsidRPr="00DD131E">
              <w:rPr>
                <w:sz w:val="18"/>
                <w:szCs w:val="18"/>
              </w:rPr>
              <w:t>М21а</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2</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Galovic V., Orlovic S., Pap P., Kovacevic B., Markovic M. (2010): Specificity of SSR loci for Melampsora species on poplars. Genetika, 42(3): 513-520.</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M23</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3</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Kovacevic B., Orlovic S., Ivanovic I., Cobanovic K., Nikolic-Doric E., Katanic M., Galovic V. (2011):  Relationship among eastern cottonwood genotypes according to early rooting traits. Genetika, 43(2): 307 -320.</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M23</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4</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Kovačević B., Miladinović D., Orlović S., Tomović, Z., Rončević, S., Poljaković-Pajnik, L. (2012): Effect of leaf treatment with cobalt chloride on adventitious rooting of Cottonwood (Populus deltoides Bartr. ex Marsh ) cuttings. Propagation of Ornamental Plants, 12(1): 52-57.</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M23</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5</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Саша Орловић, Андреј Пилиповић, Срђан Стојнић, Саша Пекеч, Милан Матаруга, Цвјетковић Бранислав, Миљковић Данијела (2014). Variation in leaf photosynthetic traits of Wild cherry (Prunus avium L.) families in a nursery trial, Šumarski list 7-8: 381 – 387</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M23</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6</w:t>
            </w:r>
          </w:p>
        </w:tc>
        <w:tc>
          <w:tcPr>
            <w:tcW w:w="4344" w:type="pct"/>
            <w:gridSpan w:val="8"/>
            <w:shd w:val="clear" w:color="auto" w:fill="auto"/>
          </w:tcPr>
          <w:p w:rsidR="00BD6C7C" w:rsidRPr="00DD131E" w:rsidRDefault="00BD6C7C" w:rsidP="00BC7A51">
            <w:pPr>
              <w:rPr>
                <w:sz w:val="18"/>
                <w:szCs w:val="18"/>
              </w:rPr>
            </w:pPr>
            <w:r w:rsidRPr="00DD131E">
              <w:rPr>
                <w:sz w:val="18"/>
                <w:szCs w:val="18"/>
              </w:rPr>
              <w:t xml:space="preserve">Борис Поповић, Дубравка Штајнер, Ружица Ждеро Павловић, Весна Тумбас Шапоњац, Jasna Čanadanović-Brunet, Саша Орловић (2016). Water stress induces changes in polyphenol profile and antioxidant capacity in poplar plants (Populus spp.), </w:t>
            </w:r>
            <w:bookmarkStart w:id="0" w:name="OLE_LINK4"/>
            <w:bookmarkStart w:id="1" w:name="OLE_LINK5"/>
            <w:r w:rsidRPr="00DD131E">
              <w:rPr>
                <w:sz w:val="18"/>
                <w:szCs w:val="18"/>
              </w:rPr>
              <w:t xml:space="preserve">Plant Physiology and Biochemistry </w:t>
            </w:r>
            <w:bookmarkEnd w:id="0"/>
            <w:bookmarkEnd w:id="1"/>
            <w:r w:rsidRPr="00DD131E">
              <w:rPr>
                <w:sz w:val="18"/>
                <w:szCs w:val="18"/>
              </w:rPr>
              <w:t>105:242 – 250</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M21</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7</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Владислава Галовић, Саша Орловић, Fladung, M.(2015). Characterization of two poplar homologs of the GRAS/SCL gene, which encodes a transcription factor putatively associated with salt tolerance, iForest – Biogeosciences and Forestry. 8: 780 - 785</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M22</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8</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Дејан Стојановић, Levanič Tom, Братислав Матовић, Саша Орловић. (2015). Growth decrease and mortality of oak floodplain forests as a response to change of water regime and climate, European Journal of Forest Research, Springer.134: 555 - 567</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M21</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9</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Vasic V., Orlovic S., Pap P., Kovacevic B., Drekic M., Poljakovic-Pajnik L., Galic Z. (2015):  Application of pre-emergence herbicides in poplar nursery production. J. For. Res., 26(1): 143–151</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M23</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10</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Срђан Стојнић, Саша Орловић, Данијела Миљковић, Зоран Галић, Марко Кеберт, G. von Wuehlisch (2015). Provenance plasticity of European beech leaf traits under differing environmental conditions at two Serbian common garden sites. European Journal of Forest Research, Springer, 134, 6, pp. 1109 – 1125</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M21</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11</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Vuksanović V., Kovačević B., Katanić M., Orlović S., Miladinović D. (2017): In vitro Evaluation of Copper Tolerance and Accumulation in Populus nigra. Arch Biol Sci. 69(4):679-687</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M23</w:t>
            </w:r>
          </w:p>
        </w:tc>
      </w:tr>
      <w:tr w:rsidR="00BD6C7C" w:rsidRPr="00DD131E" w:rsidTr="00B4202A">
        <w:trPr>
          <w:trHeight w:val="227"/>
          <w:jc w:val="center"/>
        </w:trPr>
        <w:tc>
          <w:tcPr>
            <w:tcW w:w="205" w:type="pct"/>
            <w:vAlign w:val="center"/>
          </w:tcPr>
          <w:p w:rsidR="00BD6C7C" w:rsidRPr="00DD131E" w:rsidRDefault="00BD6C7C" w:rsidP="00BC7A51">
            <w:pPr>
              <w:tabs>
                <w:tab w:val="left" w:pos="567"/>
              </w:tabs>
              <w:rPr>
                <w:sz w:val="18"/>
                <w:szCs w:val="18"/>
              </w:rPr>
            </w:pPr>
            <w:r w:rsidRPr="00DD131E">
              <w:rPr>
                <w:sz w:val="18"/>
                <w:szCs w:val="18"/>
              </w:rPr>
              <w:t>12</w:t>
            </w:r>
          </w:p>
        </w:tc>
        <w:tc>
          <w:tcPr>
            <w:tcW w:w="4344" w:type="pct"/>
            <w:gridSpan w:val="8"/>
            <w:shd w:val="clear" w:color="auto" w:fill="auto"/>
            <w:vAlign w:val="bottom"/>
          </w:tcPr>
          <w:p w:rsidR="00BD6C7C" w:rsidRPr="00DD131E" w:rsidRDefault="00BD6C7C" w:rsidP="00BC7A51">
            <w:pPr>
              <w:rPr>
                <w:sz w:val="18"/>
                <w:szCs w:val="18"/>
              </w:rPr>
            </w:pPr>
            <w:r w:rsidRPr="00DD131E">
              <w:rPr>
                <w:sz w:val="18"/>
                <w:szCs w:val="18"/>
              </w:rPr>
              <w:t>Eva Pšidová, Marek Živčák, Srđan Stojnić, Saša Orlović, Dušan Gömöry, Jana Kučerová, Ľubica Ditmarová, Katarína Střelcová, Marián Brestič, Hazem M. Kalaji (2018). Altitude of origin influences the responses of PSII photochemistry to heat waves in European beech (Fagus sylvatica L.). Environmental and Experimental Botany vol.152:97-106</w:t>
            </w:r>
          </w:p>
        </w:tc>
        <w:tc>
          <w:tcPr>
            <w:tcW w:w="451" w:type="pct"/>
            <w:vAlign w:val="center"/>
          </w:tcPr>
          <w:p w:rsidR="00BD6C7C" w:rsidRPr="00DD131E" w:rsidRDefault="00BD6C7C" w:rsidP="00BC7A51">
            <w:pPr>
              <w:tabs>
                <w:tab w:val="left" w:pos="567"/>
              </w:tabs>
              <w:spacing w:after="60"/>
              <w:rPr>
                <w:sz w:val="18"/>
                <w:szCs w:val="18"/>
                <w:lang w:val="en-US"/>
              </w:rPr>
            </w:pPr>
            <w:r w:rsidRPr="00DD131E">
              <w:rPr>
                <w:sz w:val="18"/>
                <w:szCs w:val="18"/>
              </w:rPr>
              <w:t>M21a</w:t>
            </w:r>
          </w:p>
        </w:tc>
      </w:tr>
      <w:tr w:rsidR="00BD6C7C" w:rsidRPr="00DD131E" w:rsidTr="00B4202A">
        <w:trPr>
          <w:trHeight w:val="227"/>
          <w:jc w:val="center"/>
        </w:trPr>
        <w:tc>
          <w:tcPr>
            <w:tcW w:w="5000" w:type="pct"/>
            <w:gridSpan w:val="10"/>
            <w:vAlign w:val="center"/>
          </w:tcPr>
          <w:p w:rsidR="00BD6C7C" w:rsidRPr="00DD131E" w:rsidRDefault="00BD6C7C" w:rsidP="00E917D5">
            <w:pPr>
              <w:rPr>
                <w:sz w:val="18"/>
                <w:szCs w:val="18"/>
                <w:lang w:val="en-US"/>
              </w:rPr>
            </w:pPr>
            <w:r w:rsidRPr="00DD131E">
              <w:rPr>
                <w:b/>
                <w:sz w:val="18"/>
                <w:szCs w:val="18"/>
                <w:lang w:val="en-US"/>
              </w:rPr>
              <w:t>Cumulative data of scientific activity of the teacher</w:t>
            </w:r>
          </w:p>
        </w:tc>
      </w:tr>
      <w:tr w:rsidR="00BD6C7C" w:rsidRPr="00DD131E" w:rsidTr="00B4202A">
        <w:trPr>
          <w:trHeight w:val="227"/>
          <w:jc w:val="center"/>
        </w:trPr>
        <w:tc>
          <w:tcPr>
            <w:tcW w:w="1781" w:type="pct"/>
            <w:gridSpan w:val="5"/>
          </w:tcPr>
          <w:p w:rsidR="00BD6C7C" w:rsidRPr="00DD131E" w:rsidRDefault="00BD6C7C" w:rsidP="00E917D5">
            <w:pPr>
              <w:rPr>
                <w:sz w:val="18"/>
                <w:szCs w:val="18"/>
                <w:lang w:val="en-US"/>
              </w:rPr>
            </w:pPr>
            <w:r w:rsidRPr="00DD131E">
              <w:rPr>
                <w:sz w:val="18"/>
                <w:szCs w:val="18"/>
                <w:lang w:val="en-US"/>
              </w:rPr>
              <w:t>Total number of citations, without self citations</w:t>
            </w:r>
          </w:p>
        </w:tc>
        <w:tc>
          <w:tcPr>
            <w:tcW w:w="3219" w:type="pct"/>
            <w:gridSpan w:val="5"/>
            <w:vAlign w:val="center"/>
          </w:tcPr>
          <w:p w:rsidR="00BD6C7C" w:rsidRPr="00DD131E" w:rsidRDefault="00BD6C7C" w:rsidP="00E917D5">
            <w:pPr>
              <w:rPr>
                <w:sz w:val="18"/>
                <w:szCs w:val="18"/>
                <w:lang w:val="en-US"/>
              </w:rPr>
            </w:pPr>
            <w:r w:rsidRPr="00DD131E">
              <w:rPr>
                <w:sz w:val="18"/>
                <w:szCs w:val="18"/>
                <w:lang w:val="en-US"/>
              </w:rPr>
              <w:t>562</w:t>
            </w:r>
            <w:bookmarkStart w:id="2" w:name="_GoBack"/>
            <w:bookmarkEnd w:id="2"/>
          </w:p>
        </w:tc>
      </w:tr>
      <w:tr w:rsidR="00BD6C7C" w:rsidRPr="00DD131E" w:rsidTr="00B4202A">
        <w:trPr>
          <w:trHeight w:val="227"/>
          <w:jc w:val="center"/>
        </w:trPr>
        <w:tc>
          <w:tcPr>
            <w:tcW w:w="1781" w:type="pct"/>
            <w:gridSpan w:val="5"/>
          </w:tcPr>
          <w:p w:rsidR="00BD6C7C" w:rsidRPr="00DD131E" w:rsidRDefault="00BD6C7C" w:rsidP="00E917D5">
            <w:pPr>
              <w:rPr>
                <w:sz w:val="18"/>
                <w:szCs w:val="18"/>
                <w:lang w:val="en-US"/>
              </w:rPr>
            </w:pPr>
            <w:r w:rsidRPr="00DD131E">
              <w:rPr>
                <w:sz w:val="18"/>
                <w:szCs w:val="18"/>
                <w:lang w:val="en-US"/>
              </w:rPr>
              <w:t>Total number of papers on the SCI (or SSCI) list</w:t>
            </w:r>
          </w:p>
        </w:tc>
        <w:tc>
          <w:tcPr>
            <w:tcW w:w="3219" w:type="pct"/>
            <w:gridSpan w:val="5"/>
            <w:vAlign w:val="center"/>
          </w:tcPr>
          <w:p w:rsidR="00BD6C7C" w:rsidRPr="00DD131E" w:rsidRDefault="00BD6C7C" w:rsidP="00E917D5">
            <w:pPr>
              <w:rPr>
                <w:sz w:val="18"/>
                <w:szCs w:val="18"/>
                <w:lang w:val="en-US"/>
              </w:rPr>
            </w:pPr>
            <w:r w:rsidRPr="00DD131E">
              <w:rPr>
                <w:sz w:val="18"/>
                <w:szCs w:val="18"/>
                <w:lang w:val="en-US"/>
              </w:rPr>
              <w:t>68</w:t>
            </w:r>
          </w:p>
        </w:tc>
      </w:tr>
      <w:tr w:rsidR="00BD6C7C" w:rsidRPr="00DD131E" w:rsidTr="00B4202A">
        <w:trPr>
          <w:trHeight w:val="227"/>
          <w:jc w:val="center"/>
        </w:trPr>
        <w:tc>
          <w:tcPr>
            <w:tcW w:w="1781" w:type="pct"/>
            <w:gridSpan w:val="5"/>
          </w:tcPr>
          <w:p w:rsidR="00BD6C7C" w:rsidRPr="00DD131E" w:rsidRDefault="00BD6C7C" w:rsidP="00E917D5">
            <w:pPr>
              <w:rPr>
                <w:sz w:val="18"/>
                <w:szCs w:val="18"/>
                <w:lang w:val="en-US"/>
              </w:rPr>
            </w:pPr>
            <w:r w:rsidRPr="00DD131E">
              <w:rPr>
                <w:sz w:val="18"/>
                <w:szCs w:val="18"/>
                <w:lang w:val="en-US"/>
              </w:rPr>
              <w:t>Current participation in projects</w:t>
            </w:r>
          </w:p>
        </w:tc>
        <w:tc>
          <w:tcPr>
            <w:tcW w:w="1635" w:type="pct"/>
            <w:gridSpan w:val="3"/>
            <w:vAlign w:val="center"/>
          </w:tcPr>
          <w:p w:rsidR="00BD6C7C" w:rsidRPr="00DD131E" w:rsidRDefault="00BD6C7C" w:rsidP="00E917D5">
            <w:pPr>
              <w:rPr>
                <w:sz w:val="18"/>
                <w:szCs w:val="18"/>
                <w:lang w:val="en-US"/>
              </w:rPr>
            </w:pPr>
            <w:r w:rsidRPr="00DD131E">
              <w:rPr>
                <w:sz w:val="18"/>
                <w:szCs w:val="18"/>
                <w:lang w:val="en-US"/>
              </w:rPr>
              <w:t xml:space="preserve">Domestic </w:t>
            </w:r>
            <w:r w:rsidR="003F58BE" w:rsidRPr="00DD131E">
              <w:rPr>
                <w:sz w:val="18"/>
                <w:szCs w:val="18"/>
                <w:lang w:val="en-US"/>
              </w:rPr>
              <w:t>4</w:t>
            </w:r>
          </w:p>
        </w:tc>
        <w:tc>
          <w:tcPr>
            <w:tcW w:w="1584" w:type="pct"/>
            <w:gridSpan w:val="2"/>
            <w:vAlign w:val="center"/>
          </w:tcPr>
          <w:p w:rsidR="00BD6C7C" w:rsidRPr="00DD131E" w:rsidRDefault="00BD6C7C" w:rsidP="00E917D5">
            <w:pPr>
              <w:rPr>
                <w:sz w:val="18"/>
                <w:szCs w:val="18"/>
                <w:lang w:val="en-US"/>
              </w:rPr>
            </w:pPr>
            <w:r w:rsidRPr="00DD131E">
              <w:rPr>
                <w:sz w:val="18"/>
                <w:szCs w:val="18"/>
                <w:lang w:val="en-US"/>
              </w:rPr>
              <w:t xml:space="preserve">International </w:t>
            </w:r>
            <w:r w:rsidR="003F58BE" w:rsidRPr="00DD131E">
              <w:rPr>
                <w:sz w:val="18"/>
                <w:szCs w:val="18"/>
                <w:lang w:val="en-US"/>
              </w:rPr>
              <w:t>3</w:t>
            </w:r>
          </w:p>
        </w:tc>
      </w:tr>
      <w:tr w:rsidR="00BD6C7C" w:rsidRPr="00DD131E" w:rsidTr="00B4202A">
        <w:trPr>
          <w:trHeight w:val="227"/>
          <w:jc w:val="center"/>
        </w:trPr>
        <w:tc>
          <w:tcPr>
            <w:tcW w:w="1781" w:type="pct"/>
            <w:gridSpan w:val="5"/>
          </w:tcPr>
          <w:p w:rsidR="00BD6C7C" w:rsidRPr="00DD131E" w:rsidRDefault="00BD6C7C" w:rsidP="00E917D5">
            <w:pPr>
              <w:rPr>
                <w:sz w:val="18"/>
                <w:szCs w:val="18"/>
                <w:lang w:val="en-US"/>
              </w:rPr>
            </w:pPr>
            <w:r w:rsidRPr="00DD131E">
              <w:rPr>
                <w:sz w:val="18"/>
                <w:szCs w:val="18"/>
                <w:lang w:val="en-US"/>
              </w:rPr>
              <w:t>specialization</w:t>
            </w:r>
          </w:p>
        </w:tc>
        <w:tc>
          <w:tcPr>
            <w:tcW w:w="3219" w:type="pct"/>
            <w:gridSpan w:val="5"/>
            <w:vAlign w:val="center"/>
          </w:tcPr>
          <w:p w:rsidR="00BD6C7C" w:rsidRPr="00DD131E" w:rsidRDefault="00DD131E" w:rsidP="003F58BE">
            <w:pPr>
              <w:rPr>
                <w:sz w:val="18"/>
                <w:szCs w:val="18"/>
                <w:lang w:val="en-US"/>
              </w:rPr>
            </w:pPr>
            <w:r w:rsidRPr="00DD131E">
              <w:rPr>
                <w:rStyle w:val="tlid-translation"/>
                <w:sz w:val="18"/>
                <w:szCs w:val="18"/>
              </w:rPr>
              <w:t>Has spent several short stays in institutions in the UK, France, Netherlands, Belgium, Sweden, Denmark, Germany, Portugal, Spain, Greece, Hungary, Bulgaria, Slovakia, Iceland, Chile, Argentina, USA, Canada, China, Italy , Austria, Finland, Switzerland, Czech Republic, Luxembourg, Croatia, Slovenia, Spain, India, Lithuania, Romania and Thailand.</w:t>
            </w:r>
          </w:p>
        </w:tc>
      </w:tr>
      <w:tr w:rsidR="00BD6C7C" w:rsidRPr="00DD131E" w:rsidTr="00B4202A">
        <w:trPr>
          <w:trHeight w:val="227"/>
          <w:jc w:val="center"/>
        </w:trPr>
        <w:tc>
          <w:tcPr>
            <w:tcW w:w="5000" w:type="pct"/>
            <w:gridSpan w:val="10"/>
            <w:vAlign w:val="center"/>
          </w:tcPr>
          <w:p w:rsidR="00BD6C7C" w:rsidRPr="00DD131E" w:rsidRDefault="00BD6C7C" w:rsidP="00E917D5">
            <w:pPr>
              <w:rPr>
                <w:sz w:val="18"/>
                <w:szCs w:val="18"/>
                <w:lang w:val="en-US"/>
              </w:rPr>
            </w:pPr>
            <w:r w:rsidRPr="00DD131E">
              <w:rPr>
                <w:sz w:val="18"/>
                <w:szCs w:val="18"/>
                <w:lang w:val="en-US"/>
              </w:rPr>
              <w:t>Other information you consider to be important</w:t>
            </w:r>
            <w:r w:rsidR="00DD131E" w:rsidRPr="00DD131E">
              <w:rPr>
                <w:sz w:val="18"/>
                <w:szCs w:val="18"/>
                <w:lang w:val="en-US"/>
              </w:rPr>
              <w:t xml:space="preserve">: </w:t>
            </w:r>
            <w:r w:rsidR="00DD131E" w:rsidRPr="00DD131E">
              <w:rPr>
                <w:rStyle w:val="tlid-translation"/>
                <w:sz w:val="18"/>
                <w:szCs w:val="18"/>
              </w:rPr>
              <w:t>Co-editor of the special issue of Friontiers Plant Sciences, 2018 (category M21a</w:t>
            </w:r>
            <w:proofErr w:type="gramStart"/>
            <w:r w:rsidR="00DD131E" w:rsidRPr="00DD131E">
              <w:rPr>
                <w:rStyle w:val="tlid-translation"/>
                <w:sz w:val="18"/>
                <w:szCs w:val="18"/>
              </w:rPr>
              <w:t>)</w:t>
            </w:r>
            <w:proofErr w:type="gramEnd"/>
            <w:r w:rsidR="00DD131E" w:rsidRPr="00DD131E">
              <w:rPr>
                <w:sz w:val="18"/>
                <w:szCs w:val="18"/>
              </w:rPr>
              <w:br/>
            </w:r>
            <w:r w:rsidR="00DD131E" w:rsidRPr="00DD131E">
              <w:rPr>
                <w:rStyle w:val="tlid-translation"/>
                <w:sz w:val="18"/>
                <w:szCs w:val="18"/>
              </w:rPr>
              <w:t>Member of the Editorial Board of Forestry Magazine (Publisher: Oxford University Press) (M21 Category, Top International Journal) (2018-).</w:t>
            </w:r>
          </w:p>
        </w:tc>
      </w:tr>
    </w:tbl>
    <w:p w:rsidR="0047415A" w:rsidRPr="00FC7920" w:rsidRDefault="0047415A" w:rsidP="00B4202A"/>
    <w:sectPr w:rsidR="0047415A" w:rsidRPr="00FC7920"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C7920"/>
    <w:rsid w:val="00022090"/>
    <w:rsid w:val="0006560C"/>
    <w:rsid w:val="002B4AE0"/>
    <w:rsid w:val="002F6397"/>
    <w:rsid w:val="00344C36"/>
    <w:rsid w:val="003F58BE"/>
    <w:rsid w:val="0047415A"/>
    <w:rsid w:val="00496DDC"/>
    <w:rsid w:val="005B246D"/>
    <w:rsid w:val="007B69B5"/>
    <w:rsid w:val="007C386A"/>
    <w:rsid w:val="008147AE"/>
    <w:rsid w:val="008213C4"/>
    <w:rsid w:val="00880906"/>
    <w:rsid w:val="008C170D"/>
    <w:rsid w:val="008E49A1"/>
    <w:rsid w:val="00B4202A"/>
    <w:rsid w:val="00BD6C7C"/>
    <w:rsid w:val="00DD131E"/>
    <w:rsid w:val="00DF5758"/>
    <w:rsid w:val="00E24C61"/>
    <w:rsid w:val="00E80035"/>
    <w:rsid w:val="00F61137"/>
    <w:rsid w:val="00FC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20"/>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7B69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20"/>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4</cp:revision>
  <dcterms:created xsi:type="dcterms:W3CDTF">2020-05-04T11:00:00Z</dcterms:created>
  <dcterms:modified xsi:type="dcterms:W3CDTF">2020-05-06T09:03:00Z</dcterms:modified>
</cp:coreProperties>
</file>