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2145"/>
        <w:gridCol w:w="916"/>
        <w:gridCol w:w="1523"/>
        <w:gridCol w:w="237"/>
        <w:gridCol w:w="222"/>
        <w:gridCol w:w="1045"/>
        <w:gridCol w:w="1123"/>
        <w:gridCol w:w="437"/>
        <w:gridCol w:w="1284"/>
        <w:gridCol w:w="708"/>
      </w:tblGrid>
      <w:tr w:rsidR="000042C5" w:rsidRPr="00A22864" w:rsidTr="004745F4">
        <w:trPr>
          <w:trHeight w:val="227"/>
        </w:trPr>
        <w:tc>
          <w:tcPr>
            <w:tcW w:w="1776" w:type="pct"/>
            <w:gridSpan w:val="3"/>
            <w:vAlign w:val="center"/>
          </w:tcPr>
          <w:p w:rsidR="000042C5" w:rsidRPr="00A22864" w:rsidRDefault="000042C5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224" w:type="pct"/>
            <w:gridSpan w:val="8"/>
            <w:vAlign w:val="center"/>
          </w:tcPr>
          <w:p w:rsidR="000042C5" w:rsidRPr="004745F4" w:rsidRDefault="007F2051" w:rsidP="009268C3">
            <w:pPr>
              <w:tabs>
                <w:tab w:val="left" w:pos="567"/>
              </w:tabs>
              <w:spacing w:after="60"/>
              <w:rPr>
                <w:b/>
              </w:rPr>
            </w:pPr>
            <w:r w:rsidRPr="004745F4">
              <w:rPr>
                <w:b/>
              </w:rPr>
              <w:t>Драгана Вуков</w:t>
            </w:r>
          </w:p>
        </w:tc>
      </w:tr>
      <w:tr w:rsidR="000042C5" w:rsidRPr="00A22864" w:rsidTr="004745F4">
        <w:trPr>
          <w:trHeight w:val="227"/>
        </w:trPr>
        <w:tc>
          <w:tcPr>
            <w:tcW w:w="1776" w:type="pct"/>
            <w:gridSpan w:val="3"/>
            <w:vAlign w:val="center"/>
          </w:tcPr>
          <w:p w:rsidR="000042C5" w:rsidRPr="00A22864" w:rsidRDefault="000042C5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224" w:type="pct"/>
            <w:gridSpan w:val="8"/>
            <w:vAlign w:val="center"/>
          </w:tcPr>
          <w:p w:rsidR="000042C5" w:rsidRPr="00A22864" w:rsidRDefault="007F2051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0042C5" w:rsidRPr="00A22864" w:rsidTr="004745F4">
        <w:trPr>
          <w:trHeight w:val="382"/>
        </w:trPr>
        <w:tc>
          <w:tcPr>
            <w:tcW w:w="1776" w:type="pct"/>
            <w:gridSpan w:val="3"/>
            <w:vAlign w:val="center"/>
          </w:tcPr>
          <w:p w:rsidR="000042C5" w:rsidRPr="00A22864" w:rsidRDefault="000042C5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224" w:type="pct"/>
            <w:gridSpan w:val="8"/>
            <w:vAlign w:val="center"/>
          </w:tcPr>
          <w:p w:rsidR="000042C5" w:rsidRPr="00A22864" w:rsidRDefault="007F2051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0042C5" w:rsidRPr="00A22864" w:rsidTr="004745F4">
        <w:trPr>
          <w:trHeight w:val="227"/>
        </w:trPr>
        <w:tc>
          <w:tcPr>
            <w:tcW w:w="1328" w:type="pct"/>
            <w:gridSpan w:val="2"/>
            <w:vAlign w:val="center"/>
          </w:tcPr>
          <w:p w:rsidR="000042C5" w:rsidRPr="00A22864" w:rsidRDefault="000042C5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9" w:type="pct"/>
            <w:vAlign w:val="center"/>
          </w:tcPr>
          <w:p w:rsidR="000042C5" w:rsidRPr="00A22864" w:rsidRDefault="000042C5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971" w:type="pct"/>
            <w:gridSpan w:val="3"/>
            <w:vAlign w:val="center"/>
          </w:tcPr>
          <w:p w:rsidR="000042C5" w:rsidRPr="00A22864" w:rsidRDefault="000042C5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253" w:type="pct"/>
            <w:gridSpan w:val="5"/>
            <w:vAlign w:val="center"/>
          </w:tcPr>
          <w:p w:rsidR="000042C5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B43C9">
              <w:rPr>
                <w:lang w:val="sr-Cyrl-CS"/>
              </w:rPr>
              <w:t>Ужа научна, уметничка односно стручна област</w:t>
            </w:r>
          </w:p>
        </w:tc>
      </w:tr>
      <w:tr w:rsidR="00714AFD" w:rsidRPr="00A22864" w:rsidTr="004745F4">
        <w:trPr>
          <w:trHeight w:val="227"/>
        </w:trPr>
        <w:tc>
          <w:tcPr>
            <w:tcW w:w="1328" w:type="pct"/>
            <w:gridSpan w:val="2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9" w:type="pct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2018</w:t>
            </w:r>
          </w:p>
        </w:tc>
        <w:tc>
          <w:tcPr>
            <w:tcW w:w="971" w:type="pct"/>
            <w:gridSpan w:val="3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253" w:type="pct"/>
            <w:gridSpan w:val="5"/>
            <w:vAlign w:val="center"/>
          </w:tcPr>
          <w:p w:rsidR="00714AFD" w:rsidRPr="009B43C9" w:rsidRDefault="00714AFD" w:rsidP="00311B12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Ботаника</w:t>
            </w:r>
          </w:p>
        </w:tc>
      </w:tr>
      <w:tr w:rsidR="00714AFD" w:rsidRPr="00A22864" w:rsidTr="004745F4">
        <w:trPr>
          <w:trHeight w:val="227"/>
        </w:trPr>
        <w:tc>
          <w:tcPr>
            <w:tcW w:w="1328" w:type="pct"/>
            <w:gridSpan w:val="2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9" w:type="pct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</w:t>
            </w:r>
          </w:p>
        </w:tc>
        <w:tc>
          <w:tcPr>
            <w:tcW w:w="971" w:type="pct"/>
            <w:gridSpan w:val="3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253" w:type="pct"/>
            <w:gridSpan w:val="5"/>
            <w:vAlign w:val="center"/>
          </w:tcPr>
          <w:p w:rsidR="00714AFD" w:rsidRPr="009B43C9" w:rsidRDefault="00714AFD" w:rsidP="00311B12">
            <w:pPr>
              <w:rPr>
                <w:lang w:val="sr-Cyrl-CS"/>
              </w:rPr>
            </w:pPr>
            <w:r w:rsidRPr="009B43C9">
              <w:rPr>
                <w:lang w:val="sr-Cyrl-CS"/>
              </w:rPr>
              <w:t>Ботаника</w:t>
            </w:r>
          </w:p>
        </w:tc>
      </w:tr>
      <w:tr w:rsidR="00714AFD" w:rsidRPr="00A22864" w:rsidTr="004745F4">
        <w:trPr>
          <w:trHeight w:val="227"/>
        </w:trPr>
        <w:tc>
          <w:tcPr>
            <w:tcW w:w="1328" w:type="pct"/>
            <w:gridSpan w:val="2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9" w:type="pct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1996</w:t>
            </w:r>
          </w:p>
        </w:tc>
        <w:tc>
          <w:tcPr>
            <w:tcW w:w="971" w:type="pct"/>
            <w:gridSpan w:val="3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253" w:type="pct"/>
            <w:gridSpan w:val="5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</w:tr>
      <w:tr w:rsidR="00714AFD" w:rsidRPr="00A22864" w:rsidTr="000F5555">
        <w:trPr>
          <w:trHeight w:val="227"/>
        </w:trPr>
        <w:tc>
          <w:tcPr>
            <w:tcW w:w="5000" w:type="pct"/>
            <w:gridSpan w:val="11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714AFD" w:rsidRPr="00A22864" w:rsidTr="000F5555">
        <w:trPr>
          <w:trHeight w:val="227"/>
        </w:trPr>
        <w:tc>
          <w:tcPr>
            <w:tcW w:w="277" w:type="pct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2246" w:type="pct"/>
            <w:gridSpan w:val="3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737" w:type="pct"/>
            <w:gridSpan w:val="3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764" w:type="pct"/>
            <w:gridSpan w:val="2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976" w:type="pct"/>
            <w:gridSpan w:val="2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714AFD" w:rsidRPr="00A22864" w:rsidTr="000F5555">
        <w:trPr>
          <w:trHeight w:val="227"/>
        </w:trPr>
        <w:tc>
          <w:tcPr>
            <w:tcW w:w="277" w:type="pct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246" w:type="pct"/>
            <w:gridSpan w:val="3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Диверзитет, дистрибуција, диференцијација микростаништа и структура заједница маховина Фрушке горе</w:t>
            </w:r>
          </w:p>
        </w:tc>
        <w:tc>
          <w:tcPr>
            <w:tcW w:w="737" w:type="pct"/>
            <w:gridSpan w:val="3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Милош Илић</w:t>
            </w:r>
          </w:p>
        </w:tc>
        <w:tc>
          <w:tcPr>
            <w:tcW w:w="764" w:type="pct"/>
            <w:gridSpan w:val="2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2018</w:t>
            </w:r>
          </w:p>
        </w:tc>
        <w:tc>
          <w:tcPr>
            <w:tcW w:w="976" w:type="pct"/>
            <w:gridSpan w:val="2"/>
            <w:vAlign w:val="center"/>
          </w:tcPr>
          <w:p w:rsidR="00714AFD" w:rsidRPr="000F5555" w:rsidRDefault="00714AFD" w:rsidP="009268C3">
            <w:pPr>
              <w:tabs>
                <w:tab w:val="left" w:pos="567"/>
              </w:tabs>
              <w:spacing w:after="60"/>
            </w:pPr>
            <w:r>
              <w:t>2019</w:t>
            </w:r>
          </w:p>
        </w:tc>
      </w:tr>
      <w:tr w:rsidR="00714AFD" w:rsidRPr="00A22864" w:rsidTr="000F5555">
        <w:trPr>
          <w:trHeight w:val="227"/>
        </w:trPr>
        <w:tc>
          <w:tcPr>
            <w:tcW w:w="277" w:type="pct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2246" w:type="pct"/>
            <w:gridSpan w:val="3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Статус и временска динамика флоре и вегетације Делиблатске пешчаре</w:t>
            </w:r>
          </w:p>
        </w:tc>
        <w:tc>
          <w:tcPr>
            <w:tcW w:w="737" w:type="pct"/>
            <w:gridSpan w:val="3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Мирјана Ћук</w:t>
            </w:r>
          </w:p>
        </w:tc>
        <w:tc>
          <w:tcPr>
            <w:tcW w:w="764" w:type="pct"/>
            <w:gridSpan w:val="2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2018</w:t>
            </w:r>
          </w:p>
        </w:tc>
        <w:tc>
          <w:tcPr>
            <w:tcW w:w="976" w:type="pct"/>
            <w:gridSpan w:val="2"/>
            <w:vAlign w:val="center"/>
          </w:tcPr>
          <w:p w:rsidR="00714AFD" w:rsidRPr="000F5555" w:rsidRDefault="00714AFD" w:rsidP="009268C3">
            <w:pPr>
              <w:tabs>
                <w:tab w:val="left" w:pos="567"/>
              </w:tabs>
              <w:spacing w:after="60"/>
            </w:pPr>
            <w:r>
              <w:t>2019</w:t>
            </w:r>
          </w:p>
        </w:tc>
      </w:tr>
      <w:tr w:rsidR="00714AFD" w:rsidRPr="00A22864" w:rsidTr="000F5555">
        <w:trPr>
          <w:trHeight w:val="227"/>
        </w:trPr>
        <w:tc>
          <w:tcPr>
            <w:tcW w:w="277" w:type="pct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2246" w:type="pct"/>
            <w:gridSpan w:val="3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Сезонска динамика приземног спрата шума и његов значај у биоиндикацији стања шумских екосистема</w:t>
            </w:r>
          </w:p>
        </w:tc>
        <w:tc>
          <w:tcPr>
            <w:tcW w:w="737" w:type="pct"/>
            <w:gridSpan w:val="3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Марко Рућандо</w:t>
            </w:r>
          </w:p>
        </w:tc>
        <w:tc>
          <w:tcPr>
            <w:tcW w:w="764" w:type="pct"/>
            <w:gridSpan w:val="2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2018</w:t>
            </w:r>
          </w:p>
        </w:tc>
        <w:tc>
          <w:tcPr>
            <w:tcW w:w="976" w:type="pct"/>
            <w:gridSpan w:val="2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714AFD" w:rsidRPr="00A22864" w:rsidTr="000F5555">
        <w:trPr>
          <w:trHeight w:val="227"/>
        </w:trPr>
        <w:tc>
          <w:tcPr>
            <w:tcW w:w="5000" w:type="pct"/>
            <w:gridSpan w:val="11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714AFD" w:rsidRPr="00A22864" w:rsidTr="000F5555">
        <w:trPr>
          <w:trHeight w:val="227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FD" w:rsidRPr="000560DF" w:rsidRDefault="00714AFD" w:rsidP="000560D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60DF">
              <w:rPr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714AFD" w:rsidRPr="00F2487D" w:rsidTr="000F5555">
        <w:trPr>
          <w:trHeight w:val="227"/>
        </w:trPr>
        <w:tc>
          <w:tcPr>
            <w:tcW w:w="277" w:type="pct"/>
            <w:vAlign w:val="center"/>
          </w:tcPr>
          <w:p w:rsidR="00714AFD" w:rsidRPr="00A22864" w:rsidRDefault="00714AFD" w:rsidP="00DA266A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376" w:type="pct"/>
            <w:gridSpan w:val="9"/>
            <w:shd w:val="clear" w:color="auto" w:fill="auto"/>
            <w:vAlign w:val="center"/>
          </w:tcPr>
          <w:p w:rsidR="00714AFD" w:rsidRPr="00F2487D" w:rsidRDefault="00714AFD" w:rsidP="00DA266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color w:val="000000"/>
                <w:sz w:val="18"/>
                <w:szCs w:val="18"/>
              </w:rPr>
              <w:t xml:space="preserve">Šegota, V., Zlatković, B., Vukov, D., Alegro, A., Koletić, N., Vuković, N., Rimac, A. 2019. Status assessment of the rare aquatic plant </w:t>
            </w:r>
            <w:r w:rsidRPr="00F2487D">
              <w:rPr>
                <w:i/>
                <w:color w:val="000000"/>
                <w:sz w:val="18"/>
                <w:szCs w:val="18"/>
              </w:rPr>
              <w:t>Groenlandia densa</w:t>
            </w:r>
            <w:r w:rsidRPr="00F2487D">
              <w:rPr>
                <w:color w:val="000000"/>
                <w:sz w:val="18"/>
                <w:szCs w:val="18"/>
              </w:rPr>
              <w:t xml:space="preserve"> (L.) Fourr. (Potamogetonaceae) in the Western Balkans. Botany Letters in press. DOI: 10.1080/23818107.2019.1585285</w:t>
            </w:r>
          </w:p>
        </w:tc>
        <w:tc>
          <w:tcPr>
            <w:tcW w:w="347" w:type="pct"/>
            <w:vAlign w:val="center"/>
          </w:tcPr>
          <w:p w:rsidR="00714AFD" w:rsidRPr="00F2487D" w:rsidRDefault="00714AFD" w:rsidP="00DA266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714AFD" w:rsidRPr="00F2487D" w:rsidTr="000F5555">
        <w:trPr>
          <w:trHeight w:val="227"/>
        </w:trPr>
        <w:tc>
          <w:tcPr>
            <w:tcW w:w="277" w:type="pct"/>
            <w:vAlign w:val="center"/>
          </w:tcPr>
          <w:p w:rsidR="00714AFD" w:rsidRPr="00A22864" w:rsidRDefault="00714AFD" w:rsidP="00DA266A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376" w:type="pct"/>
            <w:gridSpan w:val="9"/>
            <w:shd w:val="clear" w:color="auto" w:fill="auto"/>
            <w:vAlign w:val="center"/>
          </w:tcPr>
          <w:p w:rsidR="00714AFD" w:rsidRPr="00F2487D" w:rsidRDefault="00714AFD" w:rsidP="00DA266A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F2487D">
              <w:rPr>
                <w:color w:val="000000"/>
                <w:sz w:val="18"/>
                <w:szCs w:val="18"/>
              </w:rPr>
              <w:t>Vukov, D., Ilić, M., Ćuk, M., Radulović, S., Igić, R., Janauer, G.A. 2018. Combined effects of physical environmental conditions and anthropogenic alterations are associated with macrophyte habitat fragmentation in rivers - Study of the Danube in Serbia. Science of the Total Environment, 634, pp. 780-790. DOI: 10.1016/j.scitotenv.2018.03.367</w:t>
            </w:r>
          </w:p>
        </w:tc>
        <w:tc>
          <w:tcPr>
            <w:tcW w:w="347" w:type="pct"/>
            <w:vAlign w:val="center"/>
          </w:tcPr>
          <w:p w:rsidR="00714AFD" w:rsidRPr="00F2487D" w:rsidRDefault="00714AFD" w:rsidP="00DA266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М21а</w:t>
            </w:r>
          </w:p>
        </w:tc>
      </w:tr>
      <w:tr w:rsidR="00714AFD" w:rsidRPr="00F2487D" w:rsidTr="000F5555">
        <w:trPr>
          <w:trHeight w:val="227"/>
        </w:trPr>
        <w:tc>
          <w:tcPr>
            <w:tcW w:w="277" w:type="pct"/>
            <w:vAlign w:val="center"/>
          </w:tcPr>
          <w:p w:rsidR="00714AFD" w:rsidRPr="00A22864" w:rsidRDefault="00714AFD" w:rsidP="00DA266A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376" w:type="pct"/>
            <w:gridSpan w:val="9"/>
            <w:shd w:val="clear" w:color="auto" w:fill="auto"/>
            <w:vAlign w:val="center"/>
          </w:tcPr>
          <w:p w:rsidR="00714AFD" w:rsidRPr="00F2487D" w:rsidRDefault="00714AFD" w:rsidP="00DA266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color w:val="000000"/>
                <w:sz w:val="18"/>
                <w:szCs w:val="18"/>
              </w:rPr>
              <w:t>Ilić, M., Igić, R., Ćuk, M., Vukov, D. 2018. Field sampling methods for investigating forest-floor bryophytes: Microcoenose vs. random sampling. 2018. Archives of Biological Sciences, 70 (3), pp. 589-598. DOI: 10.2298/ABS180422020I</w:t>
            </w:r>
          </w:p>
        </w:tc>
        <w:tc>
          <w:tcPr>
            <w:tcW w:w="347" w:type="pct"/>
            <w:vAlign w:val="center"/>
          </w:tcPr>
          <w:p w:rsidR="00714AFD" w:rsidRPr="00F2487D" w:rsidRDefault="00714AFD" w:rsidP="00DA266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714AFD" w:rsidRPr="00F2487D" w:rsidTr="000F5555">
        <w:trPr>
          <w:trHeight w:val="227"/>
        </w:trPr>
        <w:tc>
          <w:tcPr>
            <w:tcW w:w="277" w:type="pct"/>
            <w:vAlign w:val="center"/>
          </w:tcPr>
          <w:p w:rsidR="00714AFD" w:rsidRPr="00A22864" w:rsidRDefault="00714AFD" w:rsidP="00DA266A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376" w:type="pct"/>
            <w:gridSpan w:val="9"/>
            <w:shd w:val="clear" w:color="auto" w:fill="auto"/>
            <w:vAlign w:val="center"/>
          </w:tcPr>
          <w:p w:rsidR="00714AFD" w:rsidRPr="00F2487D" w:rsidRDefault="00714AFD" w:rsidP="00DA266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color w:val="000000"/>
                <w:sz w:val="18"/>
                <w:szCs w:val="18"/>
              </w:rPr>
              <w:t>Vukov, D., Ilić, M., Ćuk, M., Igić, R., Janauer, G.A. 2017. The relationship between habitat factors and aquatic macrophyte assemblages in the Danube River in Serbia. Archives of Biological Sciences, 69 (3), pp. 427-437. DOI: 10.2298/ABS160516116V</w:t>
            </w:r>
          </w:p>
        </w:tc>
        <w:tc>
          <w:tcPr>
            <w:tcW w:w="347" w:type="pct"/>
            <w:vAlign w:val="center"/>
          </w:tcPr>
          <w:p w:rsidR="00714AFD" w:rsidRPr="00F2487D" w:rsidRDefault="00714AFD" w:rsidP="00DA266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714AFD" w:rsidRPr="00F2487D" w:rsidTr="000F5555">
        <w:trPr>
          <w:trHeight w:val="227"/>
        </w:trPr>
        <w:tc>
          <w:tcPr>
            <w:tcW w:w="277" w:type="pct"/>
            <w:vAlign w:val="center"/>
          </w:tcPr>
          <w:p w:rsidR="00714AFD" w:rsidRPr="00A22864" w:rsidRDefault="00714AFD" w:rsidP="00DA266A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376" w:type="pct"/>
            <w:gridSpan w:val="9"/>
            <w:shd w:val="clear" w:color="auto" w:fill="auto"/>
            <w:vAlign w:val="center"/>
          </w:tcPr>
          <w:p w:rsidR="00714AFD" w:rsidRPr="00F2487D" w:rsidRDefault="00714AFD" w:rsidP="00DA266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</w:rPr>
              <w:t xml:space="preserve">Vukov, D., Galić, Z., Rućando, M., Ilić, M., Ćuk, M., Igić, D., Igić, R., Orlović, S. 2016. Effects of natural broadleaved regeneration vs. conifer restoration on the herb layer and microclimate. Archives of Biological Sciences, 68(3): 483-493. </w:t>
            </w:r>
            <w:r w:rsidRPr="00F2487D">
              <w:rPr>
                <w:color w:val="000000"/>
                <w:sz w:val="18"/>
                <w:szCs w:val="18"/>
              </w:rPr>
              <w:t>DOI: 10.2298/ABS150727037V</w:t>
            </w:r>
          </w:p>
        </w:tc>
        <w:tc>
          <w:tcPr>
            <w:tcW w:w="347" w:type="pct"/>
            <w:vAlign w:val="center"/>
          </w:tcPr>
          <w:p w:rsidR="00714AFD" w:rsidRPr="00F2487D" w:rsidRDefault="00714AFD" w:rsidP="00DA266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714AFD" w:rsidRPr="00F2487D" w:rsidTr="000F5555">
        <w:trPr>
          <w:trHeight w:val="227"/>
        </w:trPr>
        <w:tc>
          <w:tcPr>
            <w:tcW w:w="277" w:type="pct"/>
            <w:vAlign w:val="center"/>
          </w:tcPr>
          <w:p w:rsidR="00714AFD" w:rsidRPr="00A22864" w:rsidRDefault="00714AFD" w:rsidP="00DA266A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376" w:type="pct"/>
            <w:gridSpan w:val="9"/>
            <w:shd w:val="clear" w:color="auto" w:fill="auto"/>
            <w:vAlign w:val="center"/>
          </w:tcPr>
          <w:p w:rsidR="00714AFD" w:rsidRPr="00F2487D" w:rsidRDefault="00714AFD" w:rsidP="00DA266A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F2487D">
              <w:rPr>
                <w:color w:val="000000"/>
                <w:sz w:val="18"/>
                <w:szCs w:val="18"/>
              </w:rPr>
              <w:t xml:space="preserve">Vukov, D., Jurca, T., Rućando, M., Igić, R., Miljanović, B. 2013. </w:t>
            </w:r>
            <w:r w:rsidRPr="00F2487D">
              <w:rPr>
                <w:i/>
                <w:color w:val="000000"/>
                <w:sz w:val="18"/>
                <w:szCs w:val="18"/>
              </w:rPr>
              <w:t>Cabomba caroliniana</w:t>
            </w:r>
            <w:r w:rsidRPr="00F2487D">
              <w:rPr>
                <w:color w:val="000000"/>
                <w:sz w:val="18"/>
                <w:szCs w:val="18"/>
              </w:rPr>
              <w:t xml:space="preserve"> A. Gray 1837 - A new, alien and potentially invasive species in Serbia (2013) Archives of Biological Sciences, 65 (4), pp. 1515-1520. DOI: 10.2298/ABS1304515V</w:t>
            </w:r>
          </w:p>
        </w:tc>
        <w:tc>
          <w:tcPr>
            <w:tcW w:w="347" w:type="pct"/>
            <w:vAlign w:val="center"/>
          </w:tcPr>
          <w:p w:rsidR="00714AFD" w:rsidRPr="00F2487D" w:rsidRDefault="00714AFD" w:rsidP="00DA266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714AFD" w:rsidRPr="00A22864" w:rsidTr="000F5555">
        <w:tc>
          <w:tcPr>
            <w:tcW w:w="5000" w:type="pct"/>
            <w:gridSpan w:val="11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714AFD" w:rsidRPr="00A22864" w:rsidTr="000F5555">
        <w:tc>
          <w:tcPr>
            <w:tcW w:w="2639" w:type="pct"/>
            <w:gridSpan w:val="5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361" w:type="pct"/>
            <w:gridSpan w:val="6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90</w:t>
            </w:r>
          </w:p>
        </w:tc>
      </w:tr>
      <w:tr w:rsidR="00714AFD" w:rsidRPr="00A22864" w:rsidTr="000F5555">
        <w:tc>
          <w:tcPr>
            <w:tcW w:w="2639" w:type="pct"/>
            <w:gridSpan w:val="5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361" w:type="pct"/>
            <w:gridSpan w:val="6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</w:tr>
      <w:tr w:rsidR="00714AFD" w:rsidRPr="00A22864" w:rsidTr="000F5555">
        <w:tc>
          <w:tcPr>
            <w:tcW w:w="2639" w:type="pct"/>
            <w:gridSpan w:val="5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171" w:type="pct"/>
            <w:gridSpan w:val="3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2</w:t>
            </w:r>
          </w:p>
        </w:tc>
        <w:tc>
          <w:tcPr>
            <w:tcW w:w="1190" w:type="pct"/>
            <w:gridSpan w:val="3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1</w:t>
            </w:r>
          </w:p>
        </w:tc>
      </w:tr>
      <w:tr w:rsidR="00714AFD" w:rsidRPr="00A22864" w:rsidTr="000F5555">
        <w:tc>
          <w:tcPr>
            <w:tcW w:w="2639" w:type="pct"/>
            <w:gridSpan w:val="5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361" w:type="pct"/>
            <w:gridSpan w:val="6"/>
            <w:vAlign w:val="center"/>
          </w:tcPr>
          <w:p w:rsidR="00714AFD" w:rsidRPr="00A22864" w:rsidRDefault="00714AFD" w:rsidP="009268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</w:tbl>
    <w:p w:rsidR="00DE212D" w:rsidRDefault="00DE212D"/>
    <w:sectPr w:rsidR="00DE212D" w:rsidSect="000042C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0042C5"/>
    <w:rsid w:val="000042C5"/>
    <w:rsid w:val="000560DF"/>
    <w:rsid w:val="000F5555"/>
    <w:rsid w:val="00107AC1"/>
    <w:rsid w:val="001E1DC8"/>
    <w:rsid w:val="001F5A0B"/>
    <w:rsid w:val="00224ED2"/>
    <w:rsid w:val="004632C5"/>
    <w:rsid w:val="004745F4"/>
    <w:rsid w:val="005B0842"/>
    <w:rsid w:val="00714AFD"/>
    <w:rsid w:val="007F2051"/>
    <w:rsid w:val="00AB126A"/>
    <w:rsid w:val="00AB4D48"/>
    <w:rsid w:val="00CD0AFD"/>
    <w:rsid w:val="00DE2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2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05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4"/>
      <w:szCs w:val="21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5</cp:revision>
  <dcterms:created xsi:type="dcterms:W3CDTF">2019-10-19T09:30:00Z</dcterms:created>
  <dcterms:modified xsi:type="dcterms:W3CDTF">2020-05-12T08:39:00Z</dcterms:modified>
</cp:coreProperties>
</file>