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9" w:type="pct"/>
        <w:jc w:val="center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1430"/>
        <w:gridCol w:w="949"/>
        <w:gridCol w:w="1604"/>
        <w:gridCol w:w="368"/>
        <w:gridCol w:w="1048"/>
        <w:gridCol w:w="140"/>
        <w:gridCol w:w="77"/>
        <w:gridCol w:w="1299"/>
        <w:gridCol w:w="1608"/>
        <w:gridCol w:w="706"/>
      </w:tblGrid>
      <w:tr w:rsidR="0036791F" w:rsidRPr="00A22864" w:rsidTr="00844E95">
        <w:trPr>
          <w:trHeight w:val="227"/>
          <w:jc w:val="center"/>
        </w:trPr>
        <w:tc>
          <w:tcPr>
            <w:tcW w:w="1536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464" w:type="pct"/>
            <w:gridSpan w:val="8"/>
            <w:vAlign w:val="center"/>
          </w:tcPr>
          <w:p w:rsidR="0036791F" w:rsidRPr="0029369A" w:rsidRDefault="3E200855" w:rsidP="3E200855">
            <w:pPr>
              <w:spacing w:after="60"/>
              <w:rPr>
                <w:b/>
                <w:lang w:val="sr-Cyrl-CS"/>
              </w:rPr>
            </w:pPr>
            <w:r w:rsidRPr="0029369A">
              <w:rPr>
                <w:b/>
                <w:lang w:val="sr-Cyrl-CS"/>
              </w:rPr>
              <w:t>Владимир Костић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1536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464" w:type="pct"/>
            <w:gridSpan w:val="8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Ванредни професор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1536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464" w:type="pct"/>
            <w:gridSpan w:val="8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rFonts w:eastAsia="Times New Roman"/>
                <w:sz w:val="19"/>
                <w:szCs w:val="19"/>
                <w:lang w:val="sr-Cyrl-CS"/>
              </w:rPr>
              <w:t>Нумеричка математика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1056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80" w:type="pct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598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867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1056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80" w:type="pct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2016</w:t>
            </w:r>
          </w:p>
        </w:tc>
        <w:tc>
          <w:tcPr>
            <w:tcW w:w="1598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rFonts w:eastAsia="Times New Roman"/>
                <w:sz w:val="19"/>
                <w:szCs w:val="19"/>
                <w:lang w:val="sr-Cyrl-CS"/>
              </w:rPr>
              <w:t>Природно-математички факултет  у Новом Саду</w:t>
            </w:r>
          </w:p>
        </w:tc>
        <w:tc>
          <w:tcPr>
            <w:tcW w:w="1867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Нумеричка математика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1056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80" w:type="pct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2010</w:t>
            </w:r>
          </w:p>
        </w:tc>
        <w:tc>
          <w:tcPr>
            <w:tcW w:w="1598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rFonts w:eastAsia="Times New Roman"/>
                <w:sz w:val="19"/>
                <w:szCs w:val="19"/>
                <w:lang w:val="sr-Cyrl-CS"/>
              </w:rPr>
              <w:t>Природно-математички факултет  у Новом Саду</w:t>
            </w:r>
          </w:p>
        </w:tc>
        <w:tc>
          <w:tcPr>
            <w:tcW w:w="1867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rFonts w:eastAsia="Times New Roman"/>
                <w:sz w:val="19"/>
                <w:szCs w:val="19"/>
                <w:lang w:val="sr-Cyrl-CS"/>
              </w:rPr>
              <w:t>Нумеричка математика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1056" w:type="pct"/>
            <w:gridSpan w:val="2"/>
            <w:vAlign w:val="center"/>
          </w:tcPr>
          <w:p w:rsidR="0036791F" w:rsidRPr="000D32C3" w:rsidRDefault="0036791F" w:rsidP="00243734">
            <w:pPr>
              <w:spacing w:after="60"/>
            </w:pPr>
            <w:r>
              <w:t>Магистратура</w:t>
            </w:r>
          </w:p>
        </w:tc>
        <w:tc>
          <w:tcPr>
            <w:tcW w:w="480" w:type="pct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2009</w:t>
            </w:r>
          </w:p>
        </w:tc>
        <w:tc>
          <w:tcPr>
            <w:tcW w:w="1598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rFonts w:eastAsia="Times New Roman"/>
                <w:sz w:val="19"/>
                <w:szCs w:val="19"/>
                <w:lang w:val="sr-Cyrl-CS"/>
              </w:rPr>
              <w:t>Природно-математички факултет  у Новом Саду</w:t>
            </w:r>
          </w:p>
        </w:tc>
        <w:tc>
          <w:tcPr>
            <w:tcW w:w="1867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rFonts w:eastAsia="Times New Roman"/>
                <w:sz w:val="19"/>
                <w:szCs w:val="19"/>
                <w:lang w:val="sr-Cyrl-CS"/>
              </w:rPr>
              <w:t>Нумеричка математика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1056" w:type="pct"/>
            <w:gridSpan w:val="2"/>
            <w:vAlign w:val="center"/>
          </w:tcPr>
          <w:p w:rsidR="0036791F" w:rsidRDefault="0036791F" w:rsidP="00243734">
            <w:pPr>
              <w:spacing w:after="60"/>
            </w:pPr>
            <w:r>
              <w:t>Мастер диплома</w:t>
            </w:r>
          </w:p>
        </w:tc>
        <w:tc>
          <w:tcPr>
            <w:tcW w:w="480" w:type="pct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</w:p>
        </w:tc>
        <w:tc>
          <w:tcPr>
            <w:tcW w:w="1598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</w:p>
        </w:tc>
        <w:tc>
          <w:tcPr>
            <w:tcW w:w="1867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1056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80" w:type="pct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2003</w:t>
            </w:r>
          </w:p>
        </w:tc>
        <w:tc>
          <w:tcPr>
            <w:tcW w:w="1598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rFonts w:eastAsia="Times New Roman"/>
                <w:sz w:val="19"/>
                <w:szCs w:val="19"/>
                <w:lang w:val="sr-Cyrl-CS"/>
              </w:rPr>
              <w:t>Природно-математички факултет  у Новом Саду</w:t>
            </w:r>
          </w:p>
        </w:tc>
        <w:tc>
          <w:tcPr>
            <w:tcW w:w="1867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rFonts w:eastAsia="Times New Roman"/>
                <w:sz w:val="19"/>
                <w:szCs w:val="19"/>
                <w:lang w:val="sr-Cyrl-CS"/>
              </w:rPr>
              <w:t>Нумеричка математика</w:t>
            </w:r>
          </w:p>
        </w:tc>
      </w:tr>
      <w:tr w:rsidR="0036791F" w:rsidRPr="00A22864" w:rsidTr="3E20085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200" w:type="pct"/>
            <w:gridSpan w:val="4"/>
            <w:vAlign w:val="center"/>
          </w:tcPr>
          <w:p w:rsidR="0036791F" w:rsidRPr="000D32C3" w:rsidRDefault="0036791F" w:rsidP="00243734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640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657" w:type="pct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171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1.</w:t>
            </w:r>
          </w:p>
        </w:tc>
        <w:tc>
          <w:tcPr>
            <w:tcW w:w="2200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Нови индикатори стабилности за емпиријске трофичке мреже</w:t>
            </w:r>
          </w:p>
        </w:tc>
        <w:tc>
          <w:tcPr>
            <w:tcW w:w="640" w:type="pct"/>
            <w:gridSpan w:val="3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Драгана Цветковић</w:t>
            </w:r>
          </w:p>
        </w:tc>
        <w:tc>
          <w:tcPr>
            <w:tcW w:w="657" w:type="pct"/>
            <w:vAlign w:val="center"/>
          </w:tcPr>
          <w:p w:rsidR="0036791F" w:rsidRPr="00A22864" w:rsidRDefault="0036791F" w:rsidP="3E200855">
            <w:pPr>
              <w:spacing w:after="60"/>
              <w:rPr>
                <w:lang w:val="sr-Cyrl-CS"/>
              </w:rPr>
            </w:pPr>
          </w:p>
        </w:tc>
        <w:tc>
          <w:tcPr>
            <w:tcW w:w="1171" w:type="pct"/>
            <w:gridSpan w:val="2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2017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2.</w:t>
            </w:r>
          </w:p>
        </w:tc>
        <w:tc>
          <w:tcPr>
            <w:tcW w:w="2200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Локализације Гершгориновог типа за нелинеарне проблеме карактеристичних корена</w:t>
            </w:r>
          </w:p>
        </w:tc>
        <w:tc>
          <w:tcPr>
            <w:tcW w:w="640" w:type="pct"/>
            <w:gridSpan w:val="3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Драгана Гардашевић</w:t>
            </w:r>
          </w:p>
        </w:tc>
        <w:tc>
          <w:tcPr>
            <w:tcW w:w="657" w:type="pct"/>
            <w:vAlign w:val="center"/>
          </w:tcPr>
          <w:p w:rsidR="0036791F" w:rsidRPr="00A22864" w:rsidRDefault="0036791F" w:rsidP="3E200855">
            <w:pPr>
              <w:spacing w:after="60"/>
              <w:rPr>
                <w:lang w:val="sr-Cyrl-CS"/>
              </w:rPr>
            </w:pPr>
          </w:p>
        </w:tc>
        <w:tc>
          <w:tcPr>
            <w:tcW w:w="1171" w:type="pct"/>
            <w:gridSpan w:val="2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2018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3.</w:t>
            </w:r>
          </w:p>
        </w:tc>
        <w:tc>
          <w:tcPr>
            <w:tcW w:w="2200" w:type="pct"/>
            <w:gridSpan w:val="4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Алгоритми за рачунање оптималних локализација Гершгориновог типа</w:t>
            </w:r>
          </w:p>
        </w:tc>
        <w:tc>
          <w:tcPr>
            <w:tcW w:w="640" w:type="pct"/>
            <w:gridSpan w:val="3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Срђан Милићевић</w:t>
            </w:r>
          </w:p>
        </w:tc>
        <w:tc>
          <w:tcPr>
            <w:tcW w:w="657" w:type="pct"/>
            <w:vAlign w:val="center"/>
          </w:tcPr>
          <w:p w:rsidR="0036791F" w:rsidRPr="00A22864" w:rsidRDefault="3E200855" w:rsidP="3E200855">
            <w:pPr>
              <w:spacing w:after="60"/>
              <w:rPr>
                <w:lang w:val="sr-Cyrl-CS"/>
              </w:rPr>
            </w:pPr>
            <w:r w:rsidRPr="3E200855">
              <w:rPr>
                <w:lang w:val="sr-Cyrl-CS"/>
              </w:rPr>
              <w:t>2019</w:t>
            </w:r>
          </w:p>
        </w:tc>
        <w:tc>
          <w:tcPr>
            <w:tcW w:w="1171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</w:p>
        </w:tc>
      </w:tr>
      <w:tr w:rsidR="0036791F" w:rsidRPr="00A22864" w:rsidTr="3E20085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36791F" w:rsidRPr="00A22864" w:rsidTr="3E20085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6791F" w:rsidRPr="004E59A6" w:rsidRDefault="0036791F" w:rsidP="00243734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1.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00243734">
            <w:pPr>
              <w:spacing w:after="60"/>
              <w:rPr>
                <w:b/>
                <w:lang w:val="sr-Cyrl-CS"/>
              </w:rPr>
            </w:pPr>
            <w:r>
              <w:t xml:space="preserve">V. Kostić, A. Międlar and Lj. Cvetković, An algorithm for computing minimal Geršgorin sets, Numerical Linear Algebra with Applications, 23(2), 272-290 (2016)  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М21а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2.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>V. Kostić, Lj. Cvetković and D. Cvetković, Improved stability indicators for empirical food webs, Ecological Modeling 320, 1-8 (2016)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М22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3.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>V. Kostić, Lj. Cvetković and D. Cvetković, Pseudospectra localizations and their applications, Numerical Linear Algebra with Applications 23(2), 356-372 (2016)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М21а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4.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>D. Mihailović, V. Kostić, G. Mimić and Lj. Cvetkovć, Stability analysis of turbulent heat exchange over the heterogeneous environmental interface in climate models, Applied Mathematics and Computation 265, 79-90 (2015)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М21а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5.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>V. Kostić, A. Międlar and J. Stolwijk, On matrix nearness problems: distance to delocalization, SIAM. J. Matrix Anal. &amp; Appl. 36(2), 435–460 (2015)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М21а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6.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>V. Kostić, On general principles of eigenvalue localizations via diagonal dominance, Advances in Computational Mathematics 41, 55–75 (2015)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М21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7.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>J. Aleksić, V. Kostić and M. Žigić, Spectrum localizations for matrix operators on lp spaces, Applied Mathematics and Computation 249,  541–553 (2014)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М21а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8.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>Lj. Cvetković, A. Hadjidimos and V. Kostić, On the choice of parameters in MAOR type splitting methods for the linear complementarity problem, Numerical Algorithms 67(4), 793–806 (2014)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М22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t>9.</w:t>
            </w:r>
          </w:p>
        </w:tc>
        <w:tc>
          <w:tcPr>
            <w:tcW w:w="4310" w:type="pct"/>
            <w:gridSpan w:val="9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 xml:space="preserve">D. T. Mihailović, V. Kostić, I. Balaž and Lj. Cvetković, Complexity and asymptotic stability in the </w:t>
            </w:r>
            <w:r>
              <w:lastRenderedPageBreak/>
              <w:t>process of biochemical substance exchange in a coupled ring of cells,  Chaos Fractals and Solitones 65, 30–43 (2016)</w:t>
            </w:r>
          </w:p>
        </w:tc>
        <w:tc>
          <w:tcPr>
            <w:tcW w:w="357" w:type="pct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lastRenderedPageBreak/>
              <w:t>М21а</w:t>
            </w:r>
          </w:p>
        </w:tc>
      </w:tr>
      <w:tr w:rsidR="3E200855" w:rsidTr="00844E95">
        <w:trPr>
          <w:trHeight w:val="227"/>
          <w:jc w:val="center"/>
        </w:trPr>
        <w:tc>
          <w:tcPr>
            <w:tcW w:w="333" w:type="pct"/>
            <w:vAlign w:val="center"/>
          </w:tcPr>
          <w:p w:rsidR="3E200855" w:rsidRDefault="3E200855" w:rsidP="3E200855">
            <w:pPr>
              <w:rPr>
                <w:b/>
                <w:bCs/>
                <w:lang w:val="sr-Cyrl-CS"/>
              </w:rPr>
            </w:pPr>
            <w:r w:rsidRPr="3E200855">
              <w:rPr>
                <w:b/>
                <w:bCs/>
                <w:lang w:val="sr-Cyrl-CS"/>
              </w:rPr>
              <w:lastRenderedPageBreak/>
              <w:t>10.</w:t>
            </w:r>
          </w:p>
        </w:tc>
        <w:tc>
          <w:tcPr>
            <w:tcW w:w="4310" w:type="pct"/>
            <w:gridSpan w:val="9"/>
            <w:vAlign w:val="center"/>
          </w:tcPr>
          <w:p w:rsidR="3E200855" w:rsidRDefault="3E200855" w:rsidP="3E200855">
            <w:r>
              <w:t>Lj. Cvetković and V. Kostić, A note on the convergence of the MSMAOR method for linear complementarity problems, Numerical Linear Algebra with Applications 9(4), 534-539 (2014)</w:t>
            </w:r>
          </w:p>
        </w:tc>
        <w:tc>
          <w:tcPr>
            <w:tcW w:w="357" w:type="pct"/>
            <w:vAlign w:val="center"/>
          </w:tcPr>
          <w:p w:rsidR="3E200855" w:rsidRPr="00DB34F9" w:rsidRDefault="3E200855" w:rsidP="3E200855">
            <w:pPr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М21а</w:t>
            </w:r>
          </w:p>
        </w:tc>
      </w:tr>
      <w:tr w:rsidR="0036791F" w:rsidRPr="00A22864" w:rsidTr="3E20085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2347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653" w:type="pct"/>
            <w:gridSpan w:val="7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480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2347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653" w:type="pct"/>
            <w:gridSpan w:val="7"/>
            <w:vAlign w:val="center"/>
          </w:tcPr>
          <w:p w:rsidR="0036791F" w:rsidRPr="00DB34F9" w:rsidRDefault="3E200855" w:rsidP="3E200855">
            <w:pPr>
              <w:spacing w:after="60"/>
              <w:rPr>
                <w:bCs/>
                <w:lang w:val="sr-Cyrl-CS"/>
              </w:rPr>
            </w:pPr>
            <w:r w:rsidRPr="00DB34F9">
              <w:rPr>
                <w:bCs/>
                <w:lang w:val="sr-Cyrl-CS"/>
              </w:rPr>
              <w:t>35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2347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716" w:type="pct"/>
            <w:gridSpan w:val="2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lang w:val="sr-Cyrl-CS"/>
              </w:rPr>
              <w:t>Домаћи 1</w:t>
            </w:r>
          </w:p>
        </w:tc>
        <w:tc>
          <w:tcPr>
            <w:tcW w:w="1938" w:type="pct"/>
            <w:gridSpan w:val="5"/>
            <w:vAlign w:val="center"/>
          </w:tcPr>
          <w:p w:rsidR="0036791F" w:rsidRPr="00A22864" w:rsidRDefault="3E200855" w:rsidP="3E200855">
            <w:pPr>
              <w:spacing w:after="60"/>
              <w:rPr>
                <w:b/>
                <w:bCs/>
                <w:lang w:val="sr-Cyrl-CS"/>
              </w:rPr>
            </w:pPr>
            <w:r w:rsidRPr="3E200855">
              <w:rPr>
                <w:lang w:val="sr-Cyrl-CS"/>
              </w:rPr>
              <w:t>Међународни 0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2347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716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1938" w:type="pct"/>
            <w:gridSpan w:val="5"/>
            <w:vAlign w:val="center"/>
          </w:tcPr>
          <w:p w:rsidR="0036791F" w:rsidRPr="00A22864" w:rsidRDefault="3E200855" w:rsidP="00243734">
            <w:pPr>
              <w:spacing w:after="60"/>
            </w:pPr>
            <w:r>
              <w:t xml:space="preserve">Политехнички универзитет у Валенсији, Шпанија 01.09.2006.-01.10.2006. </w:t>
            </w:r>
          </w:p>
          <w:p w:rsidR="0036791F" w:rsidRPr="00A22864" w:rsidRDefault="3E200855" w:rsidP="3E200855">
            <w:pPr>
              <w:spacing w:after="60"/>
              <w:rPr>
                <w:b/>
                <w:lang w:val="sr-Cyrl-CS"/>
              </w:rPr>
            </w:pPr>
            <w:r>
              <w:t>Технички универзитет у Берлину, Немачка, од 01.06.2013.-01.03.2014.</w:t>
            </w:r>
          </w:p>
        </w:tc>
      </w:tr>
      <w:tr w:rsidR="0036791F" w:rsidRPr="00A22864" w:rsidTr="00844E95">
        <w:trPr>
          <w:trHeight w:val="227"/>
          <w:jc w:val="center"/>
        </w:trPr>
        <w:tc>
          <w:tcPr>
            <w:tcW w:w="2347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2653" w:type="pct"/>
            <w:gridSpan w:val="7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36791F"/>
    <w:rsid w:val="00127302"/>
    <w:rsid w:val="0029369A"/>
    <w:rsid w:val="0036791F"/>
    <w:rsid w:val="00375321"/>
    <w:rsid w:val="004344FF"/>
    <w:rsid w:val="0047415A"/>
    <w:rsid w:val="00595B25"/>
    <w:rsid w:val="00666A7B"/>
    <w:rsid w:val="00692973"/>
    <w:rsid w:val="00725843"/>
    <w:rsid w:val="00844E95"/>
    <w:rsid w:val="00880906"/>
    <w:rsid w:val="00886D22"/>
    <w:rsid w:val="009C5AC3"/>
    <w:rsid w:val="00BF1526"/>
    <w:rsid w:val="00DB34F9"/>
    <w:rsid w:val="3E200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1F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7</cp:revision>
  <dcterms:created xsi:type="dcterms:W3CDTF">2019-10-31T13:00:00Z</dcterms:created>
  <dcterms:modified xsi:type="dcterms:W3CDTF">2020-05-12T08:44:00Z</dcterms:modified>
</cp:coreProperties>
</file>