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DA" w:rsidRPr="00DE02EC" w:rsidRDefault="00E705DA" w:rsidP="00E705DA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848"/>
        <w:gridCol w:w="589"/>
        <w:gridCol w:w="849"/>
        <w:gridCol w:w="1712"/>
        <w:gridCol w:w="144"/>
        <w:gridCol w:w="478"/>
        <w:gridCol w:w="1088"/>
        <w:gridCol w:w="900"/>
        <w:gridCol w:w="540"/>
      </w:tblGrid>
      <w:tr w:rsidR="00E705DA" w:rsidRPr="00A22864" w:rsidTr="00764363">
        <w:trPr>
          <w:trHeight w:val="227"/>
        </w:trPr>
        <w:tc>
          <w:tcPr>
            <w:tcW w:w="3240" w:type="dxa"/>
            <w:gridSpan w:val="4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00" w:type="dxa"/>
            <w:gridSpan w:val="8"/>
            <w:vAlign w:val="center"/>
          </w:tcPr>
          <w:p w:rsidR="00E705DA" w:rsidRPr="004547C9" w:rsidRDefault="00E705DA" w:rsidP="007643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t>Јелена Спасојевић</w:t>
            </w:r>
          </w:p>
        </w:tc>
      </w:tr>
      <w:tr w:rsidR="00E705DA" w:rsidRPr="00A22864" w:rsidTr="00764363">
        <w:trPr>
          <w:trHeight w:val="227"/>
        </w:trPr>
        <w:tc>
          <w:tcPr>
            <w:tcW w:w="3240" w:type="dxa"/>
            <w:gridSpan w:val="4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00" w:type="dxa"/>
            <w:gridSpan w:val="8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E705DA" w:rsidRPr="00A22864" w:rsidTr="00764363">
        <w:trPr>
          <w:trHeight w:val="227"/>
        </w:trPr>
        <w:tc>
          <w:tcPr>
            <w:tcW w:w="3240" w:type="dxa"/>
            <w:gridSpan w:val="4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00" w:type="dxa"/>
            <w:gridSpan w:val="8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E705DA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48" w:type="dxa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150" w:type="dxa"/>
            <w:gridSpan w:val="3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3150" w:type="dxa"/>
            <w:gridSpan w:val="5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E705DA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848" w:type="dxa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3150" w:type="dxa"/>
            <w:gridSpan w:val="3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150" w:type="dxa"/>
            <w:gridSpan w:val="5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E705DA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848" w:type="dxa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150" w:type="dxa"/>
            <w:gridSpan w:val="3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150" w:type="dxa"/>
            <w:gridSpan w:val="5"/>
            <w:vAlign w:val="center"/>
          </w:tcPr>
          <w:p w:rsidR="00E705DA" w:rsidRPr="005E671A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E705DA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705DA" w:rsidRPr="00500038" w:rsidRDefault="00E705DA" w:rsidP="00764363">
            <w:pPr>
              <w:tabs>
                <w:tab w:val="left" w:pos="567"/>
              </w:tabs>
              <w:spacing w:after="60"/>
              <w:rPr>
                <w:sz w:val="18"/>
              </w:rPr>
            </w:pPr>
            <w:r>
              <w:rPr>
                <w:sz w:val="18"/>
                <w:lang w:val="en-US"/>
              </w:rPr>
              <w:t>Ma</w:t>
            </w:r>
            <w:r>
              <w:rPr>
                <w:sz w:val="18"/>
              </w:rPr>
              <w:t>стер</w:t>
            </w:r>
          </w:p>
        </w:tc>
        <w:tc>
          <w:tcPr>
            <w:tcW w:w="848" w:type="dxa"/>
            <w:vAlign w:val="center"/>
          </w:tcPr>
          <w:p w:rsidR="00E705DA" w:rsidRPr="00067D17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en-US"/>
              </w:rPr>
            </w:pPr>
            <w:r w:rsidRPr="00067D17">
              <w:rPr>
                <w:sz w:val="18"/>
                <w:lang w:val="en-US"/>
              </w:rPr>
              <w:t>2011</w:t>
            </w:r>
          </w:p>
        </w:tc>
        <w:tc>
          <w:tcPr>
            <w:tcW w:w="3150" w:type="dxa"/>
            <w:gridSpan w:val="3"/>
            <w:vAlign w:val="center"/>
          </w:tcPr>
          <w:p w:rsidR="00E705DA" w:rsidRPr="00067D17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sr-Cyrl-CS"/>
              </w:rPr>
            </w:pPr>
            <w:r w:rsidRPr="00067D17">
              <w:rPr>
                <w:sz w:val="18"/>
                <w:lang w:val="sr-Cyrl-CS"/>
              </w:rPr>
              <w:t>Природно-математички факултет</w:t>
            </w:r>
          </w:p>
        </w:tc>
        <w:tc>
          <w:tcPr>
            <w:tcW w:w="3150" w:type="dxa"/>
            <w:gridSpan w:val="5"/>
            <w:vAlign w:val="center"/>
          </w:tcPr>
          <w:p w:rsidR="00E705DA" w:rsidRPr="00067D17" w:rsidRDefault="00E705DA" w:rsidP="00764363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067D17">
              <w:rPr>
                <w:sz w:val="18"/>
              </w:rPr>
              <w:t xml:space="preserve">Хемија </w:t>
            </w:r>
          </w:p>
        </w:tc>
      </w:tr>
      <w:tr w:rsidR="00E705DA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705DA" w:rsidRPr="00500038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500038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48" w:type="dxa"/>
            <w:vAlign w:val="center"/>
          </w:tcPr>
          <w:p w:rsidR="00E705DA" w:rsidRPr="00500038" w:rsidRDefault="00E705DA" w:rsidP="00764363">
            <w:pPr>
              <w:tabs>
                <w:tab w:val="left" w:pos="567"/>
              </w:tabs>
              <w:spacing w:after="60"/>
              <w:rPr>
                <w:sz w:val="18"/>
              </w:rPr>
            </w:pPr>
            <w:r>
              <w:rPr>
                <w:sz w:val="18"/>
              </w:rPr>
              <w:t>2010</w:t>
            </w:r>
          </w:p>
        </w:tc>
        <w:tc>
          <w:tcPr>
            <w:tcW w:w="3150" w:type="dxa"/>
            <w:gridSpan w:val="3"/>
            <w:vAlign w:val="center"/>
          </w:tcPr>
          <w:p w:rsidR="00E705DA" w:rsidRPr="00067D17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sr-Cyrl-CS"/>
              </w:rPr>
            </w:pPr>
            <w:r w:rsidRPr="00067D17">
              <w:rPr>
                <w:sz w:val="18"/>
                <w:lang w:val="sr-Cyrl-CS"/>
              </w:rPr>
              <w:t>Природно-математички факултет</w:t>
            </w:r>
          </w:p>
        </w:tc>
        <w:tc>
          <w:tcPr>
            <w:tcW w:w="3150" w:type="dxa"/>
            <w:gridSpan w:val="5"/>
            <w:vAlign w:val="center"/>
          </w:tcPr>
          <w:p w:rsidR="00E705DA" w:rsidRPr="00067D17" w:rsidRDefault="00E705DA" w:rsidP="00764363">
            <w:pPr>
              <w:tabs>
                <w:tab w:val="left" w:pos="567"/>
              </w:tabs>
              <w:spacing w:after="60"/>
              <w:rPr>
                <w:sz w:val="18"/>
              </w:rPr>
            </w:pPr>
            <w:r w:rsidRPr="00067D17">
              <w:rPr>
                <w:sz w:val="18"/>
              </w:rPr>
              <w:t xml:space="preserve">Хемија </w:t>
            </w:r>
          </w:p>
        </w:tc>
      </w:tr>
      <w:tr w:rsidR="00E705DA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E705DA" w:rsidRPr="00A22864" w:rsidTr="00764363">
        <w:trPr>
          <w:trHeight w:val="227"/>
        </w:trPr>
        <w:tc>
          <w:tcPr>
            <w:tcW w:w="513" w:type="dxa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3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E705DA" w:rsidRPr="00A22864" w:rsidTr="00764363">
        <w:trPr>
          <w:trHeight w:val="227"/>
        </w:trPr>
        <w:tc>
          <w:tcPr>
            <w:tcW w:w="513" w:type="dxa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3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E705DA" w:rsidRPr="00A22864" w:rsidTr="00764363">
        <w:trPr>
          <w:trHeight w:val="227"/>
        </w:trPr>
        <w:tc>
          <w:tcPr>
            <w:tcW w:w="513" w:type="dxa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3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E705DA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E705DA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en-US"/>
              </w:rPr>
            </w:pPr>
            <w:r w:rsidRPr="0047476E">
              <w:rPr>
                <w:sz w:val="18"/>
                <w:lang w:val="en-US"/>
              </w:rPr>
              <w:t>1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63A4D">
              <w:rPr>
                <w:sz w:val="18"/>
                <w:szCs w:val="18"/>
                <w:lang w:val="sr-Cyrl-CS"/>
              </w:rPr>
              <w:t>Čučak</w:t>
            </w:r>
            <w:r w:rsidRPr="00E63A4D">
              <w:rPr>
                <w:sz w:val="18"/>
                <w:szCs w:val="18"/>
                <w:lang w:val="en-US"/>
              </w:rPr>
              <w:t xml:space="preserve">, </w:t>
            </w:r>
            <w:r w:rsidRPr="00E63A4D">
              <w:rPr>
                <w:sz w:val="18"/>
                <w:szCs w:val="18"/>
                <w:lang w:val="sr-Cyrl-CS"/>
              </w:rPr>
              <w:t>D</w:t>
            </w:r>
            <w:r w:rsidRPr="00E63A4D">
              <w:rPr>
                <w:sz w:val="18"/>
                <w:szCs w:val="18"/>
                <w:lang w:val="en-US"/>
              </w:rPr>
              <w:t>.</w:t>
            </w:r>
            <w:r w:rsidRPr="00E63A4D">
              <w:rPr>
                <w:sz w:val="18"/>
                <w:szCs w:val="18"/>
                <w:lang w:val="sr-Cyrl-CS"/>
              </w:rPr>
              <w:t xml:space="preserve">, </w:t>
            </w:r>
            <w:r w:rsidRPr="00E63A4D">
              <w:rPr>
                <w:sz w:val="18"/>
                <w:szCs w:val="18"/>
                <w:u w:val="single"/>
                <w:lang w:val="sr-Cyrl-CS"/>
              </w:rPr>
              <w:t>Spasojević</w:t>
            </w:r>
            <w:r w:rsidRPr="00E63A4D">
              <w:rPr>
                <w:sz w:val="18"/>
                <w:szCs w:val="18"/>
                <w:u w:val="single"/>
                <w:lang w:val="en-US"/>
              </w:rPr>
              <w:t>,</w:t>
            </w:r>
            <w:r w:rsidRPr="00E63A4D">
              <w:rPr>
                <w:sz w:val="18"/>
                <w:szCs w:val="18"/>
                <w:u w:val="single"/>
                <w:lang w:val="sr-Cyrl-CS"/>
              </w:rPr>
              <w:t xml:space="preserve"> J.</w:t>
            </w:r>
            <w:r w:rsidRPr="00E63A4D">
              <w:rPr>
                <w:sz w:val="18"/>
                <w:szCs w:val="18"/>
                <w:lang w:val="sr-Cyrl-CS"/>
              </w:rPr>
              <w:t>, Babić</w:t>
            </w:r>
            <w:r w:rsidRPr="00E63A4D">
              <w:rPr>
                <w:sz w:val="18"/>
                <w:szCs w:val="18"/>
                <w:lang w:val="en-US"/>
              </w:rPr>
              <w:t>,</w:t>
            </w:r>
            <w:r w:rsidRPr="00E63A4D">
              <w:rPr>
                <w:sz w:val="18"/>
                <w:szCs w:val="18"/>
                <w:lang w:val="sr-Cyrl-CS"/>
              </w:rPr>
              <w:t xml:space="preserve"> O., Maletić</w:t>
            </w:r>
            <w:r w:rsidRPr="00E63A4D">
              <w:rPr>
                <w:sz w:val="18"/>
                <w:szCs w:val="18"/>
                <w:lang w:val="en-US"/>
              </w:rPr>
              <w:t>,</w:t>
            </w:r>
            <w:r w:rsidRPr="00E63A4D">
              <w:rPr>
                <w:sz w:val="18"/>
                <w:szCs w:val="18"/>
                <w:lang w:val="sr-Cyrl-CS"/>
              </w:rPr>
              <w:t xml:space="preserve"> S., Simeunović</w:t>
            </w:r>
            <w:r w:rsidRPr="00E63A4D">
              <w:rPr>
                <w:sz w:val="18"/>
                <w:szCs w:val="18"/>
                <w:lang w:val="en-US"/>
              </w:rPr>
              <w:t>,</w:t>
            </w:r>
            <w:r w:rsidRPr="00E63A4D">
              <w:rPr>
                <w:sz w:val="18"/>
                <w:szCs w:val="18"/>
                <w:lang w:val="sr-Cyrl-CS"/>
              </w:rPr>
              <w:t xml:space="preserve"> J., Rončević, S., Dalmacija</w:t>
            </w:r>
            <w:r w:rsidRPr="00E63A4D">
              <w:rPr>
                <w:sz w:val="18"/>
                <w:szCs w:val="18"/>
                <w:lang w:val="en-US"/>
              </w:rPr>
              <w:t>,</w:t>
            </w:r>
            <w:r w:rsidRPr="00E63A4D">
              <w:rPr>
                <w:sz w:val="18"/>
                <w:szCs w:val="18"/>
                <w:lang w:val="sr-Cyrl-CS"/>
              </w:rPr>
              <w:t xml:space="preserve"> B., Tamaš</w:t>
            </w:r>
            <w:r w:rsidRPr="00E63A4D">
              <w:rPr>
                <w:sz w:val="18"/>
                <w:szCs w:val="18"/>
                <w:lang w:val="en-US"/>
              </w:rPr>
              <w:t>,</w:t>
            </w:r>
            <w:r w:rsidRPr="00E63A4D">
              <w:rPr>
                <w:sz w:val="18"/>
                <w:szCs w:val="18"/>
                <w:lang w:val="sr-Cyrl-CS"/>
              </w:rPr>
              <w:t xml:space="preserve"> I., Radnović</w:t>
            </w:r>
            <w:r w:rsidRPr="00E63A4D">
              <w:rPr>
                <w:sz w:val="18"/>
                <w:szCs w:val="18"/>
                <w:lang w:val="en-US"/>
              </w:rPr>
              <w:t>,</w:t>
            </w:r>
            <w:r w:rsidRPr="00E63A4D">
              <w:rPr>
                <w:sz w:val="18"/>
                <w:szCs w:val="18"/>
                <w:lang w:val="sr-Cyrl-CS"/>
              </w:rPr>
              <w:t xml:space="preserve"> D. (2017) A Chemical and Microbiological Characterization and Toxicity Assessment of the Pančevo Industrial Complex Wastewater Canal Sediments, Serbia. Environmental Science and Pollution Research. doi:10.1007/s11356-017-8513-8</w:t>
            </w:r>
            <w:r w:rsidRPr="00E63A4D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540" w:type="dxa"/>
            <w:vAlign w:val="center"/>
          </w:tcPr>
          <w:p w:rsidR="00E705DA" w:rsidRPr="00CC7CE4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  <w:lang w:val="en-US"/>
              </w:rPr>
            </w:pPr>
            <w:r w:rsidRPr="00CC7CE4">
              <w:rPr>
                <w:sz w:val="16"/>
                <w:szCs w:val="18"/>
                <w:lang w:val="en-US"/>
              </w:rPr>
              <w:t>M21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en-US"/>
              </w:rPr>
            </w:pPr>
            <w:r w:rsidRPr="0047476E">
              <w:rPr>
                <w:sz w:val="18"/>
                <w:lang w:val="en-US"/>
              </w:rPr>
              <w:t>2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63A4D">
              <w:rPr>
                <w:rFonts w:eastAsia="Calibri"/>
                <w:sz w:val="18"/>
                <w:szCs w:val="18"/>
                <w:lang w:eastAsia="en-US"/>
              </w:rPr>
              <w:t>R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ončević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E63A4D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E63A4D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, J.</w:t>
            </w:r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Maletić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S., Molnar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Jazić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Isakovski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Agbaba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Grgić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B. (2016) Assessment of the bioavailability and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phytotoxicity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of sediment spiked with polycyclic aromatic hydrocarbons, Environmental Science and Pollution Research, 23(4), 3239-3246.</w:t>
            </w:r>
          </w:p>
        </w:tc>
        <w:tc>
          <w:tcPr>
            <w:tcW w:w="540" w:type="dxa"/>
            <w:vAlign w:val="center"/>
          </w:tcPr>
          <w:p w:rsidR="00E705DA" w:rsidRPr="00CC7CE4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  <w:lang w:val="en-US"/>
              </w:rPr>
            </w:pPr>
            <w:r w:rsidRPr="00CC7CE4">
              <w:rPr>
                <w:sz w:val="16"/>
                <w:szCs w:val="18"/>
                <w:lang w:val="en-US"/>
              </w:rPr>
              <w:t>M21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en-US"/>
              </w:rPr>
            </w:pPr>
            <w:r w:rsidRPr="0047476E">
              <w:rPr>
                <w:sz w:val="18"/>
                <w:lang w:val="en-US"/>
              </w:rPr>
              <w:t>3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Došić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A.,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D.,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Gligorić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Kerkez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Đ.,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Slijepčević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N., </w:t>
            </w:r>
            <w:proofErr w:type="spellStart"/>
            <w:r w:rsidRPr="00E63A4D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E63A4D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 xml:space="preserve">, </w:t>
            </w:r>
            <w:proofErr w:type="gramStart"/>
            <w:r w:rsidRPr="00E63A4D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J</w:t>
            </w:r>
            <w:proofErr w:type="gramEnd"/>
            <w:r w:rsidRPr="00E63A4D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.</w:t>
            </w:r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(2016) Green remediation of tailings from the mine using inorganic agents,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Hemijska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industrija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doi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: 10.2298/HEMIND160419026D.</w:t>
            </w:r>
          </w:p>
        </w:tc>
        <w:tc>
          <w:tcPr>
            <w:tcW w:w="540" w:type="dxa"/>
            <w:vAlign w:val="center"/>
          </w:tcPr>
          <w:p w:rsidR="00E705DA" w:rsidRPr="00CC7CE4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  <w:lang w:val="en-US"/>
              </w:rPr>
            </w:pPr>
            <w:r w:rsidRPr="00CC7CE4">
              <w:rPr>
                <w:sz w:val="16"/>
                <w:szCs w:val="18"/>
                <w:lang w:val="en-US"/>
              </w:rPr>
              <w:t>M23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en-US"/>
              </w:rPr>
            </w:pPr>
            <w:r w:rsidRPr="0047476E">
              <w:rPr>
                <w:sz w:val="18"/>
                <w:lang w:val="en-US"/>
              </w:rPr>
              <w:t>4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jc w:val="both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E63A4D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E63A4D">
              <w:rPr>
                <w:sz w:val="18"/>
                <w:szCs w:val="18"/>
                <w:lang w:val="sr-Cyrl-CS"/>
              </w:rPr>
              <w:t>, Maletić, S., Rončević, S., Kragulj Isakovski, M., Molnar Jazić, J., Grgić, M., Dalmacija, B. (2016) Biodegradacija policikličnih aromatičnih ugljovodonika u sedimentu, Otpadne vode, komunalni čvrsti otpad i opasan otpad, Vršac, 13.-15. april, 197-203.</w:t>
            </w:r>
          </w:p>
        </w:tc>
        <w:tc>
          <w:tcPr>
            <w:tcW w:w="540" w:type="dxa"/>
            <w:vAlign w:val="center"/>
          </w:tcPr>
          <w:p w:rsidR="00E705DA" w:rsidRPr="00CC7CE4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  <w:lang w:val="en-US"/>
              </w:rPr>
            </w:pPr>
            <w:r w:rsidRPr="00CC7CE4">
              <w:rPr>
                <w:sz w:val="16"/>
                <w:szCs w:val="18"/>
                <w:lang w:val="en-US"/>
              </w:rPr>
              <w:t>M61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lang w:val="en-US"/>
              </w:rPr>
            </w:pPr>
            <w:r w:rsidRPr="0047476E">
              <w:rPr>
                <w:sz w:val="18"/>
                <w:lang w:val="en-US"/>
              </w:rPr>
              <w:t>5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63A4D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E63A4D">
              <w:rPr>
                <w:sz w:val="18"/>
                <w:szCs w:val="18"/>
                <w:lang w:val="sr-Cyrl-CS"/>
              </w:rPr>
              <w:t>, Maletić, S., Rončević, S., Radnović, D., Čučak, D., Tričković, J., Dalmacija, B. (2015) Using chemical desorption of PAHs from sediment to model biodegradation during bioavailability assessment, Journal of Hazardous Materials 283, 60-69.</w:t>
            </w:r>
          </w:p>
        </w:tc>
        <w:tc>
          <w:tcPr>
            <w:tcW w:w="540" w:type="dxa"/>
            <w:vAlign w:val="center"/>
          </w:tcPr>
          <w:p w:rsidR="00E705DA" w:rsidRPr="00CC7CE4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  <w:lang w:val="en-US"/>
              </w:rPr>
            </w:pPr>
            <w:r w:rsidRPr="00CC7CE4">
              <w:rPr>
                <w:sz w:val="16"/>
                <w:szCs w:val="18"/>
                <w:lang w:val="en-US"/>
              </w:rPr>
              <w:t>M21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widowControl/>
              <w:autoSpaceDE/>
              <w:autoSpaceDN/>
              <w:adjustRightInd/>
              <w:jc w:val="both"/>
              <w:rPr>
                <w:color w:val="FF0000"/>
                <w:sz w:val="18"/>
                <w:szCs w:val="18"/>
              </w:rPr>
            </w:pPr>
            <w:r w:rsidRPr="00E63A4D">
              <w:rPr>
                <w:sz w:val="18"/>
                <w:szCs w:val="18"/>
              </w:rPr>
              <w:t>Varga N., Dalmacija B., Prica M., Kerkez Đ., Bečelić-Tomin M</w:t>
            </w:r>
            <w:r w:rsidRPr="00E63A4D">
              <w:rPr>
                <w:sz w:val="18"/>
                <w:szCs w:val="18"/>
                <w:u w:val="single"/>
              </w:rPr>
              <w:t>., Spasojević J.,</w:t>
            </w:r>
            <w:r w:rsidRPr="00E63A4D">
              <w:rPr>
                <w:sz w:val="18"/>
                <w:szCs w:val="18"/>
              </w:rPr>
              <w:t xml:space="preserve"> Krčmar D. (2016) The application of solar cells in the electrokinetic remediation of metal contaminated sediments, </w:t>
            </w:r>
            <w:r w:rsidRPr="00E63A4D">
              <w:rPr>
                <w:i/>
                <w:sz w:val="18"/>
                <w:szCs w:val="18"/>
              </w:rPr>
              <w:t>Water Environment Research</w:t>
            </w:r>
            <w:r w:rsidRPr="00E63A4D">
              <w:rPr>
                <w:sz w:val="18"/>
                <w:szCs w:val="18"/>
              </w:rPr>
              <w:t>, DOI: 102175/WERD1600172</w:t>
            </w:r>
          </w:p>
        </w:tc>
        <w:tc>
          <w:tcPr>
            <w:tcW w:w="540" w:type="dxa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М23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Maletić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Rončević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Agbaba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J., Molnar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Jazić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Isakovski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E63A4D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Spasojević</w:t>
            </w:r>
            <w:proofErr w:type="spellEnd"/>
            <w:r w:rsidRPr="00E63A4D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, J.,</w:t>
            </w:r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B. (2015)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Značaj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procene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biodostupnosti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perzistentnih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organskih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materija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Voda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i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sanitarna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tehnika</w:t>
            </w:r>
            <w:proofErr w:type="spellEnd"/>
            <w:r w:rsidRPr="00E63A4D">
              <w:rPr>
                <w:rFonts w:eastAsia="Calibri"/>
                <w:sz w:val="18"/>
                <w:szCs w:val="18"/>
                <w:lang w:val="en-US" w:eastAsia="en-US"/>
              </w:rPr>
              <w:t>, 5-6, 5-11.</w:t>
            </w:r>
          </w:p>
        </w:tc>
        <w:tc>
          <w:tcPr>
            <w:tcW w:w="540" w:type="dxa"/>
            <w:vAlign w:val="center"/>
          </w:tcPr>
          <w:p w:rsidR="00E705DA" w:rsidRPr="00CC7CE4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  <w:lang w:val="sr-Cyrl-CS"/>
              </w:rPr>
            </w:pPr>
            <w:r w:rsidRPr="00CC7CE4">
              <w:rPr>
                <w:sz w:val="16"/>
                <w:szCs w:val="18"/>
                <w:lang w:val="sr-Cyrl-CS"/>
              </w:rPr>
              <w:t>М51</w:t>
            </w:r>
          </w:p>
        </w:tc>
      </w:tr>
      <w:tr w:rsidR="00E705DA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E63A4D">
              <w:rPr>
                <w:sz w:val="18"/>
                <w:szCs w:val="18"/>
                <w:lang w:val="sr-Cyrl-CS"/>
              </w:rPr>
              <w:t xml:space="preserve">Pilipović, A., Orlović, S., Rončević, S., Nikolić, N., Župunski, M., </w:t>
            </w:r>
            <w:r w:rsidRPr="00E63A4D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E63A4D">
              <w:rPr>
                <w:sz w:val="18"/>
                <w:szCs w:val="18"/>
                <w:lang w:val="sr-Cyrl-CS"/>
              </w:rPr>
              <w:t xml:space="preserve"> (2015) Results of selection of poplars and willows for water and sediment phytoremediation, Agriculture &amp; Forestry, 61 (4), 205-211.</w:t>
            </w:r>
          </w:p>
        </w:tc>
        <w:tc>
          <w:tcPr>
            <w:tcW w:w="540" w:type="dxa"/>
            <w:vAlign w:val="center"/>
          </w:tcPr>
          <w:p w:rsidR="00E705DA" w:rsidRPr="00CC7CE4" w:rsidRDefault="00E705DA" w:rsidP="00764363">
            <w:pPr>
              <w:tabs>
                <w:tab w:val="left" w:pos="567"/>
              </w:tabs>
              <w:spacing w:after="60"/>
              <w:rPr>
                <w:sz w:val="16"/>
                <w:szCs w:val="18"/>
                <w:lang w:val="en-US"/>
              </w:rPr>
            </w:pPr>
            <w:r w:rsidRPr="00CC7CE4">
              <w:rPr>
                <w:sz w:val="16"/>
                <w:szCs w:val="18"/>
                <w:lang w:val="en-US"/>
              </w:rPr>
              <w:t>M51</w:t>
            </w:r>
          </w:p>
        </w:tc>
      </w:tr>
      <w:tr w:rsidR="00E705DA" w:rsidRPr="00A22864" w:rsidTr="00764363">
        <w:tc>
          <w:tcPr>
            <w:tcW w:w="9540" w:type="dxa"/>
            <w:gridSpan w:val="12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705DA" w:rsidRPr="00A22864" w:rsidTr="00764363">
        <w:tc>
          <w:tcPr>
            <w:tcW w:w="4678" w:type="dxa"/>
            <w:gridSpan w:val="6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E705DA" w:rsidRPr="00A22864" w:rsidTr="00764363">
        <w:tc>
          <w:tcPr>
            <w:tcW w:w="4678" w:type="dxa"/>
            <w:gridSpan w:val="6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E705DA" w:rsidRPr="00E63A4D" w:rsidRDefault="00E705DA" w:rsidP="00764363">
            <w:pPr>
              <w:tabs>
                <w:tab w:val="left" w:pos="567"/>
              </w:tabs>
              <w:spacing w:after="60"/>
            </w:pPr>
            <w:r>
              <w:t>5</w:t>
            </w:r>
          </w:p>
        </w:tc>
      </w:tr>
      <w:tr w:rsidR="00E705DA" w:rsidRPr="00A22864" w:rsidTr="00764363">
        <w:tc>
          <w:tcPr>
            <w:tcW w:w="4678" w:type="dxa"/>
            <w:gridSpan w:val="6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3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2528" w:type="dxa"/>
            <w:gridSpan w:val="3"/>
            <w:vAlign w:val="center"/>
          </w:tcPr>
          <w:p w:rsidR="00E705DA" w:rsidRPr="0047476E" w:rsidRDefault="00E705DA" w:rsidP="007643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0</w:t>
            </w:r>
          </w:p>
        </w:tc>
      </w:tr>
      <w:tr w:rsidR="00E705DA" w:rsidRPr="00A22864" w:rsidTr="00764363">
        <w:tc>
          <w:tcPr>
            <w:tcW w:w="4678" w:type="dxa"/>
            <w:gridSpan w:val="6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E705DA" w:rsidRPr="00A22864" w:rsidRDefault="00E705DA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E705DA" w:rsidRPr="00A22864" w:rsidTr="00764363">
        <w:tc>
          <w:tcPr>
            <w:tcW w:w="9540" w:type="dxa"/>
            <w:gridSpan w:val="12"/>
            <w:vAlign w:val="center"/>
          </w:tcPr>
          <w:p w:rsidR="00E705DA" w:rsidRPr="00AB01DD" w:rsidRDefault="00E705DA" w:rsidP="007643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 -</w:t>
            </w:r>
          </w:p>
        </w:tc>
      </w:tr>
    </w:tbl>
    <w:p w:rsidR="00765EAE" w:rsidRDefault="00765EAE"/>
    <w:sectPr w:rsidR="00765EAE" w:rsidSect="00765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705DA"/>
    <w:rsid w:val="00765EAE"/>
    <w:rsid w:val="00E70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2017-06-04T17:19:00Z</dcterms:created>
  <dcterms:modified xsi:type="dcterms:W3CDTF">2017-06-04T17:19:00Z</dcterms:modified>
</cp:coreProperties>
</file>