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5E97E" w14:textId="77777777" w:rsidR="00E73773" w:rsidRPr="00782F76" w:rsidRDefault="00E737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sr-Cyrl-RS"/>
        </w:rPr>
      </w:pPr>
    </w:p>
    <w:tbl>
      <w:tblPr>
        <w:tblStyle w:val="a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701"/>
        <w:gridCol w:w="1275"/>
        <w:gridCol w:w="710"/>
        <w:gridCol w:w="46"/>
        <w:gridCol w:w="64"/>
        <w:gridCol w:w="1041"/>
        <w:gridCol w:w="124"/>
        <w:gridCol w:w="293"/>
        <w:gridCol w:w="1406"/>
        <w:gridCol w:w="853"/>
        <w:gridCol w:w="1411"/>
      </w:tblGrid>
      <w:tr w:rsidR="00E73773" w14:paraId="04DE2517" w14:textId="77777777">
        <w:trPr>
          <w:trHeight w:val="274"/>
        </w:trPr>
        <w:tc>
          <w:tcPr>
            <w:tcW w:w="4392" w:type="dxa"/>
            <w:gridSpan w:val="6"/>
            <w:vAlign w:val="center"/>
          </w:tcPr>
          <w:p w14:paraId="05AB2F5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gridSpan w:val="6"/>
            <w:vAlign w:val="center"/>
          </w:tcPr>
          <w:p w14:paraId="1342CDCE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Снежана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Бесермењи</w:t>
            </w:r>
            <w:proofErr w:type="spellEnd"/>
          </w:p>
        </w:tc>
      </w:tr>
      <w:tr w:rsidR="00E73773" w14:paraId="68D5B9EA" w14:textId="77777777">
        <w:trPr>
          <w:trHeight w:val="278"/>
        </w:trPr>
        <w:tc>
          <w:tcPr>
            <w:tcW w:w="4392" w:type="dxa"/>
            <w:gridSpan w:val="6"/>
            <w:vAlign w:val="center"/>
          </w:tcPr>
          <w:p w14:paraId="5941A13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14:paraId="45D3C91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E73773" w14:paraId="13255832" w14:textId="77777777">
        <w:trPr>
          <w:trHeight w:val="427"/>
        </w:trPr>
        <w:tc>
          <w:tcPr>
            <w:tcW w:w="4392" w:type="dxa"/>
            <w:gridSpan w:val="6"/>
            <w:vAlign w:val="center"/>
          </w:tcPr>
          <w:p w14:paraId="6A4A21F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14:paraId="390515E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2011.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E73773" w14:paraId="5D0C1E47" w14:textId="77777777">
        <w:trPr>
          <w:trHeight w:val="77"/>
        </w:trPr>
        <w:tc>
          <w:tcPr>
            <w:tcW w:w="4392" w:type="dxa"/>
            <w:gridSpan w:val="6"/>
            <w:vAlign w:val="center"/>
          </w:tcPr>
          <w:p w14:paraId="1AB5288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14:paraId="32E02C3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73773" w14:paraId="550FAB0D" w14:textId="77777777">
        <w:trPr>
          <w:trHeight w:val="323"/>
        </w:trPr>
        <w:tc>
          <w:tcPr>
            <w:tcW w:w="9520" w:type="dxa"/>
            <w:gridSpan w:val="12"/>
            <w:vAlign w:val="center"/>
          </w:tcPr>
          <w:p w14:paraId="34F278C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E73773" w14:paraId="70D5D415" w14:textId="77777777" w:rsidTr="00782F76">
        <w:trPr>
          <w:trHeight w:val="427"/>
        </w:trPr>
        <w:tc>
          <w:tcPr>
            <w:tcW w:w="2297" w:type="dxa"/>
            <w:gridSpan w:val="2"/>
            <w:vAlign w:val="center"/>
          </w:tcPr>
          <w:p w14:paraId="5522063C" w14:textId="77777777" w:rsidR="00E73773" w:rsidRDefault="00E737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5616F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22BB120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7DAEDD9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38780EA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73773" w14:paraId="6645E6EF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5636202A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275" w:type="dxa"/>
            <w:vAlign w:val="center"/>
          </w:tcPr>
          <w:p w14:paraId="757CD2E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50B309F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7F91DE8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1A13022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73773" w14:paraId="358A2220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22B9401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275" w:type="dxa"/>
            <w:vAlign w:val="center"/>
          </w:tcPr>
          <w:p w14:paraId="37DC36A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16287F8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2AB12AF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69CB410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73773" w14:paraId="185A081D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0F4C002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275" w:type="dxa"/>
            <w:vAlign w:val="center"/>
          </w:tcPr>
          <w:p w14:paraId="71AE28B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1994.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415DB55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430202E6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3F3611EA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73773" w14:paraId="18B70C01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50F60CA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275" w:type="dxa"/>
            <w:vAlign w:val="center"/>
          </w:tcPr>
          <w:p w14:paraId="0A509E3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1988.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51D2704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11296A5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7CE2828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73773" w14:paraId="58123A39" w14:textId="77777777">
        <w:trPr>
          <w:trHeight w:val="427"/>
        </w:trPr>
        <w:tc>
          <w:tcPr>
            <w:tcW w:w="9520" w:type="dxa"/>
            <w:gridSpan w:val="12"/>
            <w:vAlign w:val="center"/>
          </w:tcPr>
          <w:p w14:paraId="41543F6E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73773" w14:paraId="565E84A1" w14:textId="77777777" w:rsidTr="00782F76">
        <w:trPr>
          <w:trHeight w:val="313"/>
        </w:trPr>
        <w:tc>
          <w:tcPr>
            <w:tcW w:w="596" w:type="dxa"/>
            <w:shd w:val="clear" w:color="auto" w:fill="auto"/>
            <w:vAlign w:val="center"/>
          </w:tcPr>
          <w:p w14:paraId="013F5AC2" w14:textId="7464BB4C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97374" w14:textId="77BEB02B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21F251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16871349" w14:textId="6979565B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6FBA1E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E7FC2BD" w14:textId="379A989F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E73773" w14:paraId="5828412D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031308A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ED0C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Г101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0DCE07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географију</w:t>
            </w:r>
            <w:proofErr w:type="spellEnd"/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149B916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2F26141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14:paraId="62DD202D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14B21E91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B594B9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5BD71" w14:textId="77777777" w:rsidR="00E73773" w:rsidRDefault="000000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Т101а</w:t>
            </w:r>
          </w:p>
          <w:p w14:paraId="16316CDF" w14:textId="77777777" w:rsidR="00E73773" w:rsidRDefault="00E737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2A722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46A963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1811977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14:paraId="75ECB39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139815BF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04B667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A58E4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Т201б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55057D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туризма</w:t>
            </w:r>
            <w:proofErr w:type="spellEnd"/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645C9D6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E5CF99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14:paraId="5FDF464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576628C6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4C86EED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859F9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highlight w:val="white"/>
              </w:rPr>
              <w:t>MT225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44977B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Фактори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развоја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градског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туризма</w:t>
            </w:r>
            <w:proofErr w:type="spellEnd"/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4182A97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CACB33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14:paraId="1864358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73773" w14:paraId="2E9ED324" w14:textId="77777777">
        <w:trPr>
          <w:trHeight w:val="248"/>
        </w:trPr>
        <w:tc>
          <w:tcPr>
            <w:tcW w:w="9520" w:type="dxa"/>
            <w:gridSpan w:val="12"/>
            <w:vAlign w:val="center"/>
          </w:tcPr>
          <w:p w14:paraId="05371EA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не 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E73773" w14:paraId="6F4E198D" w14:textId="77777777">
        <w:trPr>
          <w:trHeight w:val="279"/>
        </w:trPr>
        <w:tc>
          <w:tcPr>
            <w:tcW w:w="596" w:type="dxa"/>
            <w:vAlign w:val="center"/>
          </w:tcPr>
          <w:p w14:paraId="1E16DEF4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6E73E611" w14:textId="49EADF89" w:rsidR="00E73773" w:rsidRPr="00782F76" w:rsidRDefault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 D.,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Šaćirović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D., Stankov, U., Ali, F.,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Kovačić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Blešić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Bratić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 (2023). Emerging cities and travel motivation: A latent profile analysis approach. Journal of Vacation Marketing. </w:t>
            </w:r>
            <w:hyperlink r:id="rId6" w:history="1">
              <w:r w:rsidRPr="00782F76">
                <w:rPr>
                  <w:rFonts w:ascii="Times New Roman" w:eastAsia="Times New Roman" w:hAnsi="Times New Roman"/>
                  <w:sz w:val="18"/>
                  <w:szCs w:val="18"/>
                </w:rPr>
                <w:t>https://doi.org/10.1177/13567667231188872</w:t>
              </w:r>
            </w:hyperlink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782F76" w14:paraId="69B8F934" w14:textId="77777777">
        <w:trPr>
          <w:trHeight w:val="279"/>
        </w:trPr>
        <w:tc>
          <w:tcPr>
            <w:tcW w:w="596" w:type="dxa"/>
            <w:vAlign w:val="center"/>
          </w:tcPr>
          <w:p w14:paraId="3D94A01C" w14:textId="77777777" w:rsidR="00782F76" w:rsidRPr="00782F76" w:rsidRDefault="00782F7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09CF1DDA" w14:textId="0B8DE621" w:rsidR="00782F76" w:rsidRPr="00782F76" w:rsidRDefault="00782F76" w:rsidP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Božić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M.D.,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Kennell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Solarević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 (2018). Sun, </w:t>
            </w:r>
            <w:proofErr w:type="gram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Sea</w:t>
            </w:r>
            <w:proofErr w:type="gram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and Shrines: Application of Analytic hierarchy process (AHP) to Assess the Attractiveness of Six Cultural Heritage Sites in Phuket (Thailand).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Geographica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Pannonica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22/2, 121-138, 0354-8724, DOI: 10.5937/22-16983 (M24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782F76" w14:paraId="35D2E338" w14:textId="77777777">
        <w:trPr>
          <w:trHeight w:val="279"/>
        </w:trPr>
        <w:tc>
          <w:tcPr>
            <w:tcW w:w="596" w:type="dxa"/>
            <w:vAlign w:val="center"/>
          </w:tcPr>
          <w:p w14:paraId="458785B2" w14:textId="77777777" w:rsidR="00782F76" w:rsidRPr="00782F76" w:rsidRDefault="00782F7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7B20D687" w14:textId="45C861A4" w:rsidR="00782F76" w:rsidRPr="00782F76" w:rsidRDefault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Бесермењи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С.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Пивац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T. (2019).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Манифестације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функцији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очувања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националног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идентитета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војвођанских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Хрвата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Култура</w:t>
            </w:r>
            <w:proofErr w:type="spellEnd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полиса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16(39), 415-428. УДК 398(497.5):378.18.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(М51)</w:t>
            </w:r>
          </w:p>
        </w:tc>
      </w:tr>
      <w:tr w:rsidR="00E73773" w14:paraId="2CFDF523" w14:textId="77777777">
        <w:trPr>
          <w:trHeight w:val="279"/>
        </w:trPr>
        <w:tc>
          <w:tcPr>
            <w:tcW w:w="596" w:type="dxa"/>
            <w:vAlign w:val="center"/>
          </w:tcPr>
          <w:p w14:paraId="22372E56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9F95350" w14:textId="09A734EC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S.,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Wallrabenstein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K.,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Vujačić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 (2010). Believers on the territories of Central Serbia, Vojvodina and Bosnia and Herzegovina and Faith-based Tourism. </w:t>
            </w:r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International Journal of Culture and Tourism Research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3(1), 151-163.</w:t>
            </w:r>
            <w:r w:rsidR="00782F76" w:rsidRPr="00782F76">
              <w:rPr>
                <w:rFonts w:ascii="Times New Roman" w:eastAsia="Times New Roman" w:hAnsi="Times New Roman"/>
                <w:color w:val="222222"/>
                <w:sz w:val="18"/>
                <w:szCs w:val="18"/>
                <w:lang w:val="sr-Cyrl-RS"/>
              </w:rPr>
              <w:t xml:space="preserve"> (М24)</w:t>
            </w:r>
          </w:p>
        </w:tc>
      </w:tr>
      <w:tr w:rsidR="00E73773" w14:paraId="3D040164" w14:textId="77777777">
        <w:trPr>
          <w:trHeight w:val="279"/>
        </w:trPr>
        <w:tc>
          <w:tcPr>
            <w:tcW w:w="596" w:type="dxa"/>
            <w:vAlign w:val="center"/>
          </w:tcPr>
          <w:p w14:paraId="25B207B9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9DF0D0A" w14:textId="2A55EF46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Wallrabenstein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K. (2010). Attitudes of Experts from Novi Sad on the Use of the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Athentic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Setting of the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Petrovaradin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Fortress as the Venue for the EXIT Festival.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Geographica</w:t>
            </w:r>
            <w:proofErr w:type="spellEnd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Pannonica</w:t>
            </w:r>
            <w:proofErr w:type="spellEnd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14(3), 92-97.</w:t>
            </w:r>
            <w:r w:rsidR="00782F76" w:rsidRPr="00782F7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(М51)</w:t>
            </w:r>
          </w:p>
        </w:tc>
      </w:tr>
      <w:tr w:rsidR="00E73773" w14:paraId="2B73B1BC" w14:textId="77777777">
        <w:trPr>
          <w:trHeight w:val="279"/>
        </w:trPr>
        <w:tc>
          <w:tcPr>
            <w:tcW w:w="596" w:type="dxa"/>
            <w:vAlign w:val="center"/>
          </w:tcPr>
          <w:p w14:paraId="5DB61B1D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2E3B13CF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M. (2009). Tourism significance of archaeological sites. Rad je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prezentovan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na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10th International Joint World Cultural Tourism Conference 2009. Cultural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Touris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Inovations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and Strategies, 615-626.</w:t>
            </w:r>
          </w:p>
        </w:tc>
      </w:tr>
      <w:tr w:rsidR="00E73773" w14:paraId="569D02D8" w14:textId="77777777">
        <w:trPr>
          <w:trHeight w:val="279"/>
        </w:trPr>
        <w:tc>
          <w:tcPr>
            <w:tcW w:w="596" w:type="dxa"/>
            <w:vAlign w:val="center"/>
          </w:tcPr>
          <w:p w14:paraId="1076425B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23DC545C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Košić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K.,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M. (2010). Pollution of water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resouces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in Vojvodina,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Geographica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Timisiens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bolumen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XIX, no. 2/2010,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Facultatea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Chimie-Biologie-Geografie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West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Universiti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of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Timisora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Timisoara, Romania.</w:t>
            </w:r>
          </w:p>
        </w:tc>
      </w:tr>
      <w:tr w:rsidR="00E73773" w14:paraId="0B44155E" w14:textId="77777777">
        <w:trPr>
          <w:trHeight w:val="647"/>
        </w:trPr>
        <w:tc>
          <w:tcPr>
            <w:tcW w:w="596" w:type="dxa"/>
            <w:vAlign w:val="center"/>
          </w:tcPr>
          <w:p w14:paraId="608305DD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</w:tcPr>
          <w:p w14:paraId="1D84D09F" w14:textId="7BEEC3BA" w:rsidR="00E73773" w:rsidRPr="00782F76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Бесермењи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С.,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Марковић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С. (2018).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Евокативни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субиндикатори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функцији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очувања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националног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идентитета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војвођанских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Хрвата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примеру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насеља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Таванкут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Култура</w:t>
            </w:r>
            <w:proofErr w:type="spellEnd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полиса</w:t>
            </w:r>
            <w:proofErr w:type="spellEnd"/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15(37), 501-506.УДК 159.923.2:159.923.4(497.113). </w:t>
            </w:r>
            <w:r w:rsidR="00003285">
              <w:rPr>
                <w:rFonts w:ascii="Times New Roman" w:eastAsia="Times New Roman" w:hAnsi="Times New Roman"/>
                <w:sz w:val="18"/>
                <w:szCs w:val="18"/>
              </w:rPr>
              <w:t>(M51)</w:t>
            </w:r>
          </w:p>
        </w:tc>
      </w:tr>
      <w:tr w:rsidR="00E73773" w14:paraId="717C82B8" w14:textId="77777777">
        <w:trPr>
          <w:trHeight w:val="279"/>
        </w:trPr>
        <w:tc>
          <w:tcPr>
            <w:tcW w:w="596" w:type="dxa"/>
            <w:vAlign w:val="center"/>
          </w:tcPr>
          <w:p w14:paraId="4DF47411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6157D81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, 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Wallrabenstein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K.,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Blešić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I. (2014). Protected Cultural Asset as a Venue for a Music Festival – Case Study of the </w:t>
            </w:r>
            <w:proofErr w:type="spell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Petrovaradin</w:t>
            </w:r>
            <w:proofErr w:type="spell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Fortress, 15th International Joint World Cultural Tourism Conference, Conference Proceedings, Seoul, South Korea, 22-24.11.2014</w:t>
            </w:r>
            <w:proofErr w:type="gramStart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.,ISBN</w:t>
            </w:r>
            <w:proofErr w:type="gramEnd"/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978-89-922250-05-4, pp.590-600.</w:t>
            </w:r>
          </w:p>
        </w:tc>
      </w:tr>
      <w:tr w:rsidR="00E73773" w:rsidRPr="00782F76" w14:paraId="02EFBBF8" w14:textId="77777777">
        <w:trPr>
          <w:trHeight w:val="167"/>
        </w:trPr>
        <w:tc>
          <w:tcPr>
            <w:tcW w:w="9520" w:type="dxa"/>
            <w:gridSpan w:val="12"/>
            <w:vAlign w:val="center"/>
          </w:tcPr>
          <w:p w14:paraId="50AFCA46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73773" w:rsidRPr="00782F76" w14:paraId="14342041" w14:textId="77777777">
        <w:trPr>
          <w:trHeight w:val="227"/>
        </w:trPr>
        <w:tc>
          <w:tcPr>
            <w:tcW w:w="4328" w:type="dxa"/>
            <w:gridSpan w:val="5"/>
            <w:vAlign w:val="center"/>
          </w:tcPr>
          <w:p w14:paraId="420AD91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192" w:type="dxa"/>
            <w:gridSpan w:val="7"/>
            <w:vAlign w:val="center"/>
          </w:tcPr>
          <w:p w14:paraId="3536D91E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402 Google Scholar,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индекс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10</w:t>
            </w:r>
          </w:p>
        </w:tc>
      </w:tr>
      <w:tr w:rsidR="00E73773" w:rsidRPr="00782F76" w14:paraId="3C0C63CB" w14:textId="77777777">
        <w:trPr>
          <w:trHeight w:val="178"/>
        </w:trPr>
        <w:tc>
          <w:tcPr>
            <w:tcW w:w="4328" w:type="dxa"/>
            <w:gridSpan w:val="5"/>
            <w:vAlign w:val="center"/>
          </w:tcPr>
          <w:p w14:paraId="2EC6149D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92" w:type="dxa"/>
            <w:gridSpan w:val="7"/>
            <w:vAlign w:val="center"/>
          </w:tcPr>
          <w:p w14:paraId="00118AF4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</w:p>
        </w:tc>
      </w:tr>
      <w:tr w:rsidR="00E73773" w:rsidRPr="00782F76" w14:paraId="5EDEF2DA" w14:textId="77777777">
        <w:trPr>
          <w:trHeight w:val="278"/>
        </w:trPr>
        <w:tc>
          <w:tcPr>
            <w:tcW w:w="4328" w:type="dxa"/>
            <w:gridSpan w:val="5"/>
            <w:vAlign w:val="center"/>
          </w:tcPr>
          <w:p w14:paraId="425D4295" w14:textId="77777777" w:rsidR="00E73773" w:rsidRPr="00782F76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2" w:type="dxa"/>
            <w:gridSpan w:val="4"/>
            <w:vAlign w:val="center"/>
          </w:tcPr>
          <w:p w14:paraId="0ED01B7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: 2</w:t>
            </w:r>
          </w:p>
        </w:tc>
        <w:tc>
          <w:tcPr>
            <w:tcW w:w="3670" w:type="dxa"/>
            <w:gridSpan w:val="3"/>
            <w:vAlign w:val="center"/>
          </w:tcPr>
          <w:p w14:paraId="60BA1C5D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E73773" w:rsidRPr="00782F76" w14:paraId="606D398B" w14:textId="77777777">
        <w:trPr>
          <w:trHeight w:val="261"/>
        </w:trPr>
        <w:tc>
          <w:tcPr>
            <w:tcW w:w="9520" w:type="dxa"/>
            <w:gridSpan w:val="12"/>
            <w:vAlign w:val="center"/>
          </w:tcPr>
          <w:p w14:paraId="2A17719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Appointment of Scientific Committee Member World Cultural Tourism Association from 01.01.2008.</w:t>
            </w:r>
          </w:p>
        </w:tc>
      </w:tr>
    </w:tbl>
    <w:p w14:paraId="59457039" w14:textId="77777777" w:rsidR="00E73773" w:rsidRDefault="00E73773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57EF15AB" w14:textId="77777777" w:rsidR="00E73773" w:rsidRDefault="00E73773"/>
    <w:sectPr w:rsidR="00E73773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7106F"/>
    <w:multiLevelType w:val="hybridMultilevel"/>
    <w:tmpl w:val="EB7CB86E"/>
    <w:lvl w:ilvl="0" w:tplc="C91A97E2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421485"/>
    <w:multiLevelType w:val="multilevel"/>
    <w:tmpl w:val="DA56D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96231170">
    <w:abstractNumId w:val="1"/>
  </w:num>
  <w:num w:numId="2" w16cid:durableId="60951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773"/>
    <w:rsid w:val="00003285"/>
    <w:rsid w:val="00782F76"/>
    <w:rsid w:val="00E7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4B3F27"/>
  <w15:docId w15:val="{C9756DBD-D195-254A-B076-F9CFD510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ng-binding">
    <w:name w:val="ng-binding"/>
    <w:basedOn w:val="DefaultParagraphFont"/>
    <w:rsid w:val="002B66E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uiPriority w:val="99"/>
    <w:unhideWhenUsed/>
    <w:rsid w:val="00782F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177/135676672311888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7kJLvnnWLpy+mkOZ//7d+de18Xw==">AMUW2mUlsSWENeiyZrtXDFFcbwXbi0k6GVrEB2muDUa+MjgHU1NKTg3GDnPZNYyrMVHmhX6ql3PlcMcfyoC8r2nqAk0YxPAh+++NN+lhGX7tMamO8qkN+1Q=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2023-11-10T11:14:00Z</dcterms:created>
  <dcterms:modified xsi:type="dcterms:W3CDTF">2023-11-10T11:14:00Z</dcterms:modified>
</cp:coreProperties>
</file>