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73" w:rsidRDefault="00FF3A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1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1114"/>
        <w:gridCol w:w="815"/>
        <w:gridCol w:w="148"/>
        <w:gridCol w:w="1125"/>
        <w:gridCol w:w="971"/>
        <w:gridCol w:w="331"/>
        <w:gridCol w:w="106"/>
        <w:gridCol w:w="1113"/>
        <w:gridCol w:w="499"/>
        <w:gridCol w:w="1696"/>
        <w:gridCol w:w="514"/>
        <w:gridCol w:w="2067"/>
      </w:tblGrid>
      <w:tr w:rsidR="00FF3A73" w:rsidTr="00FB43E3">
        <w:trPr>
          <w:trHeight w:val="178"/>
        </w:trPr>
        <w:tc>
          <w:tcPr>
            <w:tcW w:w="5383" w:type="dxa"/>
            <w:gridSpan w:val="7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995" w:type="dxa"/>
            <w:gridSpan w:val="6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Тамара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Јовановић</w:t>
            </w:r>
            <w:proofErr w:type="spellEnd"/>
          </w:p>
        </w:tc>
      </w:tr>
      <w:tr w:rsidR="00FF3A73" w:rsidTr="00FB43E3">
        <w:trPr>
          <w:trHeight w:val="56"/>
        </w:trPr>
        <w:tc>
          <w:tcPr>
            <w:tcW w:w="5383" w:type="dxa"/>
            <w:gridSpan w:val="7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Звање</w:t>
            </w:r>
            <w:proofErr w:type="spellEnd"/>
          </w:p>
        </w:tc>
        <w:tc>
          <w:tcPr>
            <w:tcW w:w="5995" w:type="dxa"/>
            <w:gridSpan w:val="6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професор</w:t>
            </w:r>
            <w:proofErr w:type="spellEnd"/>
          </w:p>
        </w:tc>
      </w:tr>
      <w:tr w:rsidR="00FF3A73" w:rsidTr="00FB43E3">
        <w:trPr>
          <w:trHeight w:val="142"/>
        </w:trPr>
        <w:tc>
          <w:tcPr>
            <w:tcW w:w="5383" w:type="dxa"/>
            <w:gridSpan w:val="7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када</w:t>
            </w:r>
            <w:proofErr w:type="spellEnd"/>
          </w:p>
        </w:tc>
        <w:tc>
          <w:tcPr>
            <w:tcW w:w="5995" w:type="dxa"/>
            <w:gridSpan w:val="6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01.10.2010.</w:t>
            </w:r>
          </w:p>
        </w:tc>
      </w:tr>
      <w:tr w:rsidR="00FF3A73" w:rsidTr="00FB43E3">
        <w:trPr>
          <w:trHeight w:val="124"/>
        </w:trPr>
        <w:tc>
          <w:tcPr>
            <w:tcW w:w="5383" w:type="dxa"/>
            <w:gridSpan w:val="7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област</w:t>
            </w:r>
            <w:proofErr w:type="spellEnd"/>
          </w:p>
        </w:tc>
        <w:tc>
          <w:tcPr>
            <w:tcW w:w="5995" w:type="dxa"/>
            <w:gridSpan w:val="6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Психолошке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науке</w:t>
            </w:r>
            <w:proofErr w:type="spellEnd"/>
          </w:p>
        </w:tc>
      </w:tr>
      <w:tr w:rsidR="00FF3A73" w:rsidTr="00FB43E3">
        <w:trPr>
          <w:trHeight w:val="106"/>
        </w:trPr>
        <w:tc>
          <w:tcPr>
            <w:tcW w:w="11378" w:type="dxa"/>
            <w:gridSpan w:val="13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каријера</w:t>
            </w:r>
            <w:proofErr w:type="spellEnd"/>
          </w:p>
        </w:tc>
      </w:tr>
      <w:tr w:rsidR="00FF3A73" w:rsidTr="00FB43E3">
        <w:trPr>
          <w:trHeight w:val="284"/>
        </w:trPr>
        <w:tc>
          <w:tcPr>
            <w:tcW w:w="2956" w:type="dxa"/>
            <w:gridSpan w:val="4"/>
            <w:vAlign w:val="center"/>
          </w:tcPr>
          <w:p w:rsidR="00FF3A73" w:rsidRDefault="00FF3A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FF3A73" w:rsidTr="00FB43E3">
        <w:trPr>
          <w:trHeight w:val="284"/>
        </w:trPr>
        <w:tc>
          <w:tcPr>
            <w:tcW w:w="2956" w:type="dxa"/>
            <w:gridSpan w:val="4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звање</w:t>
            </w:r>
            <w:proofErr w:type="spellEnd"/>
          </w:p>
        </w:tc>
        <w:tc>
          <w:tcPr>
            <w:tcW w:w="1125" w:type="dxa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2020.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Психолошке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науке</w:t>
            </w:r>
            <w:proofErr w:type="spellEnd"/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</w:p>
        </w:tc>
      </w:tr>
      <w:tr w:rsidR="00FF3A73" w:rsidTr="00FB43E3">
        <w:trPr>
          <w:trHeight w:val="284"/>
        </w:trPr>
        <w:tc>
          <w:tcPr>
            <w:tcW w:w="2956" w:type="dxa"/>
            <w:gridSpan w:val="4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Докторат</w:t>
            </w:r>
            <w:proofErr w:type="spellEnd"/>
          </w:p>
        </w:tc>
        <w:tc>
          <w:tcPr>
            <w:tcW w:w="1125" w:type="dxa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2014.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Филозофски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Психолошке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науке</w:t>
            </w:r>
            <w:proofErr w:type="spellEnd"/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FF3A73" w:rsidRDefault="00AF5515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</w:p>
        </w:tc>
      </w:tr>
      <w:tr w:rsidR="00FF3A73" w:rsidTr="00FB43E3">
        <w:trPr>
          <w:trHeight w:val="284"/>
        </w:trPr>
        <w:tc>
          <w:tcPr>
            <w:tcW w:w="2956" w:type="dxa"/>
            <w:gridSpan w:val="4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Мастер</w:t>
            </w:r>
            <w:proofErr w:type="spellEnd"/>
          </w:p>
        </w:tc>
        <w:tc>
          <w:tcPr>
            <w:tcW w:w="1125" w:type="dxa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2008.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Филозофски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Психолошке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науке</w:t>
            </w:r>
            <w:proofErr w:type="spellEnd"/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FF3A73" w:rsidRDefault="00AF5515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</w:p>
        </w:tc>
      </w:tr>
      <w:tr w:rsidR="00FF3A73" w:rsidTr="00FB43E3">
        <w:trPr>
          <w:trHeight w:val="284"/>
        </w:trPr>
        <w:tc>
          <w:tcPr>
            <w:tcW w:w="2956" w:type="dxa"/>
            <w:gridSpan w:val="4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Диплома</w:t>
            </w:r>
            <w:proofErr w:type="spellEnd"/>
          </w:p>
        </w:tc>
        <w:tc>
          <w:tcPr>
            <w:tcW w:w="1125" w:type="dxa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2007.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Филозофски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Психолошке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науке</w:t>
            </w:r>
            <w:proofErr w:type="spellEnd"/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FF3A73" w:rsidRDefault="00AF5515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</w:p>
        </w:tc>
      </w:tr>
      <w:tr w:rsidR="00FF3A73" w:rsidTr="00FB43E3">
        <w:trPr>
          <w:trHeight w:val="187"/>
        </w:trPr>
        <w:tc>
          <w:tcPr>
            <w:tcW w:w="11378" w:type="dxa"/>
            <w:gridSpan w:val="13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FF3A73" w:rsidTr="00FB43E3">
        <w:trPr>
          <w:trHeight w:val="250"/>
        </w:trPr>
        <w:tc>
          <w:tcPr>
            <w:tcW w:w="879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Р.Б.</w:t>
            </w:r>
          </w:p>
          <w:p w:rsidR="00FF3A73" w:rsidRDefault="00FF3A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(ОСС, ССС, ОАС, МСС, МАС, САС)</w:t>
            </w:r>
          </w:p>
        </w:tc>
      </w:tr>
      <w:tr w:rsidR="00FF3A73" w:rsidTr="00FB43E3">
        <w:trPr>
          <w:trHeight w:val="1393"/>
        </w:trPr>
        <w:tc>
          <w:tcPr>
            <w:tcW w:w="879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ПМФ01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Развојна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педагошка</w:t>
            </w:r>
            <w:proofErr w:type="spellEnd"/>
          </w:p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физике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биологије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математике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хемичар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технологије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="00FB43E3" w:rsidRPr="008514EB">
              <w:rPr>
                <w:rFonts w:ascii="Times New Roman" w:hAnsi="Times New Roman"/>
                <w:sz w:val="16"/>
                <w:szCs w:val="16"/>
                <w:lang w:val="sr-Cyrl-CS"/>
              </w:rPr>
              <w:t>Мастер професор информатике, биологије и хемије, физике и хемије, биологије и географије, географије и информатике, физике и информатике, физике и математике, математике и информатике, Мастер математичар, Мастер математичар – примењена математика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F3A73" w:rsidRPr="00FB43E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  <w:r w:rsidR="00FB43E3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="00FB43E3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МАС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ПМФ02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образовања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F3A73" w:rsidRPr="00FB43E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биологије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физике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математике</w:t>
            </w:r>
            <w:proofErr w:type="spellEnd"/>
            <w:r w:rsidR="00FB43E3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, мастер професор информатике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F3A73" w:rsidRPr="00FB43E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  <w:r w:rsidR="00FB43E3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, МАС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Г511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учења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F3A73" w:rsidRPr="00FB43E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биологије</w:t>
            </w:r>
            <w:proofErr w:type="spellEnd"/>
            <w:r w:rsidR="00FB43E3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, мастер професор географије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F3A73" w:rsidRPr="00FB43E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  <w:r w:rsidR="00FB43E3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, МАС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Т105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туризму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туризмолог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О24ПСИ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Психологија</w:t>
            </w:r>
            <w:proofErr w:type="spellEnd"/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Оптометрија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ОСС</w:t>
            </w:r>
          </w:p>
        </w:tc>
      </w:tr>
      <w:tr w:rsidR="00FF3A73" w:rsidTr="00FB43E3">
        <w:trPr>
          <w:trHeight w:val="295"/>
        </w:trPr>
        <w:tc>
          <w:tcPr>
            <w:tcW w:w="879" w:type="dxa"/>
            <w:shd w:val="clear" w:color="auto" w:fill="auto"/>
            <w:vAlign w:val="center"/>
          </w:tcPr>
          <w:p w:rsidR="00FF3A73" w:rsidRDefault="00FB43E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Г417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Инклузија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</w:p>
        </w:tc>
        <w:tc>
          <w:tcPr>
            <w:tcW w:w="2067" w:type="dxa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FB43E3" w:rsidTr="00FB43E3">
        <w:trPr>
          <w:trHeight w:val="295"/>
        </w:trPr>
        <w:tc>
          <w:tcPr>
            <w:tcW w:w="879" w:type="dxa"/>
            <w:shd w:val="clear" w:color="auto" w:fill="auto"/>
            <w:vAlign w:val="center"/>
          </w:tcPr>
          <w:p w:rsidR="00FB43E3" w:rsidRDefault="00FB43E3" w:rsidP="00FB43E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B43E3" w:rsidRDefault="00FB43E3" w:rsidP="00FB43E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514EB">
              <w:rPr>
                <w:rFonts w:ascii="Times New Roman" w:hAnsi="Times New Roman"/>
                <w:sz w:val="16"/>
                <w:szCs w:val="16"/>
              </w:rPr>
              <w:t>МКТ106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FB43E3" w:rsidRDefault="00FB43E3" w:rsidP="00FB43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8514EB">
              <w:rPr>
                <w:rFonts w:ascii="Times New Roman" w:hAnsi="Times New Roman"/>
                <w:sz w:val="16"/>
                <w:szCs w:val="16"/>
              </w:rPr>
              <w:t>Интеркултурна</w:t>
            </w:r>
            <w:proofErr w:type="spellEnd"/>
            <w:r w:rsidRPr="008514E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4EB">
              <w:rPr>
                <w:rFonts w:ascii="Times New Roman" w:hAnsi="Times New Roman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1408" w:type="dxa"/>
            <w:gridSpan w:val="3"/>
            <w:shd w:val="clear" w:color="auto" w:fill="auto"/>
            <w:vAlign w:val="center"/>
          </w:tcPr>
          <w:p w:rsidR="00FB43E3" w:rsidRPr="008514EB" w:rsidRDefault="00FB43E3" w:rsidP="00FB43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514E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 и вежбе</w:t>
            </w:r>
          </w:p>
        </w:tc>
        <w:tc>
          <w:tcPr>
            <w:tcW w:w="3822" w:type="dxa"/>
            <w:gridSpan w:val="4"/>
            <w:shd w:val="clear" w:color="auto" w:fill="auto"/>
            <w:vAlign w:val="center"/>
          </w:tcPr>
          <w:p w:rsidR="00FB43E3" w:rsidRPr="008514EB" w:rsidRDefault="00FB43E3" w:rsidP="00FB43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514EB">
              <w:rPr>
                <w:rFonts w:ascii="Times New Roman" w:hAnsi="Times New Roman"/>
                <w:sz w:val="16"/>
                <w:szCs w:val="16"/>
                <w:lang w:val="sr-Cyrl-CS"/>
              </w:rPr>
              <w:t>Мастер туризмолог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B43E3" w:rsidRPr="008514EB" w:rsidRDefault="00FB43E3" w:rsidP="00FB43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514EB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FF3A73" w:rsidTr="00FB43E3">
        <w:trPr>
          <w:trHeight w:val="178"/>
        </w:trPr>
        <w:tc>
          <w:tcPr>
            <w:tcW w:w="11378" w:type="dxa"/>
            <w:gridSpan w:val="13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10)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Blajvaz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B. K.,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Bogdanović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I. Z.,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T. S.,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Stanisavljević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J. D.,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Pavkov-Hrvojević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M. V. (2022). The Jigsaw Technique in Lower 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</w:rPr>
              <w:t xml:space="preserve">Secondary Physics Education: Students’ Achievement, </w:t>
            </w:r>
            <w:proofErr w:type="gram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</w:rPr>
              <w:t>Metacognition</w:t>
            </w:r>
            <w:proofErr w:type="gram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</w:rPr>
              <w:t xml:space="preserve"> and Motivation. </w:t>
            </w:r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</w:rPr>
              <w:t>Journal of Baltic Science Education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</w:rPr>
              <w:t xml:space="preserve">, 21(4), 545-557. </w:t>
            </w:r>
            <w:r>
              <w:rPr>
                <w:rFonts w:ascii="Times New Roman" w:eastAsia="Times New Roman" w:hAnsi="Times New Roman"/>
                <w:color w:val="2A2A2A"/>
                <w:sz w:val="16"/>
                <w:szCs w:val="16"/>
              </w:rPr>
              <w:t>https://doi.org/10.33225/jbse/22.21.545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</w:rPr>
              <w:t xml:space="preserve"> </w:t>
            </w:r>
            <w:r w:rsidR="00E15B07">
              <w:rPr>
                <w:rFonts w:ascii="Times New Roman" w:eastAsia="Times New Roman" w:hAnsi="Times New Roman"/>
                <w:color w:val="222222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M23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T.,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Bodroža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B., Orchard, L.,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Fullwood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Kermani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H.,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Casale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Fioravanti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Buljan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I.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Hren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D. (2022). Cross-cultural validity of the psycho-social aspects of Facebook Use (PSAFU) scale.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Psihologija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 xml:space="preserve">, 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56(1), 31-62.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https://doi.org/10.2298/PSI210702013J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 xml:space="preserve"> 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M23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A.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Simat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, N. (2022). Identification of predictors’ effects on perceiving the ethical climate and job satisfaction within Serbian tourism industry. </w:t>
            </w:r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Journal of Management &amp; Organization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 28(1), 120-148. https://doi.org/10.1017/jmo.2019.36 </w:t>
            </w:r>
            <w:r w:rsidR="00E15B07"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M23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T.,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Šuligoj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M. (2021). Does a visitor of dark tourism sites </w:t>
            </w:r>
            <w:r w:rsidR="00B10E50"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have a dark personality? A study of potential visitors of dark tourism sites in Serbia.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Primenjena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psihologija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 14(4), 407-442. https://doi.org/10.19090/pp.2021.4.407-442 </w:t>
            </w:r>
            <w:r w:rsidR="00E15B07"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M23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T.,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Đajić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, B. (2021). Ethical dilemmas at work: The significance of the ethical climate and corruptive rationalizations for the resolution of ethical dilemmas at work.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Teme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44(4), 1201-1227. https://doi.org/10.22190/TEME190413073M 1201-1227. </w:t>
            </w:r>
            <w:r w:rsidR="00E15B07"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M24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Gajić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M.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Miljanović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T. B.,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Babić-Kekez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S.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Županec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V. D.,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T. S.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 (2021). Correlations between Teaching Strategies in Biology, Learning Styles, and Student School Achievement: Implications for Inquiry Based Teaching. </w:t>
            </w:r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Journal of Baltic Science Education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 20(2), 184-203. https://doi.org/10.33225/jbse/21.20.184 </w:t>
            </w:r>
            <w:r w:rsidR="00E15B07"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M23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Čikić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T.,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Nedeljković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M. (2018). Business and/or pleasure-Gender (In) equalities in rural tourism in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Vojvodina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. </w:t>
            </w:r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Journal of Agricultural Science and Technology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 20(7), 1341-1352. </w:t>
            </w:r>
            <w:r w:rsidR="00E15B07"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M22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, T. S.,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A.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Ivanović-Bibić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Ristanović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, B. (2018). Pupils' perception of cognitive advantages of internet use while teaching geography in primary and secondary schools.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Zbornik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radova-Geografski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fakultet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Univerziteta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6"/>
                <w:szCs w:val="16"/>
                <w:highlight w:val="white"/>
              </w:rPr>
              <w:t>Beogradu</w:t>
            </w:r>
            <w:proofErr w:type="spellEnd"/>
            <w:r w:rsidR="00E15B07"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, 66</w:t>
            </w:r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(2), 5-22</w:t>
            </w:r>
            <w:proofErr w:type="gramStart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 xml:space="preserve">.  </w:t>
            </w:r>
            <w:proofErr w:type="gramEnd"/>
            <w:r>
              <w:rPr>
                <w:rFonts w:ascii="Times New Roman" w:eastAsia="Times New Roman" w:hAnsi="Times New Roman"/>
                <w:color w:val="222222"/>
                <w:sz w:val="16"/>
                <w:szCs w:val="16"/>
                <w:highlight w:val="white"/>
              </w:rPr>
              <w:t>https://doi.org/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10.5937/zrgfub1802005J </w:t>
            </w:r>
            <w:r w:rsidR="00E15B07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  <w:highlight w:val="white"/>
              </w:rPr>
              <w:t>M24</w:t>
            </w:r>
            <w:r w:rsidR="00E15B07">
              <w:rPr>
                <w:rFonts w:ascii="Times New Roman" w:eastAsia="Times New Roman" w:hAnsi="Times New Roman"/>
                <w:b/>
                <w:color w:val="222222"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Чикић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Ј.,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Јовановић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, Т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(2015).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Дифузија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знања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развој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руралног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туризма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Војводини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: ПМФ. ISBN: 978-86-7031-383-5 </w:t>
            </w:r>
            <w:r w:rsidR="00E15B07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М42</w:t>
            </w:r>
            <w:r w:rsidR="00E15B07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FF3A73" w:rsidTr="00FB43E3">
        <w:trPr>
          <w:trHeight w:val="284"/>
        </w:trPr>
        <w:tc>
          <w:tcPr>
            <w:tcW w:w="879" w:type="dxa"/>
            <w:vAlign w:val="center"/>
          </w:tcPr>
          <w:p w:rsidR="00FF3A73" w:rsidRDefault="00FF3A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shd w:val="clear" w:color="auto" w:fill="auto"/>
            <w:vAlign w:val="center"/>
          </w:tcPr>
          <w:p w:rsidR="00FF3A73" w:rsidRDefault="00AF551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Вујичић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М.,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Божић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С.,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Јовановић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Т.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(2019). </w:t>
            </w:r>
            <w:proofErr w:type="spellStart"/>
            <w:r>
              <w:rPr>
                <w:rFonts w:ascii="Times New Roman" w:eastAsia="Times New Roman" w:hAnsi="Times New Roman"/>
                <w:i/>
                <w:color w:val="111111"/>
                <w:sz w:val="16"/>
                <w:szCs w:val="16"/>
                <w:highlight w:val="white"/>
              </w:rPr>
              <w:t>Процес</w:t>
            </w:r>
            <w:proofErr w:type="spellEnd"/>
            <w:r>
              <w:rPr>
                <w:rFonts w:ascii="Times New Roman" w:eastAsia="Times New Roman" w:hAnsi="Times New Roman"/>
                <w:i/>
                <w:color w:val="111111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111111"/>
                <w:sz w:val="16"/>
                <w:szCs w:val="16"/>
                <w:highlight w:val="white"/>
              </w:rPr>
              <w:t>доношења</w:t>
            </w:r>
            <w:proofErr w:type="spellEnd"/>
            <w:r>
              <w:rPr>
                <w:rFonts w:ascii="Times New Roman" w:eastAsia="Times New Roman" w:hAnsi="Times New Roman"/>
                <w:i/>
                <w:color w:val="111111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111111"/>
                <w:sz w:val="16"/>
                <w:szCs w:val="16"/>
                <w:highlight w:val="white"/>
              </w:rPr>
              <w:t>одлуке</w:t>
            </w:r>
            <w:proofErr w:type="spellEnd"/>
            <w:r>
              <w:rPr>
                <w:rFonts w:ascii="Times New Roman" w:eastAsia="Times New Roman" w:hAnsi="Times New Roman"/>
                <w:i/>
                <w:color w:val="111111"/>
                <w:sz w:val="16"/>
                <w:szCs w:val="16"/>
                <w:highlight w:val="whit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i/>
                <w:color w:val="111111"/>
                <w:sz w:val="16"/>
                <w:szCs w:val="16"/>
                <w:highlight w:val="white"/>
              </w:rPr>
              <w:t>туризму</w:t>
            </w:r>
            <w:proofErr w:type="spellEnd"/>
            <w:r>
              <w:rPr>
                <w:rFonts w:ascii="Times New Roman" w:eastAsia="Times New Roman" w:hAnsi="Times New Roman"/>
                <w:color w:val="111111"/>
                <w:sz w:val="16"/>
                <w:szCs w:val="16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111111"/>
                <w:sz w:val="16"/>
                <w:szCs w:val="16"/>
                <w:highlight w:val="white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color w:val="111111"/>
                <w:sz w:val="16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11111"/>
                <w:sz w:val="16"/>
                <w:szCs w:val="16"/>
                <w:highlight w:val="white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color w:val="111111"/>
                <w:sz w:val="16"/>
                <w:szCs w:val="16"/>
                <w:highlight w:val="white"/>
              </w:rPr>
              <w:t>: ПМФ ISBN: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111111"/>
                <w:sz w:val="16"/>
                <w:szCs w:val="16"/>
                <w:highlight w:val="white"/>
              </w:rPr>
              <w:t xml:space="preserve">978-86-7031-520-4 </w:t>
            </w:r>
            <w:r w:rsidR="00E15B07">
              <w:rPr>
                <w:rFonts w:ascii="Times New Roman" w:eastAsia="Times New Roman" w:hAnsi="Times New Roman"/>
                <w:color w:val="111111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М42</w:t>
            </w:r>
            <w:r w:rsidR="00E15B07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  <w:bookmarkStart w:id="0" w:name="_GoBack"/>
            <w:bookmarkEnd w:id="0"/>
          </w:p>
        </w:tc>
      </w:tr>
      <w:tr w:rsidR="00FF3A73" w:rsidTr="00FB43E3">
        <w:trPr>
          <w:trHeight w:val="284"/>
        </w:trPr>
        <w:tc>
          <w:tcPr>
            <w:tcW w:w="11378" w:type="dxa"/>
            <w:gridSpan w:val="13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FF3A73" w:rsidTr="00FB43E3">
        <w:trPr>
          <w:trHeight w:val="223"/>
        </w:trPr>
        <w:tc>
          <w:tcPr>
            <w:tcW w:w="5052" w:type="dxa"/>
            <w:gridSpan w:val="6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цитата</w:t>
            </w:r>
            <w:proofErr w:type="spellEnd"/>
          </w:p>
        </w:tc>
        <w:tc>
          <w:tcPr>
            <w:tcW w:w="6326" w:type="dxa"/>
            <w:gridSpan w:val="7"/>
            <w:vAlign w:val="center"/>
          </w:tcPr>
          <w:p w:rsidR="00FF3A73" w:rsidRDefault="00FB43E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396</w:t>
            </w:r>
            <w:r w:rsidR="00AF5515">
              <w:rPr>
                <w:rFonts w:ascii="Times New Roman" w:eastAsia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="00AF5515">
              <w:rPr>
                <w:rFonts w:ascii="Times New Roman" w:eastAsia="Times New Roman" w:hAnsi="Times New Roman"/>
                <w:sz w:val="16"/>
                <w:szCs w:val="16"/>
              </w:rPr>
              <w:t>по</w:t>
            </w:r>
            <w:proofErr w:type="spellEnd"/>
            <w:r w:rsidR="00AF5515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AF5515">
              <w:rPr>
                <w:rFonts w:ascii="Times New Roman" w:eastAsia="Times New Roman" w:hAnsi="Times New Roman"/>
                <w:sz w:val="16"/>
                <w:szCs w:val="16"/>
              </w:rPr>
              <w:t>бази</w:t>
            </w:r>
            <w:proofErr w:type="spellEnd"/>
            <w:r w:rsidR="00AF5515">
              <w:rPr>
                <w:rFonts w:ascii="Times New Roman" w:eastAsia="Times New Roman" w:hAnsi="Times New Roman"/>
                <w:sz w:val="16"/>
                <w:szCs w:val="16"/>
              </w:rPr>
              <w:t xml:space="preserve"> Scopus)</w:t>
            </w:r>
          </w:p>
        </w:tc>
      </w:tr>
      <w:tr w:rsidR="00FF3A73" w:rsidTr="00FB43E3">
        <w:trPr>
          <w:trHeight w:val="160"/>
        </w:trPr>
        <w:tc>
          <w:tcPr>
            <w:tcW w:w="5052" w:type="dxa"/>
            <w:gridSpan w:val="6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листе</w:t>
            </w:r>
            <w:proofErr w:type="spellEnd"/>
          </w:p>
        </w:tc>
        <w:tc>
          <w:tcPr>
            <w:tcW w:w="6326" w:type="dxa"/>
            <w:gridSpan w:val="7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31</w:t>
            </w:r>
          </w:p>
        </w:tc>
      </w:tr>
      <w:tr w:rsidR="00FF3A73" w:rsidTr="00FB43E3">
        <w:trPr>
          <w:trHeight w:val="97"/>
        </w:trPr>
        <w:tc>
          <w:tcPr>
            <w:tcW w:w="5052" w:type="dxa"/>
            <w:gridSpan w:val="6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пројектима</w:t>
            </w:r>
            <w:proofErr w:type="spellEnd"/>
          </w:p>
        </w:tc>
        <w:tc>
          <w:tcPr>
            <w:tcW w:w="2049" w:type="dxa"/>
            <w:gridSpan w:val="4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: 1</w:t>
            </w:r>
          </w:p>
        </w:tc>
        <w:tc>
          <w:tcPr>
            <w:tcW w:w="4277" w:type="dxa"/>
            <w:gridSpan w:val="3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: 4</w:t>
            </w:r>
          </w:p>
        </w:tc>
      </w:tr>
      <w:tr w:rsidR="00FF3A73" w:rsidTr="00FB43E3">
        <w:trPr>
          <w:trHeight w:val="178"/>
        </w:trPr>
        <w:tc>
          <w:tcPr>
            <w:tcW w:w="2808" w:type="dxa"/>
            <w:gridSpan w:val="3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0" w:type="dxa"/>
            <w:gridSpan w:val="10"/>
            <w:vAlign w:val="center"/>
          </w:tcPr>
          <w:p w:rsidR="00FF3A73" w:rsidRDefault="00AF551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CEEPUS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размена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наставног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кадра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недељу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дана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туристичке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студије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Туристика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Приморска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новембар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2022.</w:t>
            </w:r>
          </w:p>
          <w:p w:rsidR="00FB43E3" w:rsidRDefault="00FB43E3" w:rsidP="00FB43E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CEEPUS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размена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наставног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кадра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десет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дана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Логистику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у Марибору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октобар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202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</w:tr>
      <w:tr w:rsidR="00FF3A73" w:rsidTr="00FB43E3">
        <w:trPr>
          <w:trHeight w:val="284"/>
        </w:trPr>
        <w:tc>
          <w:tcPr>
            <w:tcW w:w="11378" w:type="dxa"/>
            <w:gridSpan w:val="13"/>
            <w:vAlign w:val="center"/>
          </w:tcPr>
          <w:p w:rsidR="00FF3A73" w:rsidRDefault="00AF5515" w:rsidP="00B10E5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Тамара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Јовановић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била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ангажована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11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домаћих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пројеката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Ангажована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као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рецензент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36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часописа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написала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96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рецензија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Коаутор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две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значаја</w:t>
            </w:r>
            <w:proofErr w:type="spellEnd"/>
            <w:r w:rsidR="00B10E50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, једног уџбеника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аутор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коаутор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преко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60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референци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Менторисала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једну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докторску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дисертацију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="00B10E50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10</w:t>
            </w:r>
            <w:r w:rsidR="00B10E50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B10E50">
              <w:rPr>
                <w:rFonts w:ascii="Times New Roman" w:eastAsia="Times New Roman" w:hAnsi="Times New Roman"/>
                <w:sz w:val="16"/>
                <w:szCs w:val="16"/>
              </w:rPr>
              <w:t>мастер</w:t>
            </w:r>
            <w:proofErr w:type="spellEnd"/>
            <w:r w:rsidR="00B10E50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B10E50">
              <w:rPr>
                <w:rFonts w:ascii="Times New Roman" w:eastAsia="Times New Roman" w:hAnsi="Times New Roman"/>
                <w:sz w:val="16"/>
                <w:szCs w:val="16"/>
              </w:rPr>
              <w:t>радова</w:t>
            </w:r>
            <w:proofErr w:type="spellEnd"/>
            <w:r w:rsidR="00B10E50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="00B10E50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дипломских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r w:rsidR="00B10E50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16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завршних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струковним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студијама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</w:tr>
    </w:tbl>
    <w:p w:rsidR="00FF3A73" w:rsidRDefault="00FF3A73"/>
    <w:sectPr w:rsidR="00FF3A73">
      <w:pgSz w:w="11906" w:h="16838"/>
      <w:pgMar w:top="397" w:right="397" w:bottom="397" w:left="39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4633E"/>
    <w:multiLevelType w:val="multilevel"/>
    <w:tmpl w:val="0212B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73"/>
    <w:rsid w:val="003277FA"/>
    <w:rsid w:val="00AF5515"/>
    <w:rsid w:val="00B10E50"/>
    <w:rsid w:val="00E15B07"/>
    <w:rsid w:val="00F579DA"/>
    <w:rsid w:val="00FB43E3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A4AEDF"/>
  <w15:docId w15:val="{363A905A-8AAA-4035-9D6F-CB79171EB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BC8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F42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7DF8"/>
    <w:rPr>
      <w:color w:val="0000FF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Wj7Cbug+Ud9ik7YiUwsoJd9RYQ==">AMUW2mXKj2rqlRrUXyT5VAtxjlp2617CvU6xmh8yGQ+nR7wLIV+pk+ePZO41TkrywV2WrVObG3aKQEeR1wA7WIjUiRkpQq3pcIZhqItXpcrj/V5Q1mjb/a0=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Marija</cp:lastModifiedBy>
  <cp:revision>3</cp:revision>
  <dcterms:created xsi:type="dcterms:W3CDTF">2023-11-05T23:34:00Z</dcterms:created>
  <dcterms:modified xsi:type="dcterms:W3CDTF">2023-11-07T00:30:00Z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78726bd7dbde93e163ba1313064165521d1fdb82c4f831c90ea621dc08ba48c7</vt:lpwstr>
  </property>
</Properties>
</file>