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A345B" w14:textId="77777777" w:rsidR="00D32BBB" w:rsidRDefault="00D32B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230"/>
        <w:gridCol w:w="776"/>
        <w:gridCol w:w="278"/>
        <w:gridCol w:w="559"/>
        <w:gridCol w:w="1778"/>
        <w:gridCol w:w="64"/>
        <w:gridCol w:w="1373"/>
        <w:gridCol w:w="201"/>
        <w:gridCol w:w="1350"/>
        <w:gridCol w:w="630"/>
        <w:gridCol w:w="810"/>
        <w:gridCol w:w="723"/>
      </w:tblGrid>
      <w:tr w:rsidR="00D32BBB" w14:paraId="27D47FE8" w14:textId="77777777">
        <w:trPr>
          <w:trHeight w:val="90"/>
        </w:trPr>
        <w:tc>
          <w:tcPr>
            <w:tcW w:w="4433" w:type="dxa"/>
            <w:gridSpan w:val="7"/>
            <w:vAlign w:val="center"/>
          </w:tcPr>
          <w:p w14:paraId="164731FF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5087" w:type="dxa"/>
            <w:gridSpan w:val="6"/>
            <w:vAlign w:val="center"/>
          </w:tcPr>
          <w:p w14:paraId="4455BA2F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Јасмина С. Ђорђевић</w:t>
            </w:r>
          </w:p>
        </w:tc>
      </w:tr>
      <w:tr w:rsidR="00D32BBB" w14:paraId="20DDF681" w14:textId="77777777">
        <w:trPr>
          <w:trHeight w:val="120"/>
        </w:trPr>
        <w:tc>
          <w:tcPr>
            <w:tcW w:w="4433" w:type="dxa"/>
            <w:gridSpan w:val="7"/>
            <w:vAlign w:val="center"/>
          </w:tcPr>
          <w:p w14:paraId="1E3BB12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5087" w:type="dxa"/>
            <w:gridSpan w:val="6"/>
            <w:vAlign w:val="center"/>
          </w:tcPr>
          <w:p w14:paraId="73084F7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D32BBB" w14:paraId="217CD7C9" w14:textId="77777777">
        <w:trPr>
          <w:trHeight w:val="427"/>
        </w:trPr>
        <w:tc>
          <w:tcPr>
            <w:tcW w:w="4433" w:type="dxa"/>
            <w:gridSpan w:val="7"/>
            <w:vAlign w:val="center"/>
          </w:tcPr>
          <w:p w14:paraId="7E467E03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087" w:type="dxa"/>
            <w:gridSpan w:val="6"/>
            <w:vAlign w:val="center"/>
          </w:tcPr>
          <w:p w14:paraId="715D4068" w14:textId="77777777" w:rsidR="00D32BBB" w:rsidRDefault="003D2EDA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Унивезитет у Новом Саду, Природно-математички факултет, Департман за географију,туризам и хотелијерство, од 15.09. 2008.Последњи избор у звање 08.09.2016.</w:t>
            </w:r>
          </w:p>
        </w:tc>
      </w:tr>
      <w:tr w:rsidR="00D32BBB" w14:paraId="70EC3847" w14:textId="77777777">
        <w:trPr>
          <w:trHeight w:val="77"/>
        </w:trPr>
        <w:tc>
          <w:tcPr>
            <w:tcW w:w="4433" w:type="dxa"/>
            <w:gridSpan w:val="7"/>
            <w:vAlign w:val="center"/>
          </w:tcPr>
          <w:p w14:paraId="4D6EF330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5087" w:type="dxa"/>
            <w:gridSpan w:val="6"/>
            <w:vAlign w:val="center"/>
          </w:tcPr>
          <w:p w14:paraId="347468F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</w:tr>
      <w:tr w:rsidR="00D32BBB" w14:paraId="48923C6D" w14:textId="77777777">
        <w:trPr>
          <w:trHeight w:val="90"/>
        </w:trPr>
        <w:tc>
          <w:tcPr>
            <w:tcW w:w="9520" w:type="dxa"/>
            <w:gridSpan w:val="13"/>
            <w:vAlign w:val="center"/>
          </w:tcPr>
          <w:p w14:paraId="3137E67E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D32BBB" w14:paraId="5A38AD64" w14:textId="77777777">
        <w:trPr>
          <w:trHeight w:val="427"/>
        </w:trPr>
        <w:tc>
          <w:tcPr>
            <w:tcW w:w="1754" w:type="dxa"/>
            <w:gridSpan w:val="3"/>
            <w:vAlign w:val="center"/>
          </w:tcPr>
          <w:p w14:paraId="2D24F478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7DC3756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4E7B2FF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66EC81EE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A4167D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D32BBB" w14:paraId="2C27B009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4B60C7D1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5ADE8BBE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26A3EAA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 факултет, Универзитет у Новом Саду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796E522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8526635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32BBB" w14:paraId="4D276719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0999064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4E920CA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2013.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53FB89F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 факултет, Универзитет у Новом Саду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73E82D1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 географија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2D16577F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</w:tr>
      <w:tr w:rsidR="00D32BBB" w14:paraId="0FBC7FD7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7BAAFA41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694F771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1999.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2898815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Географски факултет, Универзитет у Београду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7DA724E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04059AA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32BBB" w14:paraId="75A07B29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4D810D9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837" w:type="dxa"/>
            <w:gridSpan w:val="2"/>
            <w:vAlign w:val="center"/>
          </w:tcPr>
          <w:p w14:paraId="6AF3DD7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1995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2884A049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Географски факултет, Универзитет у Београду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0305D9E1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1284398C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32BBB" w14:paraId="59EA6068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28A1D9C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642D0B00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1987.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2F0BD911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Географски факултет, Универзитет у Београду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74932163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4B74C65B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32BBB" w14:paraId="70E660C4" w14:textId="77777777">
        <w:trPr>
          <w:trHeight w:val="427"/>
        </w:trPr>
        <w:tc>
          <w:tcPr>
            <w:tcW w:w="9520" w:type="dxa"/>
            <w:gridSpan w:val="13"/>
            <w:vAlign w:val="center"/>
          </w:tcPr>
          <w:p w14:paraId="0F815D5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D32BBB" w14:paraId="233B446D" w14:textId="77777777">
        <w:trPr>
          <w:trHeight w:val="311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511B25B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Р.Б.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198256D1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38493D09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Назив предмета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B74315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4D955B0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75D26360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Врста студија </w:t>
            </w:r>
          </w:p>
        </w:tc>
      </w:tr>
      <w:tr w:rsidR="00D32BBB" w14:paraId="095E56C9" w14:textId="77777777">
        <w:trPr>
          <w:trHeight w:val="317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33BCC877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6C633FE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ДГ101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3697E72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Увод у научни рад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8C63DD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30E0102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професор географије, географија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ED9174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D32BBB" w14:paraId="683EED18" w14:textId="77777777">
        <w:trPr>
          <w:trHeight w:val="404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033410A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7F6F698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Г209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7031175F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Географске основе просторног планирања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65A7D7E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788D067D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професор географије, географија, геоинформатичар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553EE0B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D32BBB" w14:paraId="072415F7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511AA927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06D82B8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ДГ309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2E0B15F7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Регионално планирање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566D7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0B3163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професор географије, географија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5167689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D32BBB" w14:paraId="4C800491" w14:textId="77777777">
        <w:trPr>
          <w:trHeight w:val="60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0E6B658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492363E8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T109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6DBC900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Картографија у туризму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5EE20B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4B6A64C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туризам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4BA9CF3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D32BBB" w14:paraId="504682F3" w14:textId="77777777">
        <w:trPr>
          <w:trHeight w:val="30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663C0B5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88CBCB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Гис405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3A30685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Примена Гис-а у просторном планирању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E206DE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D24567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геоинформатичар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2616B5B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D32BBB" w14:paraId="21F9A041" w14:textId="77777777">
        <w:tc>
          <w:tcPr>
            <w:tcW w:w="978" w:type="dxa"/>
            <w:gridSpan w:val="2"/>
            <w:shd w:val="clear" w:color="auto" w:fill="auto"/>
            <w:vAlign w:val="center"/>
          </w:tcPr>
          <w:p w14:paraId="3C1A9113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623C55D9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MT110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3FB65EC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Туризам као агенс трансформације простора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25E657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A682F8D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туризам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59F4DE1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МАС</w:t>
            </w:r>
          </w:p>
        </w:tc>
      </w:tr>
      <w:tr w:rsidR="00D32BBB" w14:paraId="33768022" w14:textId="77777777">
        <w:tc>
          <w:tcPr>
            <w:tcW w:w="978" w:type="dxa"/>
            <w:gridSpan w:val="2"/>
            <w:shd w:val="clear" w:color="auto" w:fill="auto"/>
            <w:vAlign w:val="center"/>
          </w:tcPr>
          <w:p w14:paraId="0085AD6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35A8025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MT116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61F2CD9A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Теренска настава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AC68132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C574110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туризам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6A680436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МАС</w:t>
            </w:r>
          </w:p>
        </w:tc>
      </w:tr>
      <w:tr w:rsidR="00D32BBB" w14:paraId="7BE7D7CF" w14:textId="77777777">
        <w:trPr>
          <w:trHeight w:val="248"/>
        </w:trPr>
        <w:tc>
          <w:tcPr>
            <w:tcW w:w="9520" w:type="dxa"/>
            <w:gridSpan w:val="13"/>
            <w:vAlign w:val="center"/>
          </w:tcPr>
          <w:p w14:paraId="641E5D22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Репрезентативне референце (минимално 5 не више од 10)</w:t>
            </w:r>
          </w:p>
        </w:tc>
      </w:tr>
      <w:tr w:rsidR="00D32BBB" w14:paraId="4D34D903" w14:textId="77777777">
        <w:trPr>
          <w:trHeight w:val="279"/>
        </w:trPr>
        <w:tc>
          <w:tcPr>
            <w:tcW w:w="748" w:type="dxa"/>
            <w:vAlign w:val="center"/>
          </w:tcPr>
          <w:p w14:paraId="084F2713" w14:textId="77777777" w:rsidR="00D32BBB" w:rsidRDefault="00D32BB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5F9AB594" w14:textId="00949204" w:rsidR="00D32BBB" w:rsidRPr="00CE58F7" w:rsidRDefault="00465AA5" w:rsidP="00D07419">
            <w:pPr>
              <w:spacing w:after="60"/>
              <w:jc w:val="both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val="en-GB"/>
              </w:rPr>
            </w:pP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Stojanović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V.,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Đorđević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J.,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Lazić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L.,</w:t>
            </w:r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Stamenkovič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I.,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Dragićević</w:t>
            </w:r>
            <w:proofErr w:type="spellEnd"/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, V.</w:t>
            </w:r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(</w:t>
            </w:r>
            <w:r w:rsidRPr="00CE58F7">
              <w:rPr>
                <w:rStyle w:val="ecx098412611-08062010"/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2014</w:t>
            </w:r>
            <w:r w:rsidR="00D07419">
              <w:rPr>
                <w:rStyle w:val="ecx098412611-08062010"/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)</w:t>
            </w:r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. The principles of sustainable development of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turism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in the Special Nature Reserve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Gornje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Podunavlje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and their impact on the local communities. 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>Acta geographica Slovenica,</w:t>
            </w:r>
            <w:r w:rsidRPr="00CE58F7">
              <w:rPr>
                <w:rStyle w:val="ecx098412611-08062010"/>
                <w:rFonts w:ascii="Times New Roman" w:hAnsi="Times New Roman"/>
                <w:sz w:val="16"/>
                <w:szCs w:val="16"/>
              </w:rPr>
              <w:t xml:space="preserve"> 54-2. ZRC-SAZU, Geographical institute Anton Melik. Ljubljana. pp. 391-400.</w:t>
            </w:r>
            <w:r w:rsidRPr="00CE58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ISSN</w:t>
            </w:r>
            <w:r w:rsidRPr="00CE58F7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</w:rPr>
              <w:t>1581-6613 (Print), 1581-8314 (Online</w:t>
            </w:r>
            <w:r w:rsidRPr="00D074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</w:t>
            </w:r>
            <w:r w:rsidRPr="00D07419">
              <w:rPr>
                <w:rStyle w:val="ecx098412611-08062010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07419" w:rsidRPr="00D07419">
              <w:rPr>
                <w:rFonts w:ascii="Times New Roman" w:hAnsi="Times New Roman"/>
                <w:sz w:val="18"/>
                <w:szCs w:val="18"/>
                <w:lang w:val="en-US"/>
              </w:rPr>
              <w:t>doi</w:t>
            </w:r>
            <w:proofErr w:type="spellEnd"/>
            <w:r w:rsidRPr="00D0741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:</w:t>
            </w:r>
            <w:r w:rsidRPr="00CE58F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10.3986/AGS54407UDC:913:338.48(497.113) 338.48:712(497.113) </w:t>
            </w:r>
            <w:r w:rsidRPr="00CE58F7">
              <w:rPr>
                <w:rStyle w:val="ecx098412611-08062010"/>
                <w:rFonts w:ascii="Times New Roman" w:hAnsi="Times New Roman"/>
                <w:sz w:val="16"/>
                <w:szCs w:val="16"/>
              </w:rPr>
              <w:t xml:space="preserve">COBISS:1.01 </w:t>
            </w:r>
            <w:r w:rsidR="00D07419" w:rsidRPr="00D07419">
              <w:rPr>
                <w:rStyle w:val="ecx098412611-08062010"/>
                <w:rFonts w:ascii="Times New Roman" w:hAnsi="Times New Roman"/>
                <w:b/>
                <w:sz w:val="16"/>
                <w:szCs w:val="16"/>
                <w:lang w:val="en-US"/>
              </w:rPr>
              <w:t>(</w:t>
            </w:r>
            <w:r w:rsidR="00D569AB" w:rsidRPr="00D07419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M23</w:t>
            </w:r>
            <w:r w:rsidR="00D07419" w:rsidRPr="00D07419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)</w:t>
            </w:r>
          </w:p>
        </w:tc>
      </w:tr>
      <w:tr w:rsidR="00D32BBB" w14:paraId="02F7DB0A" w14:textId="77777777">
        <w:trPr>
          <w:trHeight w:val="279"/>
        </w:trPr>
        <w:tc>
          <w:tcPr>
            <w:tcW w:w="748" w:type="dxa"/>
            <w:vAlign w:val="center"/>
          </w:tcPr>
          <w:p w14:paraId="7F7637A8" w14:textId="77777777" w:rsidR="00D32BBB" w:rsidRDefault="00D32BB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754213A0" w14:textId="46970086" w:rsidR="00D32BBB" w:rsidRPr="00CE58F7" w:rsidRDefault="00465AA5" w:rsidP="00465AA5">
            <w:pPr>
              <w:spacing w:after="60"/>
              <w:jc w:val="both"/>
              <w:rPr>
                <w:rFonts w:ascii="Times New Roman" w:hAnsi="Times New Roman"/>
                <w:bCs/>
                <w:sz w:val="16"/>
                <w:szCs w:val="16"/>
                <w:lang w:val="en-GB"/>
              </w:rPr>
            </w:pPr>
            <w:r w:rsidRPr="00CE58F7">
              <w:rPr>
                <w:rFonts w:ascii="Times New Roman" w:hAnsi="Times New Roman"/>
                <w:sz w:val="16"/>
                <w:szCs w:val="16"/>
                <w:lang w:val="sr-Latn-CS"/>
              </w:rPr>
              <w:t>Blagojević,</w:t>
            </w:r>
            <w:r w:rsidRPr="00CE58F7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 </w:t>
            </w:r>
            <w:r w:rsidR="00D07419" w:rsidRPr="00D07419">
              <w:rPr>
                <w:rFonts w:ascii="Times New Roman" w:hAnsi="Times New Roman"/>
                <w:sz w:val="16"/>
                <w:szCs w:val="16"/>
                <w:lang w:val="sr-Latn-CS"/>
              </w:rPr>
              <w:t>I.,</w:t>
            </w:r>
            <w:r w:rsidR="00D0741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 </w:t>
            </w:r>
            <w:r w:rsidRPr="00CE58F7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Đorđević</w:t>
            </w:r>
            <w:r w:rsidR="00D0741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, J.</w:t>
            </w:r>
            <w:r w:rsidRPr="00CE58F7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 </w:t>
            </w:r>
            <w:r w:rsidR="00D07419" w:rsidRPr="00D07419">
              <w:rPr>
                <w:rFonts w:ascii="Times New Roman" w:hAnsi="Times New Roman"/>
                <w:sz w:val="16"/>
                <w:szCs w:val="16"/>
                <w:lang w:val="sr-Latn-CS"/>
              </w:rPr>
              <w:t>(</w:t>
            </w:r>
            <w:r w:rsidRPr="00D07419">
              <w:rPr>
                <w:rFonts w:ascii="Times New Roman" w:hAnsi="Times New Roman"/>
                <w:sz w:val="16"/>
                <w:szCs w:val="16"/>
                <w:lang w:val="sr-Latn-CS"/>
              </w:rPr>
              <w:t>2013</w:t>
            </w:r>
            <w:r w:rsidR="00D07419" w:rsidRPr="00D07419">
              <w:rPr>
                <w:rFonts w:ascii="Times New Roman" w:hAnsi="Times New Roman"/>
                <w:sz w:val="16"/>
                <w:szCs w:val="16"/>
                <w:lang w:val="sr-Latn-CS"/>
              </w:rPr>
              <w:t>)</w:t>
            </w:r>
            <w:r w:rsidRPr="00D07419">
              <w:rPr>
                <w:rFonts w:ascii="Times New Roman" w:hAnsi="Times New Roman"/>
                <w:sz w:val="16"/>
                <w:szCs w:val="16"/>
                <w:lang w:val="sr-Latn-CS"/>
              </w:rPr>
              <w:t>.</w:t>
            </w:r>
            <w:r w:rsidRPr="00CE58F7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 </w:t>
            </w:r>
            <w:r w:rsidRPr="00CE58F7">
              <w:rPr>
                <w:rFonts w:ascii="Times New Roman" w:hAnsi="Times New Roman"/>
                <w:sz w:val="16"/>
                <w:szCs w:val="16"/>
                <w:lang w:val="sr-Latn-CS"/>
              </w:rPr>
              <w:t>Landscape approach to flooded areas – an issue or a challenge. Geodetski vesnik, letnik 57, št.4. Geodetska uprava Republike Slovenije. Ljubljana</w:t>
            </w:r>
            <w:r w:rsidR="00D07419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. pp.760-776. UDK 528=863, ISSN: </w:t>
            </w:r>
            <w:r w:rsidRPr="00CE58F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0351-0271, EISSN 158-1328. </w:t>
            </w:r>
            <w:r w:rsidR="00D07419" w:rsidRPr="00D0741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(</w:t>
            </w:r>
            <w:r w:rsidRPr="00D0741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M23</w:t>
            </w:r>
            <w:r w:rsidR="00D07419" w:rsidRPr="00D0741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)</w:t>
            </w:r>
          </w:p>
        </w:tc>
      </w:tr>
      <w:tr w:rsidR="00D32BBB" w14:paraId="0E86722E" w14:textId="77777777">
        <w:trPr>
          <w:trHeight w:val="279"/>
        </w:trPr>
        <w:tc>
          <w:tcPr>
            <w:tcW w:w="748" w:type="dxa"/>
            <w:vAlign w:val="center"/>
          </w:tcPr>
          <w:p w14:paraId="799AB01F" w14:textId="77777777" w:rsidR="00D32BBB" w:rsidRDefault="00D32BB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3E639CE2" w14:textId="0517C38E" w:rsidR="00D32BBB" w:rsidRPr="00CE58F7" w:rsidRDefault="00465AA5" w:rsidP="00D07419">
            <w:pPr>
              <w:spacing w:after="60"/>
              <w:jc w:val="both"/>
              <w:rPr>
                <w:rFonts w:ascii="Times New Roman" w:hAnsi="Times New Roman"/>
                <w:bCs/>
                <w:sz w:val="16"/>
                <w:szCs w:val="16"/>
                <w:lang w:val="en-GB"/>
              </w:rPr>
            </w:pP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Blešić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I.,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Pivac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,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T.,</w:t>
            </w:r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Đorđević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J.,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Stamenkovič</w:t>
            </w:r>
            <w:proofErr w:type="spellEnd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I.,</w:t>
            </w:r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Janićević</w:t>
            </w:r>
            <w:proofErr w:type="spellEnd"/>
            <w:r w:rsid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, S</w:t>
            </w:r>
            <w:r w:rsidRPr="00CE58F7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. </w:t>
            </w:r>
            <w:r w:rsidR="00D07419" w:rsidRP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(</w:t>
            </w:r>
            <w:r w:rsidRP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2014</w:t>
            </w:r>
            <w:r w:rsidR="00D07419" w:rsidRP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>)</w:t>
            </w:r>
            <w:r w:rsidRPr="00D07419">
              <w:rPr>
                <w:rStyle w:val="ecx098412611-08062010"/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. 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>Cultural events as part of cultural tourism development. Case study: Sombor and Apatin (Serbia). Acta geographica Slovenica,</w:t>
            </w:r>
            <w:r w:rsidRPr="00CE58F7">
              <w:rPr>
                <w:rStyle w:val="ecx098412611-08062010"/>
                <w:rFonts w:ascii="Times New Roman" w:hAnsi="Times New Roman"/>
                <w:sz w:val="16"/>
                <w:szCs w:val="16"/>
              </w:rPr>
              <w:t xml:space="preserve"> 54-2. ZRC-SAZU, Geographical institute Anton Melik. Ljubljana. pp. 381-390 </w:t>
            </w:r>
            <w:r w:rsidRPr="00CE58F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ISSN</w:t>
            </w:r>
            <w:r w:rsidRPr="00CE58F7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1581-6613 (Print), 1581-8314 (Online) </w:t>
            </w:r>
            <w:proofErr w:type="spellStart"/>
            <w:r w:rsidR="00D07419">
              <w:rPr>
                <w:rFonts w:ascii="Times New Roman" w:hAnsi="Times New Roman"/>
                <w:sz w:val="16"/>
                <w:szCs w:val="16"/>
                <w:shd w:val="clear" w:color="auto" w:fill="FFFFFF"/>
                <w:lang w:val="en-US"/>
              </w:rPr>
              <w:t>doi</w:t>
            </w:r>
            <w:proofErr w:type="spellEnd"/>
            <w:r w:rsidRPr="00CE58F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: 10.3986/AGS54406 UDC:913:338.48(497.113) 338.48-6:7/8(497.113) </w:t>
            </w:r>
            <w:r w:rsidRPr="00CE58F7">
              <w:rPr>
                <w:rStyle w:val="ecx098412611-08062010"/>
                <w:rFonts w:ascii="Times New Roman" w:hAnsi="Times New Roman"/>
                <w:sz w:val="16"/>
                <w:szCs w:val="16"/>
              </w:rPr>
              <w:t xml:space="preserve">COBISS:1.01 </w:t>
            </w:r>
            <w:r w:rsidR="00D07419" w:rsidRPr="00D07419">
              <w:rPr>
                <w:rStyle w:val="ecx098412611-08062010"/>
                <w:rFonts w:ascii="Times New Roman" w:hAnsi="Times New Roman"/>
                <w:b/>
                <w:sz w:val="16"/>
                <w:szCs w:val="16"/>
                <w:lang w:val="en-US"/>
              </w:rPr>
              <w:t>(</w:t>
            </w:r>
            <w:r w:rsidRPr="00D07419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M23</w:t>
            </w:r>
            <w:r w:rsidR="00D07419" w:rsidRPr="00D07419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)</w:t>
            </w:r>
          </w:p>
        </w:tc>
      </w:tr>
      <w:tr w:rsidR="00D32BBB" w14:paraId="3B27FDD5" w14:textId="77777777">
        <w:trPr>
          <w:trHeight w:val="279"/>
        </w:trPr>
        <w:tc>
          <w:tcPr>
            <w:tcW w:w="748" w:type="dxa"/>
            <w:vAlign w:val="center"/>
          </w:tcPr>
          <w:p w14:paraId="56D70DA6" w14:textId="77777777" w:rsidR="00D32BBB" w:rsidRDefault="00D32BB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13338953" w14:textId="0F242C20" w:rsidR="00D32BBB" w:rsidRPr="00CE58F7" w:rsidRDefault="00465AA5" w:rsidP="00D07419">
            <w:pPr>
              <w:spacing w:after="60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  <w:lang w:val="en-US"/>
              </w:rPr>
            </w:pPr>
            <w:r w:rsidRPr="00CE58F7">
              <w:rPr>
                <w:rFonts w:ascii="Times New Roman" w:hAnsi="Times New Roman"/>
                <w:sz w:val="16"/>
                <w:szCs w:val="16"/>
              </w:rPr>
              <w:t xml:space="preserve">Drobnjakovic, </w:t>
            </w:r>
            <w:r w:rsidR="00D0741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M., 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>Panic,</w:t>
            </w:r>
            <w:r w:rsidR="00D0741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M.,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58F7">
              <w:rPr>
                <w:rFonts w:ascii="Times New Roman" w:hAnsi="Times New Roman"/>
                <w:b/>
                <w:sz w:val="16"/>
                <w:szCs w:val="16"/>
              </w:rPr>
              <w:t>Djordjevic,</w:t>
            </w:r>
            <w:r w:rsid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J. </w:t>
            </w:r>
            <w:r w:rsidRPr="00CE58F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07419" w:rsidRPr="00D07419">
              <w:rPr>
                <w:rFonts w:ascii="Times New Roman" w:hAnsi="Times New Roman"/>
                <w:sz w:val="16"/>
                <w:szCs w:val="16"/>
                <w:lang w:val="en-US"/>
              </w:rPr>
              <w:t>(</w:t>
            </w:r>
            <w:r w:rsidRPr="00D07419">
              <w:rPr>
                <w:rFonts w:ascii="Times New Roman" w:hAnsi="Times New Roman"/>
                <w:sz w:val="16"/>
                <w:szCs w:val="16"/>
              </w:rPr>
              <w:t>2016</w:t>
            </w:r>
            <w:r w:rsidR="00D07419" w:rsidRPr="00D07419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D07419">
              <w:rPr>
                <w:rFonts w:ascii="Times New Roman" w:hAnsi="Times New Roman"/>
                <w:sz w:val="16"/>
                <w:szCs w:val="16"/>
              </w:rPr>
              <w:t>.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58F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Traditional undeveloped municipalities in Serbia as a result of regional inequality. European Planning Studies. Taylor &amp; Francis Publishing Group. </w:t>
            </w:r>
            <w:r w:rsidR="00D07419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</w:rPr>
              <w:t>26</w:t>
            </w:r>
            <w:r w:rsidR="00D07419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  <w:lang w:val="en-US"/>
              </w:rPr>
              <w:t>(</w:t>
            </w:r>
            <w:r w:rsidRPr="00CE58F7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D07419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  <w:r w:rsidRPr="00CE58F7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</w:rPr>
              <w:t xml:space="preserve">. pp.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926-949 </w:t>
            </w:r>
            <w:r w:rsidRPr="00D07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ISSN</w:t>
            </w:r>
            <w:r w:rsidR="00D07419" w:rsidRPr="00D07419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:</w:t>
            </w:r>
            <w:r w:rsidRPr="00CE58F7">
              <w:rPr>
                <w:rStyle w:val="apple-converted-space"/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</w:rPr>
              <w:t>0965-4313 (Print), 1469-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 xml:space="preserve">5944 </w:t>
            </w:r>
            <w:hyperlink r:id="rId6" w:history="1">
              <w:r w:rsidRPr="00D0741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http://www.tandfonline.com/doi/full/10.1080/09654313.2015.1129396</w:t>
              </w:r>
            </w:hyperlink>
            <w:r w:rsidRPr="00CE58F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D07419" w:rsidRP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(</w:t>
            </w:r>
            <w:r w:rsidRP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M22</w:t>
            </w:r>
            <w:r w:rsidR="00D07419" w:rsidRP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)</w:t>
            </w:r>
          </w:p>
        </w:tc>
      </w:tr>
      <w:tr w:rsidR="00D32BBB" w14:paraId="19C23821" w14:textId="77777777">
        <w:trPr>
          <w:trHeight w:val="247"/>
        </w:trPr>
        <w:tc>
          <w:tcPr>
            <w:tcW w:w="748" w:type="dxa"/>
            <w:vAlign w:val="center"/>
          </w:tcPr>
          <w:p w14:paraId="0841B591" w14:textId="77777777" w:rsidR="00D32BBB" w:rsidRDefault="00D32BB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5BDF1F57" w14:textId="7D27DCF0" w:rsidR="00D32BBB" w:rsidRPr="00CE58F7" w:rsidRDefault="00465AA5" w:rsidP="00D07419">
            <w:pPr>
              <w:widowControl w:val="0"/>
              <w:jc w:val="both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Ćopić, 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S., </w:t>
            </w:r>
            <w:r w:rsidRPr="00CE58F7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  <w:t xml:space="preserve"> Đorđević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J.,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Lukić, 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T.,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Stojanović, 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V.,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Đukičin, 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S.,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Besermenji, 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S., </w:t>
            </w:r>
            <w:r w:rsidRPr="00CE58F7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Stamenković,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I.,</w:t>
            </w:r>
            <w:r w:rsid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Tumarić, A</w:t>
            </w:r>
            <w:r w:rsidR="00D07419" w:rsidRP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D07419" w:rsidRP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>(</w:t>
            </w:r>
            <w:r w:rsidRP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2014</w:t>
            </w:r>
            <w:r w:rsidR="00D07419" w:rsidRP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>)</w:t>
            </w:r>
            <w:r w:rsidRPr="00D07419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CE58F7">
              <w:rPr>
                <w:rStyle w:val="Strong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hyperlink r:id="rId7" w:history="1">
              <w:r w:rsidRPr="00CE58F7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Transformation of Industrial Heritage - an Example of Tourism Industry Development in the Ruhr Area (Germany)</w:t>
              </w:r>
            </w:hyperlink>
            <w:r w:rsidRPr="00CE58F7">
              <w:rPr>
                <w:rStyle w:val="Strong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. 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>Jurnal Geographica Pannonica, Vol. 18, Issue 2, Department of Geography, Turism&amp;Hotel Management, Novi Sad, pp. 34-42. ISSN</w:t>
            </w:r>
            <w:r w:rsidR="00D07419">
              <w:rPr>
                <w:rFonts w:ascii="Times New Roman" w:hAnsi="Times New Roman"/>
                <w:sz w:val="16"/>
                <w:szCs w:val="16"/>
                <w:lang w:val="en-US"/>
              </w:rPr>
              <w:t>: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 xml:space="preserve"> 0354-8724 (hard copy) | ISSN</w:t>
            </w:r>
            <w:r w:rsidR="00D07419">
              <w:rPr>
                <w:rFonts w:ascii="Times New Roman" w:hAnsi="Times New Roman"/>
                <w:sz w:val="16"/>
                <w:szCs w:val="16"/>
                <w:lang w:val="en-US"/>
              </w:rPr>
              <w:t>:</w:t>
            </w:r>
            <w:r w:rsidRPr="00CE58F7">
              <w:rPr>
                <w:rFonts w:ascii="Times New Roman" w:hAnsi="Times New Roman"/>
                <w:sz w:val="16"/>
                <w:szCs w:val="16"/>
              </w:rPr>
              <w:t xml:space="preserve"> 1820-7138 (online)</w:t>
            </w:r>
            <w:r w:rsidR="00D07419">
              <w:rPr>
                <w:rFonts w:ascii="Times New Roman" w:hAnsi="Times New Roman"/>
                <w:spacing w:val="30"/>
                <w:sz w:val="16"/>
                <w:szCs w:val="16"/>
                <w:lang w:val="en-US"/>
              </w:rPr>
              <w:t xml:space="preserve"> </w:t>
            </w:r>
            <w:r w:rsidR="00D07419" w:rsidRP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(M2</w:t>
            </w:r>
            <w:r w:rsid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4</w:t>
            </w:r>
            <w:r w:rsidR="00D07419" w:rsidRPr="00D0741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)</w:t>
            </w:r>
          </w:p>
        </w:tc>
      </w:tr>
      <w:tr w:rsidR="00D32BBB" w14:paraId="1750FBAF" w14:textId="77777777">
        <w:trPr>
          <w:trHeight w:val="465"/>
        </w:trPr>
        <w:tc>
          <w:tcPr>
            <w:tcW w:w="748" w:type="dxa"/>
            <w:vAlign w:val="center"/>
          </w:tcPr>
          <w:p w14:paraId="4AF01691" w14:textId="78381E84" w:rsidR="00D32BBB" w:rsidRDefault="00D32BB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779E8493" w14:textId="7580EAF4" w:rsidR="00D32BBB" w:rsidRPr="00CE58F7" w:rsidRDefault="00CE58F7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Damir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</w:t>
            </w:r>
            <w:r w:rsid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P.,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Dunja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,</w:t>
            </w:r>
            <w:r w:rsidRPr="00CE58F7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D07419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D., </w:t>
            </w:r>
            <w:proofErr w:type="spellStart"/>
            <w:r w:rsidRPr="00CE58F7">
              <w:rPr>
                <w:rStyle w:val="ecx098412611-08062010"/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Đorđević</w:t>
            </w:r>
            <w:proofErr w:type="spellEnd"/>
            <w:r w:rsidR="00D07419">
              <w:rPr>
                <w:rStyle w:val="ecx098412611-08062010"/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,</w:t>
            </w:r>
            <w:r w:rsidR="00D07419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 J.</w:t>
            </w:r>
            <w:r w:rsidRPr="00CE58F7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Radović</w:t>
            </w:r>
            <w:proofErr w:type="spellEnd"/>
            <w:r w:rsid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, G</w:t>
            </w:r>
            <w:r w:rsidRPr="00CE58F7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. </w:t>
            </w:r>
            <w:r w:rsidR="00D07419" w:rsidRP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(</w:t>
            </w:r>
            <w:r w:rsidRP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2014</w:t>
            </w:r>
            <w:r w:rsidR="00D07419" w:rsidRP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)</w:t>
            </w:r>
            <w:r w:rsidRP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.</w:t>
            </w:r>
            <w:r w:rsidRPr="00CE58F7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Potentials for development of rural tourism in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Bački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Petrovac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municipality.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Časopis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Ekonomika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poljoprivrede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, Vol. LXI, No. 2(269-552),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Naučno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društvo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agrarnih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ekonomista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Balkana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(Beograd),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Institut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za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ekonomiku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poljoprivrede</w:t>
            </w:r>
            <w:proofErr w:type="spellEnd"/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(Beograd), Academy of economic Studies (Bucharest-Romania). pp.487-500. ISSN</w:t>
            </w:r>
            <w:r w:rsid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:</w:t>
            </w:r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0352-3462 </w:t>
            </w:r>
            <w:r w:rsid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(</w:t>
            </w:r>
            <w:r w:rsidRPr="00CE58F7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M24</w:t>
            </w:r>
            <w:r w:rsidR="00D07419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)</w:t>
            </w:r>
            <w:bookmarkStart w:id="0" w:name="_GoBack"/>
            <w:bookmarkEnd w:id="0"/>
          </w:p>
        </w:tc>
      </w:tr>
      <w:tr w:rsidR="00D32BBB" w14:paraId="1C16F277" w14:textId="77777777">
        <w:trPr>
          <w:trHeight w:val="167"/>
        </w:trPr>
        <w:tc>
          <w:tcPr>
            <w:tcW w:w="9520" w:type="dxa"/>
            <w:gridSpan w:val="13"/>
            <w:vAlign w:val="center"/>
          </w:tcPr>
          <w:p w14:paraId="18D41ADB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32BBB" w14:paraId="12DAFA69" w14:textId="77777777">
        <w:trPr>
          <w:trHeight w:val="227"/>
        </w:trPr>
        <w:tc>
          <w:tcPr>
            <w:tcW w:w="4369" w:type="dxa"/>
            <w:gridSpan w:val="6"/>
            <w:vAlign w:val="center"/>
          </w:tcPr>
          <w:p w14:paraId="37608DD5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Укупан број цитата </w:t>
            </w:r>
          </w:p>
        </w:tc>
        <w:tc>
          <w:tcPr>
            <w:tcW w:w="5151" w:type="dxa"/>
            <w:gridSpan w:val="7"/>
            <w:vAlign w:val="center"/>
          </w:tcPr>
          <w:p w14:paraId="0E2DEC9D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325 (Google Scholar)</w:t>
            </w:r>
          </w:p>
        </w:tc>
      </w:tr>
      <w:tr w:rsidR="00D32BBB" w14:paraId="4283AEC7" w14:textId="77777777">
        <w:trPr>
          <w:trHeight w:val="178"/>
        </w:trPr>
        <w:tc>
          <w:tcPr>
            <w:tcW w:w="4369" w:type="dxa"/>
            <w:gridSpan w:val="6"/>
            <w:vAlign w:val="center"/>
          </w:tcPr>
          <w:p w14:paraId="75C54A89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Укупан број радова са SCI (SSCI) листе </w:t>
            </w:r>
          </w:p>
        </w:tc>
        <w:tc>
          <w:tcPr>
            <w:tcW w:w="5151" w:type="dxa"/>
            <w:gridSpan w:val="7"/>
            <w:vAlign w:val="center"/>
          </w:tcPr>
          <w:p w14:paraId="2CC9530C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</w:tr>
      <w:tr w:rsidR="00D32BBB" w14:paraId="7A48CA85" w14:textId="77777777">
        <w:trPr>
          <w:trHeight w:val="278"/>
        </w:trPr>
        <w:tc>
          <w:tcPr>
            <w:tcW w:w="4369" w:type="dxa"/>
            <w:gridSpan w:val="6"/>
            <w:vAlign w:val="center"/>
          </w:tcPr>
          <w:p w14:paraId="50D4E3B4" w14:textId="77777777" w:rsidR="00D32BBB" w:rsidRDefault="003D2EDA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 учешће на пројектима</w:t>
            </w:r>
          </w:p>
        </w:tc>
        <w:tc>
          <w:tcPr>
            <w:tcW w:w="1437" w:type="dxa"/>
            <w:gridSpan w:val="2"/>
            <w:vAlign w:val="center"/>
          </w:tcPr>
          <w:p w14:paraId="12306150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Домаћи: 2</w:t>
            </w:r>
          </w:p>
        </w:tc>
        <w:tc>
          <w:tcPr>
            <w:tcW w:w="3714" w:type="dxa"/>
            <w:gridSpan w:val="5"/>
            <w:vAlign w:val="center"/>
          </w:tcPr>
          <w:p w14:paraId="6511E345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Међународни: 1</w:t>
            </w:r>
          </w:p>
        </w:tc>
      </w:tr>
      <w:tr w:rsidR="00D32BBB" w14:paraId="34B680CF" w14:textId="77777777">
        <w:trPr>
          <w:trHeight w:val="355"/>
        </w:trPr>
        <w:tc>
          <w:tcPr>
            <w:tcW w:w="2591" w:type="dxa"/>
            <w:gridSpan w:val="5"/>
            <w:vAlign w:val="center"/>
          </w:tcPr>
          <w:p w14:paraId="558E453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6929" w:type="dxa"/>
            <w:gridSpan w:val="8"/>
            <w:vAlign w:val="center"/>
          </w:tcPr>
          <w:p w14:paraId="4E01C384" w14:textId="77777777" w:rsidR="00D32BBB" w:rsidRDefault="00D32B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32BBB" w14:paraId="60009DE9" w14:textId="77777777">
        <w:trPr>
          <w:trHeight w:val="261"/>
        </w:trPr>
        <w:tc>
          <w:tcPr>
            <w:tcW w:w="9520" w:type="dxa"/>
            <w:gridSpan w:val="13"/>
            <w:vAlign w:val="center"/>
          </w:tcPr>
          <w:p w14:paraId="58786794" w14:textId="77777777" w:rsidR="00D32BBB" w:rsidRDefault="003D2ED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Други подаци које сматрате релевантним</w:t>
            </w:r>
          </w:p>
          <w:p w14:paraId="1E2A8590" w14:textId="77777777" w:rsidR="00D32BBB" w:rsidRDefault="003D2EDA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Руководилац међународног пројекта за Србију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„Promotion of natural and cultural heritage to develop sustainable tourism in protected areas  – PRONACUL“,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INTERREG V-B Adriatic-Ionian ADRION Programme.</w:t>
            </w:r>
          </w:p>
          <w:p w14:paraId="6052B542" w14:textId="77777777" w:rsidR="00D32BBB" w:rsidRDefault="003D2EDA">
            <w:pPr>
              <w:ind w:right="-52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Руководилац међународног пројекта за Србију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„Synergy of Culture and Tourism: utilization of cultural potentials  in less favored rural regions-SYCULTour“. Transnational Cooperation Programme SEE.</w:t>
            </w:r>
          </w:p>
        </w:tc>
      </w:tr>
    </w:tbl>
    <w:p w14:paraId="12B6D3EE" w14:textId="77777777" w:rsidR="00D32BBB" w:rsidRDefault="00D32BBB">
      <w:pPr>
        <w:rPr>
          <w:rFonts w:ascii="Times New Roman" w:eastAsia="Times New Roman" w:hAnsi="Times New Roman"/>
          <w:sz w:val="16"/>
          <w:szCs w:val="16"/>
        </w:rPr>
      </w:pPr>
    </w:p>
    <w:sectPr w:rsidR="00D32BB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C3A5A"/>
    <w:multiLevelType w:val="multilevel"/>
    <w:tmpl w:val="8BBC27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903A20"/>
    <w:multiLevelType w:val="hybridMultilevel"/>
    <w:tmpl w:val="36EC8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BB"/>
    <w:rsid w:val="003D2EDA"/>
    <w:rsid w:val="00465AA5"/>
    <w:rsid w:val="00CE58F7"/>
    <w:rsid w:val="00D07419"/>
    <w:rsid w:val="00D32BBB"/>
    <w:rsid w:val="00D5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C01D5"/>
  <w15:docId w15:val="{A098AAB0-4C5D-4D31-A959-AB393693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ecx098412611-08062010">
    <w:name w:val="ecx098412611-08062010"/>
    <w:qFormat/>
    <w:rsid w:val="00A10ADC"/>
    <w:rPr>
      <w:sz w:val="20"/>
      <w:szCs w:val="20"/>
      <w:shd w:val="clear" w:color="auto" w:fill="FFFFFF"/>
    </w:rPr>
  </w:style>
  <w:style w:type="paragraph" w:styleId="FootnoteText">
    <w:name w:val="footnote text"/>
    <w:basedOn w:val="Normal"/>
    <w:link w:val="FootnoteTextChar"/>
    <w:semiHidden/>
    <w:rsid w:val="00A10ADC"/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10ADC"/>
    <w:rPr>
      <w:rFonts w:ascii="Times New Roman" w:eastAsia="Times New Roman" w:hAnsi="Times New Roman" w:cs="Times New Roman"/>
      <w:kern w:val="0"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6759B2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465AA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5AA5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465AA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gt.uns.ac.rs/pannonica/papers/volume18_2_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ndfonline.com/doi/full/10.1080/09654313.2015.112939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2iTi/7j8w42XltH7z5mv4f3Xsg==">AMUW2mXdmO5HQaZ1DIGaZ/NUdZRr4gQIXZNGSeXYlj+Egsnh3HVQGzqd2qYM1iIu+uj5SSdHjYEZpt+pYzPc1dEKpFsZw3RaaP6EtMfQdpKkWSsO+eLZlhA=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2023-11-01T11:19:00Z</dcterms:created>
  <dcterms:modified xsi:type="dcterms:W3CDTF">2023-11-06T23:23:00Z</dcterms:modified>
</cp:coreProperties>
</file>