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CA5" w:rsidRDefault="00B75CA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5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225"/>
        <w:gridCol w:w="1290"/>
        <w:gridCol w:w="315"/>
        <w:gridCol w:w="120"/>
        <w:gridCol w:w="975"/>
        <w:gridCol w:w="765"/>
        <w:gridCol w:w="105"/>
        <w:gridCol w:w="315"/>
        <w:gridCol w:w="1215"/>
        <w:gridCol w:w="105"/>
        <w:gridCol w:w="1245"/>
        <w:gridCol w:w="315"/>
        <w:gridCol w:w="1995"/>
      </w:tblGrid>
      <w:tr w:rsidR="00B75CA5">
        <w:trPr>
          <w:trHeight w:val="274"/>
        </w:trPr>
        <w:tc>
          <w:tcPr>
            <w:tcW w:w="4395" w:type="dxa"/>
            <w:gridSpan w:val="8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190" w:type="dxa"/>
            <w:gridSpan w:val="6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Растислав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М.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Стојсављевић</w:t>
            </w:r>
            <w:proofErr w:type="spellEnd"/>
          </w:p>
        </w:tc>
      </w:tr>
      <w:tr w:rsidR="00B75CA5">
        <w:trPr>
          <w:trHeight w:val="278"/>
        </w:trPr>
        <w:tc>
          <w:tcPr>
            <w:tcW w:w="4395" w:type="dxa"/>
            <w:gridSpan w:val="8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190" w:type="dxa"/>
            <w:gridSpan w:val="6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Ванредни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B75CA5">
        <w:trPr>
          <w:trHeight w:val="427"/>
        </w:trPr>
        <w:tc>
          <w:tcPr>
            <w:tcW w:w="4395" w:type="dxa"/>
            <w:gridSpan w:val="8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190" w:type="dxa"/>
            <w:gridSpan w:val="6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01.01.2014.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B75CA5">
        <w:trPr>
          <w:trHeight w:val="77"/>
        </w:trPr>
        <w:tc>
          <w:tcPr>
            <w:tcW w:w="4395" w:type="dxa"/>
            <w:gridSpan w:val="8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190" w:type="dxa"/>
            <w:gridSpan w:val="6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Регионална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географија</w:t>
            </w:r>
            <w:proofErr w:type="spellEnd"/>
          </w:p>
        </w:tc>
      </w:tr>
      <w:tr w:rsidR="00B75CA5">
        <w:trPr>
          <w:trHeight w:val="427"/>
        </w:trPr>
        <w:tc>
          <w:tcPr>
            <w:tcW w:w="2550" w:type="dxa"/>
            <w:gridSpan w:val="5"/>
            <w:vAlign w:val="center"/>
          </w:tcPr>
          <w:p w:rsidR="00B75CA5" w:rsidRDefault="00B75CA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00" w:type="dxa"/>
            <w:gridSpan w:val="4"/>
            <w:shd w:val="clear" w:color="auto" w:fill="auto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10" w:type="dxa"/>
            <w:gridSpan w:val="2"/>
            <w:shd w:val="clear" w:color="auto" w:fill="auto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B75CA5">
        <w:trPr>
          <w:trHeight w:val="280"/>
        </w:trPr>
        <w:tc>
          <w:tcPr>
            <w:tcW w:w="2550" w:type="dxa"/>
            <w:gridSpan w:val="5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975" w:type="dxa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2022.</w:t>
            </w:r>
          </w:p>
        </w:tc>
        <w:tc>
          <w:tcPr>
            <w:tcW w:w="2400" w:type="dxa"/>
            <w:gridSpan w:val="4"/>
            <w:shd w:val="clear" w:color="auto" w:fill="auto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ПМФ,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Геонауке</w:t>
            </w:r>
            <w:proofErr w:type="spellEnd"/>
          </w:p>
        </w:tc>
        <w:tc>
          <w:tcPr>
            <w:tcW w:w="2310" w:type="dxa"/>
            <w:gridSpan w:val="2"/>
            <w:shd w:val="clear" w:color="auto" w:fill="auto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Регионална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географија</w:t>
            </w:r>
            <w:proofErr w:type="spellEnd"/>
          </w:p>
        </w:tc>
      </w:tr>
      <w:tr w:rsidR="00B75CA5">
        <w:trPr>
          <w:trHeight w:val="280"/>
        </w:trPr>
        <w:tc>
          <w:tcPr>
            <w:tcW w:w="2550" w:type="dxa"/>
            <w:gridSpan w:val="5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975" w:type="dxa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2017.</w:t>
            </w:r>
          </w:p>
        </w:tc>
        <w:tc>
          <w:tcPr>
            <w:tcW w:w="2400" w:type="dxa"/>
            <w:gridSpan w:val="4"/>
            <w:shd w:val="clear" w:color="auto" w:fill="auto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ПМФ,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Геонауке</w:t>
            </w:r>
            <w:proofErr w:type="spellEnd"/>
          </w:p>
        </w:tc>
        <w:tc>
          <w:tcPr>
            <w:tcW w:w="2310" w:type="dxa"/>
            <w:gridSpan w:val="2"/>
            <w:shd w:val="clear" w:color="auto" w:fill="auto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Регионална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географија</w:t>
            </w:r>
            <w:proofErr w:type="spellEnd"/>
          </w:p>
        </w:tc>
      </w:tr>
      <w:tr w:rsidR="00B75CA5">
        <w:trPr>
          <w:trHeight w:val="280"/>
        </w:trPr>
        <w:tc>
          <w:tcPr>
            <w:tcW w:w="2550" w:type="dxa"/>
            <w:gridSpan w:val="5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975" w:type="dxa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2011.</w:t>
            </w:r>
          </w:p>
        </w:tc>
        <w:tc>
          <w:tcPr>
            <w:tcW w:w="2400" w:type="dxa"/>
            <w:gridSpan w:val="4"/>
            <w:shd w:val="clear" w:color="auto" w:fill="auto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ПМФ,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Геонауке</w:t>
            </w:r>
            <w:proofErr w:type="spellEnd"/>
          </w:p>
        </w:tc>
        <w:tc>
          <w:tcPr>
            <w:tcW w:w="2310" w:type="dxa"/>
            <w:gridSpan w:val="2"/>
            <w:shd w:val="clear" w:color="auto" w:fill="auto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Регионална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географија</w:t>
            </w:r>
            <w:proofErr w:type="spellEnd"/>
          </w:p>
        </w:tc>
      </w:tr>
      <w:tr w:rsidR="00B75CA5">
        <w:trPr>
          <w:trHeight w:val="280"/>
        </w:trPr>
        <w:tc>
          <w:tcPr>
            <w:tcW w:w="2550" w:type="dxa"/>
            <w:gridSpan w:val="5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975" w:type="dxa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2010.</w:t>
            </w:r>
          </w:p>
        </w:tc>
        <w:tc>
          <w:tcPr>
            <w:tcW w:w="2400" w:type="dxa"/>
            <w:gridSpan w:val="4"/>
            <w:shd w:val="clear" w:color="auto" w:fill="auto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ПМФ,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Геонауке</w:t>
            </w:r>
            <w:proofErr w:type="spellEnd"/>
          </w:p>
        </w:tc>
        <w:tc>
          <w:tcPr>
            <w:tcW w:w="2310" w:type="dxa"/>
            <w:gridSpan w:val="2"/>
            <w:shd w:val="clear" w:color="auto" w:fill="auto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Регионална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географија</w:t>
            </w:r>
            <w:proofErr w:type="spellEnd"/>
          </w:p>
        </w:tc>
      </w:tr>
      <w:tr w:rsidR="00B75CA5">
        <w:trPr>
          <w:trHeight w:val="427"/>
        </w:trPr>
        <w:tc>
          <w:tcPr>
            <w:tcW w:w="9585" w:type="dxa"/>
            <w:gridSpan w:val="14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  <w:p w:rsidR="00B75CA5" w:rsidRDefault="00B75CA5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B75CA5">
        <w:trPr>
          <w:trHeight w:val="822"/>
        </w:trPr>
        <w:tc>
          <w:tcPr>
            <w:tcW w:w="825" w:type="dxa"/>
            <w:gridSpan w:val="2"/>
            <w:shd w:val="clear" w:color="auto" w:fill="auto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br/>
            </w:r>
          </w:p>
        </w:tc>
        <w:tc>
          <w:tcPr>
            <w:tcW w:w="2595" w:type="dxa"/>
            <w:gridSpan w:val="6"/>
            <w:shd w:val="clear" w:color="auto" w:fill="auto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320" w:type="dxa"/>
            <w:gridSpan w:val="2"/>
            <w:shd w:val="clear" w:color="auto" w:fill="auto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наставе</w:t>
            </w:r>
            <w:proofErr w:type="spellEnd"/>
          </w:p>
          <w:p w:rsidR="00B75CA5" w:rsidRDefault="00B75CA5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(ОСС, ССС, ОАС, МСС, МАС, САС)</w:t>
            </w:r>
          </w:p>
        </w:tc>
      </w:tr>
      <w:tr w:rsidR="00B75CA5">
        <w:trPr>
          <w:trHeight w:val="283"/>
        </w:trPr>
        <w:tc>
          <w:tcPr>
            <w:tcW w:w="825" w:type="dxa"/>
            <w:gridSpan w:val="2"/>
            <w:shd w:val="clear" w:color="auto" w:fill="auto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T313</w:t>
            </w:r>
          </w:p>
        </w:tc>
        <w:tc>
          <w:tcPr>
            <w:tcW w:w="2595" w:type="dxa"/>
            <w:gridSpan w:val="6"/>
            <w:shd w:val="clear" w:color="auto" w:fill="auto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Туристичке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регије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света</w:t>
            </w:r>
            <w:proofErr w:type="spellEnd"/>
          </w:p>
        </w:tc>
        <w:tc>
          <w:tcPr>
            <w:tcW w:w="1320" w:type="dxa"/>
            <w:gridSpan w:val="2"/>
            <w:shd w:val="clear" w:color="auto" w:fill="auto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Предавање</w:t>
            </w:r>
            <w:proofErr w:type="spellEnd"/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  <w:proofErr w:type="spellEnd"/>
          </w:p>
        </w:tc>
        <w:tc>
          <w:tcPr>
            <w:tcW w:w="1995" w:type="dxa"/>
            <w:shd w:val="clear" w:color="auto" w:fill="auto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B75CA5">
        <w:trPr>
          <w:trHeight w:val="283"/>
        </w:trPr>
        <w:tc>
          <w:tcPr>
            <w:tcW w:w="825" w:type="dxa"/>
            <w:gridSpan w:val="2"/>
            <w:shd w:val="clear" w:color="auto" w:fill="auto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T301</w:t>
            </w:r>
          </w:p>
        </w:tc>
        <w:tc>
          <w:tcPr>
            <w:tcW w:w="2595" w:type="dxa"/>
            <w:gridSpan w:val="6"/>
            <w:shd w:val="clear" w:color="auto" w:fill="auto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Туристичке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регије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Србије</w:t>
            </w:r>
            <w:proofErr w:type="spellEnd"/>
          </w:p>
        </w:tc>
        <w:tc>
          <w:tcPr>
            <w:tcW w:w="1320" w:type="dxa"/>
            <w:gridSpan w:val="2"/>
            <w:shd w:val="clear" w:color="auto" w:fill="auto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  <w:proofErr w:type="spellEnd"/>
          </w:p>
        </w:tc>
        <w:tc>
          <w:tcPr>
            <w:tcW w:w="1995" w:type="dxa"/>
            <w:shd w:val="clear" w:color="auto" w:fill="auto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B75CA5">
        <w:trPr>
          <w:trHeight w:val="248"/>
        </w:trPr>
        <w:tc>
          <w:tcPr>
            <w:tcW w:w="9585" w:type="dxa"/>
            <w:gridSpan w:val="14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B75CA5">
        <w:trPr>
          <w:trHeight w:val="279"/>
        </w:trPr>
        <w:tc>
          <w:tcPr>
            <w:tcW w:w="600" w:type="dxa"/>
            <w:vAlign w:val="center"/>
          </w:tcPr>
          <w:p w:rsidR="00B75CA5" w:rsidRDefault="00B75CA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85" w:type="dxa"/>
            <w:gridSpan w:val="13"/>
            <w:shd w:val="clear" w:color="auto" w:fill="auto"/>
            <w:vAlign w:val="center"/>
          </w:tcPr>
          <w:p w:rsidR="00B75CA5" w:rsidRDefault="00B076A8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Stojsavljević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R.,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Vujičić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Stankov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U.,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Stamenković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I.,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Masliković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Carmer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Polić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Mujkić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Bajić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M. (2023). In Search for Meaning? Modelling Generation Z Spiritual Travel motivation Scale - The Case of Serbia.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Sustainability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15, 5292. </w:t>
            </w:r>
            <w:hyperlink r:id="rId6" w:history="1">
              <w:r w:rsidRPr="008D461C">
                <w:rPr>
                  <w:rStyle w:val="Hyperlink"/>
                  <w:rFonts w:ascii="Times New Roman" w:eastAsia="Times New Roman" w:hAnsi="Times New Roman"/>
                  <w:color w:val="auto"/>
                  <w:sz w:val="18"/>
                  <w:szCs w:val="18"/>
                  <w:u w:val="none"/>
                </w:rPr>
                <w:t>https://doi.org/10.3390/su15065292</w:t>
              </w:r>
            </w:hyperlink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="008D461C">
              <w:rPr>
                <w:rFonts w:ascii="Times New Roman" w:eastAsia="Times New Roman" w:hAnsi="Times New Roman"/>
                <w:sz w:val="18"/>
                <w:szCs w:val="18"/>
              </w:rPr>
              <w:t>(</w:t>
            </w:r>
            <w:r w:rsidRPr="00B076A8">
              <w:rPr>
                <w:rFonts w:ascii="Times New Roman" w:eastAsia="Times New Roman" w:hAnsi="Times New Roman"/>
                <w:b/>
                <w:sz w:val="18"/>
                <w:szCs w:val="18"/>
              </w:rPr>
              <w:t>M22</w:t>
            </w:r>
            <w:r w:rsidR="008D461C">
              <w:rPr>
                <w:rFonts w:ascii="Times New Roman" w:eastAsia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B75CA5">
        <w:trPr>
          <w:trHeight w:val="279"/>
        </w:trPr>
        <w:tc>
          <w:tcPr>
            <w:tcW w:w="600" w:type="dxa"/>
            <w:vAlign w:val="center"/>
          </w:tcPr>
          <w:p w:rsidR="00B75CA5" w:rsidRDefault="00B75CA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85" w:type="dxa"/>
            <w:gridSpan w:val="13"/>
            <w:shd w:val="clear" w:color="auto" w:fill="auto"/>
            <w:vAlign w:val="center"/>
          </w:tcPr>
          <w:p w:rsidR="00B75CA5" w:rsidRDefault="00B076A8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Milošević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Dunjić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J.,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Stojsavljević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R.,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Žgela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Savić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S.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Arsenović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D. (2023). Analysis of long‑ and short‑term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biometeorological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conditions in the Republic of Serbia.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International Journal of Biometeorology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  <w:hyperlink r:id="rId7" w:history="1">
              <w:r w:rsidRPr="008D461C">
                <w:rPr>
                  <w:rStyle w:val="Hyperlink"/>
                  <w:rFonts w:ascii="Times New Roman" w:eastAsia="Times New Roman" w:hAnsi="Times New Roman"/>
                  <w:color w:val="auto"/>
                  <w:sz w:val="18"/>
                  <w:szCs w:val="18"/>
                  <w:u w:val="none"/>
                </w:rPr>
                <w:t>https://doi.org/10.1007/s00484-023-02482-8</w:t>
              </w:r>
            </w:hyperlink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="008D461C">
              <w:rPr>
                <w:rFonts w:ascii="Times New Roman" w:eastAsia="Times New Roman" w:hAnsi="Times New Roman"/>
                <w:sz w:val="18"/>
                <w:szCs w:val="18"/>
              </w:rPr>
              <w:t>(</w:t>
            </w:r>
            <w:r w:rsidRPr="00B076A8">
              <w:rPr>
                <w:rFonts w:ascii="Times New Roman" w:eastAsia="Times New Roman" w:hAnsi="Times New Roman"/>
                <w:b/>
                <w:sz w:val="18"/>
                <w:szCs w:val="18"/>
              </w:rPr>
              <w:t>M22</w:t>
            </w:r>
            <w:r w:rsidR="008D461C">
              <w:rPr>
                <w:rFonts w:ascii="Times New Roman" w:eastAsia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B75CA5">
        <w:trPr>
          <w:trHeight w:val="279"/>
        </w:trPr>
        <w:tc>
          <w:tcPr>
            <w:tcW w:w="600" w:type="dxa"/>
            <w:vAlign w:val="center"/>
          </w:tcPr>
          <w:p w:rsidR="00B75CA5" w:rsidRDefault="00B75CA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85" w:type="dxa"/>
            <w:gridSpan w:val="13"/>
            <w:shd w:val="clear" w:color="auto" w:fill="auto"/>
          </w:tcPr>
          <w:p w:rsidR="00B75CA5" w:rsidRDefault="00B076A8" w:rsidP="008D461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Lukić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T.,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Marić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P.,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Hrnjak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I.,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Gavrilov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Mlađan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D., Zorn, M.,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Komac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Milošević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Z.,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Marković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S.,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Sakulski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Jordaan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Đorđević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J.,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Pavić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Stojsavljević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R. (2017). Forest fire analysis and classification based on a Serbian case study.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Acta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Geographica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Slovenica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Geografski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Zbornik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57(1), 51-63. </w:t>
            </w:r>
            <w:r w:rsidRPr="008D461C">
              <w:rPr>
                <w:rFonts w:ascii="Times New Roman" w:eastAsia="Times New Roman" w:hAnsi="Times New Roman"/>
                <w:sz w:val="20"/>
                <w:szCs w:val="20"/>
              </w:rPr>
              <w:t>ISSN: 1581-6613</w:t>
            </w:r>
            <w:r w:rsidR="008D461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(</w:t>
            </w:r>
            <w:r w:rsidR="008D461C" w:rsidRPr="00B076A8">
              <w:rPr>
                <w:rFonts w:ascii="Times New Roman" w:eastAsia="Times New Roman" w:hAnsi="Times New Roman"/>
                <w:b/>
                <w:sz w:val="20"/>
                <w:szCs w:val="20"/>
              </w:rPr>
              <w:t>M23</w:t>
            </w:r>
            <w:r w:rsidR="008D461C">
              <w:rPr>
                <w:rFonts w:ascii="Times New Roman" w:eastAsia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B75CA5">
        <w:trPr>
          <w:trHeight w:val="279"/>
        </w:trPr>
        <w:tc>
          <w:tcPr>
            <w:tcW w:w="600" w:type="dxa"/>
            <w:vAlign w:val="center"/>
          </w:tcPr>
          <w:p w:rsidR="00B75CA5" w:rsidRDefault="00B75CA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85" w:type="dxa"/>
            <w:gridSpan w:val="13"/>
            <w:shd w:val="clear" w:color="auto" w:fill="auto"/>
          </w:tcPr>
          <w:p w:rsidR="00B75CA5" w:rsidRDefault="00B076A8" w:rsidP="008D461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Kovačević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Marković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V.,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Ponjieger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I.,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Ristić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Z.,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Matejević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Stojsavljević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R.,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Stamenković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I. (2019). Evaluation of Vegetation as a Habitat Factor in Hunting Ground Based on Satellite Images.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Middle Pomeranian scientific society of the environment protection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21, 85-97. </w:t>
            </w:r>
            <w:r w:rsidRPr="008D461C">
              <w:rPr>
                <w:rFonts w:ascii="Times New Roman" w:eastAsia="Times New Roman" w:hAnsi="Times New Roman"/>
                <w:sz w:val="20"/>
                <w:szCs w:val="20"/>
              </w:rPr>
              <w:t>ISSN: 1506-218X</w:t>
            </w:r>
            <w:r w:rsidR="008D461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(</w:t>
            </w:r>
            <w:r w:rsidR="008D461C" w:rsidRPr="008D461C">
              <w:rPr>
                <w:rFonts w:ascii="Times New Roman" w:eastAsia="Times New Roman" w:hAnsi="Times New Roman"/>
                <w:b/>
                <w:sz w:val="20"/>
                <w:szCs w:val="20"/>
              </w:rPr>
              <w:t>M23</w:t>
            </w:r>
            <w:r w:rsidR="008D461C">
              <w:rPr>
                <w:rFonts w:ascii="Times New Roman" w:eastAsia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B75CA5">
        <w:trPr>
          <w:trHeight w:val="279"/>
        </w:trPr>
        <w:tc>
          <w:tcPr>
            <w:tcW w:w="600" w:type="dxa"/>
            <w:vAlign w:val="center"/>
          </w:tcPr>
          <w:p w:rsidR="00B75CA5" w:rsidRDefault="00B75CA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85" w:type="dxa"/>
            <w:gridSpan w:val="13"/>
            <w:shd w:val="clear" w:color="auto" w:fill="auto"/>
          </w:tcPr>
          <w:p w:rsidR="00B75CA5" w:rsidRDefault="00B076A8" w:rsidP="008D461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Stojsavljević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R.,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Pantelić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M. (2013). The influence of the Refugees on Age Structure in Immigration Municipalities in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Vojvodina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(Serbia).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Geographica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Pannonica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17(1), 26-31. </w:t>
            </w:r>
            <w:r w:rsidRPr="008D461C">
              <w:rPr>
                <w:rFonts w:ascii="Times New Roman" w:eastAsia="Times New Roman" w:hAnsi="Times New Roman"/>
                <w:sz w:val="20"/>
                <w:szCs w:val="20"/>
              </w:rPr>
              <w:t>ISSN: 1820-7138</w:t>
            </w:r>
            <w:r w:rsidR="008D46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8D461C" w:rsidRPr="008D461C">
              <w:rPr>
                <w:rFonts w:ascii="Times New Roman" w:eastAsia="Times New Roman" w:hAnsi="Times New Roman"/>
                <w:b/>
                <w:sz w:val="20"/>
                <w:szCs w:val="20"/>
              </w:rPr>
              <w:t>(M24)</w:t>
            </w:r>
          </w:p>
        </w:tc>
      </w:tr>
      <w:tr w:rsidR="00B75CA5">
        <w:trPr>
          <w:trHeight w:val="279"/>
        </w:trPr>
        <w:tc>
          <w:tcPr>
            <w:tcW w:w="600" w:type="dxa"/>
            <w:vAlign w:val="center"/>
          </w:tcPr>
          <w:p w:rsidR="00B75CA5" w:rsidRDefault="00B75CA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85" w:type="dxa"/>
            <w:gridSpan w:val="13"/>
            <w:shd w:val="clear" w:color="auto" w:fill="auto"/>
          </w:tcPr>
          <w:p w:rsidR="00B75CA5" w:rsidRDefault="00B076A8" w:rsidP="008D461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Stojsavljević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R.,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Kovačević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Božić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S.,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Bubalo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Živković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Miljković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Đ. (2016). Inﬂuence of selected climate parameters on tourist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traffc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Kopaonik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Zlatibor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mountains (Republic of Serbia).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Geographica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Pannonica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20(4), 208-219. </w:t>
            </w:r>
            <w:r w:rsidRPr="008D461C">
              <w:rPr>
                <w:rFonts w:ascii="Times New Roman" w:eastAsia="Times New Roman" w:hAnsi="Times New Roman"/>
                <w:sz w:val="20"/>
                <w:szCs w:val="20"/>
              </w:rPr>
              <w:t>ISSN: 0354-8724</w:t>
            </w:r>
            <w:r w:rsidR="008D461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(</w:t>
            </w:r>
            <w:r w:rsidR="008D461C" w:rsidRPr="008D461C">
              <w:rPr>
                <w:rFonts w:ascii="Times New Roman" w:eastAsia="Times New Roman" w:hAnsi="Times New Roman"/>
                <w:b/>
                <w:sz w:val="20"/>
                <w:szCs w:val="20"/>
              </w:rPr>
              <w:t>M24</w:t>
            </w:r>
            <w:r w:rsidR="008D461C">
              <w:rPr>
                <w:rFonts w:ascii="Times New Roman" w:eastAsia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B75CA5">
        <w:trPr>
          <w:trHeight w:val="279"/>
        </w:trPr>
        <w:tc>
          <w:tcPr>
            <w:tcW w:w="600" w:type="dxa"/>
            <w:vAlign w:val="center"/>
          </w:tcPr>
          <w:p w:rsidR="00B75CA5" w:rsidRDefault="00B75CA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85" w:type="dxa"/>
            <w:gridSpan w:val="13"/>
            <w:shd w:val="clear" w:color="auto" w:fill="auto"/>
          </w:tcPr>
          <w:p w:rsidR="00B75CA5" w:rsidRDefault="00B076A8" w:rsidP="008D461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Gavrilović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D.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Vasin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G.,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Mikavica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Đukičin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Vučković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S.,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Ivanović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Lj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Stojsavljević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R. (2018). The Influence of German settlers on the formation and development of an industrial town in Habsburg Bosnia: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Teslić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(1878-1918).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Geographica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Pannonica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22(1), 54-67.</w:t>
            </w:r>
            <w:r>
              <w:t xml:space="preserve"> </w:t>
            </w:r>
            <w:r w:rsidRPr="008D461C">
              <w:rPr>
                <w:rFonts w:ascii="Times New Roman" w:eastAsia="Times New Roman" w:hAnsi="Times New Roman"/>
                <w:sz w:val="20"/>
                <w:szCs w:val="20"/>
              </w:rPr>
              <w:t>ISSN: 1820-7138</w:t>
            </w:r>
            <w:r w:rsidR="008D461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(</w:t>
            </w:r>
            <w:r w:rsidR="008D461C" w:rsidRPr="008D461C">
              <w:rPr>
                <w:rFonts w:ascii="Times New Roman" w:eastAsia="Times New Roman" w:hAnsi="Times New Roman"/>
                <w:b/>
                <w:sz w:val="20"/>
                <w:szCs w:val="20"/>
              </w:rPr>
              <w:t>M24</w:t>
            </w:r>
            <w:r w:rsidR="008D461C">
              <w:rPr>
                <w:rFonts w:ascii="Times New Roman" w:eastAsia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B75CA5">
        <w:trPr>
          <w:trHeight w:val="279"/>
        </w:trPr>
        <w:tc>
          <w:tcPr>
            <w:tcW w:w="600" w:type="dxa"/>
            <w:vAlign w:val="center"/>
          </w:tcPr>
          <w:p w:rsidR="00B75CA5" w:rsidRDefault="00B75CA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85" w:type="dxa"/>
            <w:gridSpan w:val="13"/>
            <w:shd w:val="clear" w:color="auto" w:fill="auto"/>
          </w:tcPr>
          <w:p w:rsidR="00B75CA5" w:rsidRDefault="00B076A8" w:rsidP="008D461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Stojsavljević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R. (2018). Serbs in colonial settlements in the North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Bačka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district at the beginning of the 21st century. Faculty of Science, Department of Geography, Tourism and Hotel Management, 114-125. </w:t>
            </w:r>
            <w:bookmarkStart w:id="0" w:name="_GoBack"/>
            <w:r w:rsidRPr="008D461C">
              <w:rPr>
                <w:rFonts w:ascii="Times New Roman" w:eastAsia="Times New Roman" w:hAnsi="Times New Roman"/>
                <w:sz w:val="20"/>
                <w:szCs w:val="20"/>
              </w:rPr>
              <w:t>ISBN:</w:t>
            </w:r>
            <w:r w:rsidRPr="008D461C">
              <w:t xml:space="preserve"> </w:t>
            </w:r>
            <w:r w:rsidRPr="008D461C">
              <w:rPr>
                <w:rFonts w:ascii="Times New Roman" w:eastAsia="Times New Roman" w:hAnsi="Times New Roman"/>
                <w:sz w:val="20"/>
                <w:szCs w:val="20"/>
              </w:rPr>
              <w:t xml:space="preserve">978-86-7031-467-2 </w:t>
            </w:r>
            <w:bookmarkEnd w:id="0"/>
            <w:r w:rsidR="008D461C">
              <w:rPr>
                <w:rFonts w:ascii="Times New Roman" w:eastAsia="Times New Roman" w:hAnsi="Times New Roman"/>
                <w:b/>
                <w:sz w:val="20"/>
                <w:szCs w:val="20"/>
              </w:rPr>
              <w:t>(</w:t>
            </w:r>
            <w:r w:rsidR="008D461C" w:rsidRPr="008D461C">
              <w:rPr>
                <w:rFonts w:ascii="Times New Roman" w:eastAsia="Times New Roman" w:hAnsi="Times New Roman"/>
                <w:b/>
                <w:sz w:val="20"/>
                <w:szCs w:val="20"/>
              </w:rPr>
              <w:t>M14</w:t>
            </w:r>
            <w:r w:rsidR="008D461C">
              <w:rPr>
                <w:rFonts w:ascii="Times New Roman" w:eastAsia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B75CA5">
        <w:trPr>
          <w:trHeight w:val="167"/>
        </w:trPr>
        <w:tc>
          <w:tcPr>
            <w:tcW w:w="9585" w:type="dxa"/>
            <w:gridSpan w:val="14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B75CA5">
        <w:trPr>
          <w:trHeight w:val="227"/>
        </w:trPr>
        <w:tc>
          <w:tcPr>
            <w:tcW w:w="4290" w:type="dxa"/>
            <w:gridSpan w:val="7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5295" w:type="dxa"/>
            <w:gridSpan w:val="7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175</w:t>
            </w:r>
          </w:p>
        </w:tc>
      </w:tr>
      <w:tr w:rsidR="00B75CA5">
        <w:trPr>
          <w:trHeight w:val="178"/>
        </w:trPr>
        <w:tc>
          <w:tcPr>
            <w:tcW w:w="4290" w:type="dxa"/>
            <w:gridSpan w:val="7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5295" w:type="dxa"/>
            <w:gridSpan w:val="7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</w:tr>
      <w:tr w:rsidR="00B75CA5">
        <w:trPr>
          <w:trHeight w:val="200"/>
        </w:trPr>
        <w:tc>
          <w:tcPr>
            <w:tcW w:w="4290" w:type="dxa"/>
            <w:gridSpan w:val="7"/>
            <w:vAlign w:val="center"/>
          </w:tcPr>
          <w:p w:rsidR="00B75CA5" w:rsidRDefault="00B076A8">
            <w:pPr>
              <w:tabs>
                <w:tab w:val="left" w:pos="567"/>
              </w:tabs>
              <w:ind w:right="-172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635" w:type="dxa"/>
            <w:gridSpan w:val="3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: /</w:t>
            </w:r>
          </w:p>
        </w:tc>
        <w:tc>
          <w:tcPr>
            <w:tcW w:w="3660" w:type="dxa"/>
            <w:gridSpan w:val="4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: /</w:t>
            </w:r>
          </w:p>
        </w:tc>
      </w:tr>
      <w:tr w:rsidR="00B75CA5">
        <w:trPr>
          <w:trHeight w:val="70"/>
        </w:trPr>
        <w:tc>
          <w:tcPr>
            <w:tcW w:w="2430" w:type="dxa"/>
            <w:gridSpan w:val="4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Усавршавања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155" w:type="dxa"/>
            <w:gridSpan w:val="10"/>
            <w:vAlign w:val="center"/>
          </w:tcPr>
          <w:p w:rsidR="00B75CA5" w:rsidRDefault="00B076A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Erasmus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+ ,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Ceepus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</w:tbl>
    <w:p w:rsidR="00B75CA5" w:rsidRDefault="00B75CA5"/>
    <w:sectPr w:rsidR="00B75CA5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ED0023"/>
    <w:multiLevelType w:val="multilevel"/>
    <w:tmpl w:val="D8629F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CA5"/>
    <w:rsid w:val="008D461C"/>
    <w:rsid w:val="00A3419F"/>
    <w:rsid w:val="00B076A8"/>
    <w:rsid w:val="00B7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6B860"/>
  <w15:docId w15:val="{7583445A-456F-49C4-BC25-E2F15ACEE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844"/>
    <w:rPr>
      <w:rFonts w:cs="Times New Roman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B076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i.org/10.1007/s00484-023-02482-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3390/su1506529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ykMEyiLjqgpp9STnU6gMhlmmHHw==">AMUW2mV85lLdAeclN8Pn2+4kvuQzXCojPzuZNzKDcdIaRN888Ni33KHwmILi/I7KQfdnea/fZjV2wqdYVglM91MmkQwrt15jITAP01zxg84ZmNftFY6Sut8=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Marija</cp:lastModifiedBy>
  <cp:revision>3</cp:revision>
  <dcterms:created xsi:type="dcterms:W3CDTF">2023-11-01T11:34:00Z</dcterms:created>
  <dcterms:modified xsi:type="dcterms:W3CDTF">2023-11-07T00:17:00Z</dcterms:modified>
</cp:coreProperties>
</file>