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70"/>
        <w:gridCol w:w="798"/>
        <w:gridCol w:w="903"/>
        <w:gridCol w:w="1418"/>
        <w:gridCol w:w="1025"/>
        <w:gridCol w:w="721"/>
        <w:gridCol w:w="1230"/>
        <w:gridCol w:w="182"/>
        <w:gridCol w:w="1491"/>
        <w:gridCol w:w="1588"/>
      </w:tblGrid>
      <w:tr w:rsidR="00FB6ACA" w:rsidRPr="004046D1" w:rsidTr="3AE13DDB">
        <w:trPr>
          <w:trHeight w:val="271"/>
        </w:trPr>
        <w:tc>
          <w:tcPr>
            <w:tcW w:w="4740" w:type="dxa"/>
            <w:gridSpan w:val="6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212" w:type="dxa"/>
            <w:gridSpan w:val="5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Станка С. Радојичић</w:t>
            </w:r>
          </w:p>
        </w:tc>
      </w:tr>
      <w:tr w:rsidR="00FB6ACA" w:rsidRPr="004046D1" w:rsidTr="3AE13DDB">
        <w:trPr>
          <w:trHeight w:val="275"/>
        </w:trPr>
        <w:tc>
          <w:tcPr>
            <w:tcW w:w="4740" w:type="dxa"/>
            <w:gridSpan w:val="6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212" w:type="dxa"/>
            <w:gridSpan w:val="5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Наставник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страног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језика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 xml:space="preserve"> -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Енглески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језик</w:t>
            </w:r>
            <w:proofErr w:type="spellEnd"/>
          </w:p>
        </w:tc>
      </w:tr>
      <w:tr w:rsidR="00FB6ACA" w:rsidRPr="004046D1" w:rsidTr="3AE13DDB">
        <w:trPr>
          <w:trHeight w:val="423"/>
        </w:trPr>
        <w:tc>
          <w:tcPr>
            <w:tcW w:w="4740" w:type="dxa"/>
            <w:gridSpan w:val="6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4046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4046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4046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046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212" w:type="dxa"/>
            <w:gridSpan w:val="5"/>
            <w:vAlign w:val="center"/>
          </w:tcPr>
          <w:p w:rsidR="00FB6ACA" w:rsidRPr="004046D1" w:rsidRDefault="00FB6ACA" w:rsidP="5DC4609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 xml:space="preserve">Природно-математички факултет, </w:t>
            </w:r>
            <w:r w:rsidR="139C0629"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 xml:space="preserve">Нови Сад, </w:t>
            </w:r>
            <w:r w:rsidR="139C0629" w:rsidRPr="5DC4609A">
              <w:rPr>
                <w:rFonts w:ascii="Times New Roman" w:eastAsia="Times New Roman" w:hAnsi="Times New Roman"/>
                <w:color w:val="222222"/>
                <w:sz w:val="20"/>
                <w:szCs w:val="20"/>
                <w:lang w:val="sr-Cyrl-CS"/>
              </w:rPr>
              <w:t>3.1.2002.</w:t>
            </w:r>
            <w:r w:rsidRPr="5DC4609A">
              <w:rPr>
                <w:rFonts w:ascii="Times New Roman" w:eastAsia="Times New Roman" w:hAnsi="Times New Roman"/>
                <w:kern w:val="2"/>
                <w:sz w:val="20"/>
                <w:szCs w:val="20"/>
                <w:lang w:val="sr-Cyrl-CS"/>
              </w:rPr>
              <w:t xml:space="preserve"> </w:t>
            </w:r>
            <w:r w:rsidR="522B81E2" w:rsidRPr="5DC4609A">
              <w:rPr>
                <w:rFonts w:ascii="Times New Roman" w:eastAsia="Times New Roman" w:hAnsi="Times New Roman"/>
                <w:kern w:val="2"/>
                <w:sz w:val="20"/>
                <w:szCs w:val="20"/>
                <w:lang w:val="sr-Cyrl-CS"/>
              </w:rPr>
              <w:t>године</w:t>
            </w:r>
          </w:p>
          <w:p w:rsidR="00FB6ACA" w:rsidRPr="004046D1" w:rsidRDefault="6148C7CD" w:rsidP="5DC4609A">
            <w:pPr>
              <w:rPr>
                <w:rFonts w:ascii="Times New Roman" w:eastAsia="Times New Roman" w:hAnsi="Times New Roman"/>
                <w:color w:val="222222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П</w:t>
            </w:r>
            <w:r w:rsidR="1A716537"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 xml:space="preserve">оследњи </w:t>
            </w:r>
            <w:r w:rsidR="25E5E0F6"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 xml:space="preserve">датум избора </w:t>
            </w:r>
            <w:r w:rsidR="35E4A526" w:rsidRPr="5DC4609A">
              <w:rPr>
                <w:rFonts w:ascii="Times New Roman" w:eastAsia="Times New Roman" w:hAnsi="Times New Roman"/>
                <w:color w:val="222222"/>
                <w:sz w:val="20"/>
                <w:szCs w:val="20"/>
                <w:lang w:val="sr-Cyrl-CS"/>
              </w:rPr>
              <w:t>16.12.2021.</w:t>
            </w:r>
            <w:r w:rsidR="07132C49" w:rsidRPr="5DC4609A">
              <w:rPr>
                <w:rFonts w:ascii="Times New Roman" w:eastAsia="Times New Roman" w:hAnsi="Times New Roman"/>
                <w:color w:val="222222"/>
                <w:sz w:val="20"/>
                <w:szCs w:val="20"/>
                <w:lang w:val="sr-Cyrl-CS"/>
              </w:rPr>
              <w:t xml:space="preserve"> године</w:t>
            </w:r>
          </w:p>
        </w:tc>
      </w:tr>
      <w:tr w:rsidR="00FB6ACA" w:rsidRPr="004046D1" w:rsidTr="3AE13DDB">
        <w:trPr>
          <w:trHeight w:val="76"/>
        </w:trPr>
        <w:tc>
          <w:tcPr>
            <w:tcW w:w="4740" w:type="dxa"/>
            <w:gridSpan w:val="6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212" w:type="dxa"/>
            <w:gridSpan w:val="5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Филолошке науке</w:t>
            </w:r>
          </w:p>
        </w:tc>
      </w:tr>
      <w:tr w:rsidR="000B6844" w:rsidRPr="004046D1" w:rsidTr="3AE13DDB">
        <w:trPr>
          <w:trHeight w:val="320"/>
        </w:trPr>
        <w:tc>
          <w:tcPr>
            <w:tcW w:w="9952" w:type="dxa"/>
            <w:gridSpan w:val="11"/>
            <w:vAlign w:val="center"/>
          </w:tcPr>
          <w:p w:rsidR="000B6844" w:rsidRPr="004046D1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2A3B96" w:rsidRPr="004046D1" w:rsidTr="3AE13DDB">
        <w:trPr>
          <w:trHeight w:val="423"/>
        </w:trPr>
        <w:tc>
          <w:tcPr>
            <w:tcW w:w="1394" w:type="dxa"/>
            <w:gridSpan w:val="3"/>
            <w:vAlign w:val="center"/>
          </w:tcPr>
          <w:p w:rsidR="000B6844" w:rsidRPr="004046D1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3" w:type="dxa"/>
            <w:vAlign w:val="center"/>
          </w:tcPr>
          <w:p w:rsidR="000B6844" w:rsidRPr="004046D1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443" w:type="dxa"/>
            <w:gridSpan w:val="2"/>
            <w:shd w:val="clear" w:color="auto" w:fill="auto"/>
            <w:vAlign w:val="center"/>
          </w:tcPr>
          <w:p w:rsidR="000B6844" w:rsidRPr="004046D1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33" w:type="dxa"/>
            <w:gridSpan w:val="3"/>
            <w:shd w:val="clear" w:color="auto" w:fill="auto"/>
            <w:vAlign w:val="center"/>
          </w:tcPr>
          <w:p w:rsidR="000B6844" w:rsidRPr="004046D1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3079" w:type="dxa"/>
            <w:gridSpan w:val="2"/>
            <w:shd w:val="clear" w:color="auto" w:fill="auto"/>
            <w:vAlign w:val="center"/>
          </w:tcPr>
          <w:p w:rsidR="000B6844" w:rsidRPr="004046D1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2A3B96" w:rsidRPr="004046D1" w:rsidTr="3AE13DDB">
        <w:trPr>
          <w:trHeight w:val="277"/>
        </w:trPr>
        <w:tc>
          <w:tcPr>
            <w:tcW w:w="1394" w:type="dxa"/>
            <w:gridSpan w:val="3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03" w:type="dxa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2022.</w:t>
            </w:r>
          </w:p>
        </w:tc>
        <w:tc>
          <w:tcPr>
            <w:tcW w:w="2443" w:type="dxa"/>
            <w:gridSpan w:val="2"/>
            <w:shd w:val="clear" w:color="auto" w:fill="auto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Природно-математички факултет</w:t>
            </w:r>
          </w:p>
        </w:tc>
        <w:tc>
          <w:tcPr>
            <w:tcW w:w="2133" w:type="dxa"/>
            <w:gridSpan w:val="3"/>
            <w:shd w:val="clear" w:color="auto" w:fill="auto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Филолошке науке</w:t>
            </w:r>
          </w:p>
        </w:tc>
        <w:tc>
          <w:tcPr>
            <w:tcW w:w="3079" w:type="dxa"/>
            <w:gridSpan w:val="2"/>
            <w:shd w:val="clear" w:color="auto" w:fill="auto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Енглески језик-академски језик и језик струке</w:t>
            </w:r>
          </w:p>
        </w:tc>
      </w:tr>
      <w:tr w:rsidR="002A3B96" w:rsidRPr="004046D1" w:rsidTr="3AE13DDB">
        <w:trPr>
          <w:trHeight w:val="277"/>
        </w:trPr>
        <w:tc>
          <w:tcPr>
            <w:tcW w:w="1394" w:type="dxa"/>
            <w:gridSpan w:val="3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03" w:type="dxa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2023.</w:t>
            </w:r>
          </w:p>
        </w:tc>
        <w:tc>
          <w:tcPr>
            <w:tcW w:w="2443" w:type="dxa"/>
            <w:gridSpan w:val="2"/>
            <w:shd w:val="clear" w:color="auto" w:fill="auto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Филозофски факултет</w:t>
            </w:r>
          </w:p>
        </w:tc>
        <w:tc>
          <w:tcPr>
            <w:tcW w:w="2133" w:type="dxa"/>
            <w:gridSpan w:val="3"/>
            <w:shd w:val="clear" w:color="auto" w:fill="auto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Лингвистика</w:t>
            </w:r>
          </w:p>
        </w:tc>
        <w:tc>
          <w:tcPr>
            <w:tcW w:w="3079" w:type="dxa"/>
            <w:gridSpan w:val="2"/>
            <w:shd w:val="clear" w:color="auto" w:fill="auto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Контрастивна анализа и анализа дискурса</w:t>
            </w:r>
          </w:p>
        </w:tc>
      </w:tr>
      <w:tr w:rsidR="002A3B96" w:rsidRPr="004046D1" w:rsidTr="3AE13DDB">
        <w:trPr>
          <w:trHeight w:val="277"/>
        </w:trPr>
        <w:tc>
          <w:tcPr>
            <w:tcW w:w="1394" w:type="dxa"/>
            <w:gridSpan w:val="3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03" w:type="dxa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2443" w:type="dxa"/>
            <w:gridSpan w:val="2"/>
            <w:shd w:val="clear" w:color="auto" w:fill="auto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Филозофски факултет</w:t>
            </w:r>
          </w:p>
        </w:tc>
        <w:tc>
          <w:tcPr>
            <w:tcW w:w="2133" w:type="dxa"/>
            <w:gridSpan w:val="3"/>
            <w:shd w:val="clear" w:color="auto" w:fill="auto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Филолошке науке</w:t>
            </w:r>
          </w:p>
        </w:tc>
        <w:tc>
          <w:tcPr>
            <w:tcW w:w="3079" w:type="dxa"/>
            <w:gridSpan w:val="2"/>
            <w:shd w:val="clear" w:color="auto" w:fill="auto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Контрастивна анализа и анализа дискурса</w:t>
            </w:r>
          </w:p>
        </w:tc>
      </w:tr>
      <w:tr w:rsidR="002A3B96" w:rsidRPr="004046D1" w:rsidTr="3AE13DDB">
        <w:trPr>
          <w:trHeight w:val="277"/>
        </w:trPr>
        <w:tc>
          <w:tcPr>
            <w:tcW w:w="1394" w:type="dxa"/>
            <w:gridSpan w:val="3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03" w:type="dxa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2443" w:type="dxa"/>
            <w:gridSpan w:val="2"/>
            <w:shd w:val="clear" w:color="auto" w:fill="auto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Филозофски факултет</w:t>
            </w:r>
          </w:p>
        </w:tc>
        <w:tc>
          <w:tcPr>
            <w:tcW w:w="2133" w:type="dxa"/>
            <w:gridSpan w:val="3"/>
            <w:shd w:val="clear" w:color="auto" w:fill="auto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Енглески језик и књижевност</w:t>
            </w:r>
          </w:p>
        </w:tc>
        <w:tc>
          <w:tcPr>
            <w:tcW w:w="3079" w:type="dxa"/>
            <w:gridSpan w:val="2"/>
            <w:shd w:val="clear" w:color="auto" w:fill="auto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Страна филологија</w:t>
            </w:r>
          </w:p>
        </w:tc>
      </w:tr>
      <w:tr w:rsidR="000B6844" w:rsidRPr="004046D1" w:rsidTr="3AE13DDB">
        <w:trPr>
          <w:trHeight w:val="423"/>
        </w:trPr>
        <w:tc>
          <w:tcPr>
            <w:tcW w:w="9952" w:type="dxa"/>
            <w:gridSpan w:val="11"/>
            <w:vAlign w:val="center"/>
          </w:tcPr>
          <w:p w:rsidR="00616F1D" w:rsidRPr="004046D1" w:rsidRDefault="000B6844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046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4046D1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4046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4046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4046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4046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4046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2A3B96" w:rsidRPr="004046D1" w:rsidTr="3AE13DDB">
        <w:trPr>
          <w:trHeight w:val="621"/>
        </w:trPr>
        <w:tc>
          <w:tcPr>
            <w:tcW w:w="596" w:type="dxa"/>
            <w:gridSpan w:val="2"/>
            <w:shd w:val="clear" w:color="auto" w:fill="auto"/>
            <w:vAlign w:val="center"/>
          </w:tcPr>
          <w:p w:rsidR="000B6844" w:rsidRPr="004046D1" w:rsidRDefault="000B6844" w:rsidP="3A1D30F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0B6844" w:rsidRPr="004046D1" w:rsidRDefault="000B6844" w:rsidP="3A1D30F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B6844" w:rsidRPr="004046D1" w:rsidRDefault="000B6844" w:rsidP="3A1D30F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3164" w:type="dxa"/>
            <w:gridSpan w:val="3"/>
            <w:shd w:val="clear" w:color="auto" w:fill="auto"/>
            <w:vAlign w:val="center"/>
          </w:tcPr>
          <w:p w:rsidR="000B6844" w:rsidRPr="004046D1" w:rsidRDefault="000B6844" w:rsidP="3A1D30F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Назив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230" w:type="dxa"/>
            <w:shd w:val="clear" w:color="auto" w:fill="auto"/>
            <w:vAlign w:val="center"/>
          </w:tcPr>
          <w:p w:rsidR="000B6844" w:rsidRPr="004046D1" w:rsidRDefault="000B6844" w:rsidP="3A1D30F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  <w:p w:rsidR="005C239B" w:rsidRPr="004046D1" w:rsidRDefault="005C239B" w:rsidP="3A1D30F8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0B6844" w:rsidRPr="004046D1" w:rsidRDefault="000B6844" w:rsidP="3A1D30F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Назив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студијског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програма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0B6844" w:rsidRPr="004046D1" w:rsidRDefault="000B6844" w:rsidP="3A1D30F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sz w:val="20"/>
                <w:szCs w:val="20"/>
              </w:rPr>
              <w:t>В</w:t>
            </w: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2A3B96" w:rsidRPr="004046D1" w:rsidTr="3AE13DDB">
        <w:trPr>
          <w:trHeight w:val="280"/>
        </w:trPr>
        <w:tc>
          <w:tcPr>
            <w:tcW w:w="596" w:type="dxa"/>
            <w:gridSpan w:val="2"/>
            <w:shd w:val="clear" w:color="auto" w:fill="auto"/>
            <w:vAlign w:val="center"/>
          </w:tcPr>
          <w:p w:rsidR="000B6844" w:rsidRPr="004046D1" w:rsidRDefault="000B6844" w:rsidP="00904B44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ind w:left="357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B6844" w:rsidRPr="004046D1" w:rsidRDefault="0049115C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>Г204а</w:t>
            </w:r>
          </w:p>
        </w:tc>
        <w:tc>
          <w:tcPr>
            <w:tcW w:w="3164" w:type="dxa"/>
            <w:gridSpan w:val="3"/>
            <w:shd w:val="clear" w:color="auto" w:fill="auto"/>
            <w:vAlign w:val="center"/>
          </w:tcPr>
          <w:p w:rsidR="000B6844" w:rsidRPr="004046D1" w:rsidRDefault="00110BA3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  <w:r w:rsidR="00904B44"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Б1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0B6844" w:rsidRPr="004046D1" w:rsidRDefault="00110BA3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предавањa</w:t>
            </w:r>
            <w:proofErr w:type="spellEnd"/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0B6844" w:rsidRPr="004046D1" w:rsidRDefault="00904B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/>
              </w:rPr>
              <w:t>Географија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0B6844" w:rsidRPr="004046D1" w:rsidRDefault="00110BA3" w:rsidP="3A1D30F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4046D1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904B44" w:rsidRPr="004046D1" w:rsidTr="3AE13DDB">
        <w:trPr>
          <w:trHeight w:val="280"/>
        </w:trPr>
        <w:tc>
          <w:tcPr>
            <w:tcW w:w="596" w:type="dxa"/>
            <w:gridSpan w:val="2"/>
            <w:shd w:val="clear" w:color="auto" w:fill="auto"/>
            <w:vAlign w:val="center"/>
          </w:tcPr>
          <w:p w:rsidR="00904B44" w:rsidRPr="004046D1" w:rsidRDefault="00904B44" w:rsidP="00904B44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ind w:left="357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04B44" w:rsidRPr="004046D1" w:rsidRDefault="0049115C" w:rsidP="00904B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>Г204б</w:t>
            </w:r>
          </w:p>
        </w:tc>
        <w:tc>
          <w:tcPr>
            <w:tcW w:w="3164" w:type="dxa"/>
            <w:gridSpan w:val="3"/>
            <w:shd w:val="clear" w:color="auto" w:fill="auto"/>
            <w:vAlign w:val="center"/>
          </w:tcPr>
          <w:p w:rsidR="00904B44" w:rsidRPr="004046D1" w:rsidRDefault="00904B44" w:rsidP="00904B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Б2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904B44" w:rsidRPr="004046D1" w:rsidRDefault="00904B44" w:rsidP="00904B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предавањa</w:t>
            </w:r>
            <w:proofErr w:type="spellEnd"/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904B44" w:rsidRPr="004046D1" w:rsidRDefault="00904B44" w:rsidP="00904B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/>
              </w:rPr>
              <w:t>Географија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904B44" w:rsidRPr="004046D1" w:rsidRDefault="00904B44" w:rsidP="3A1D30F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6D1"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49115C" w:rsidRPr="004046D1" w:rsidTr="3AE13DDB">
        <w:trPr>
          <w:trHeight w:val="280"/>
        </w:trPr>
        <w:tc>
          <w:tcPr>
            <w:tcW w:w="596" w:type="dxa"/>
            <w:gridSpan w:val="2"/>
            <w:shd w:val="clear" w:color="auto" w:fill="auto"/>
            <w:vAlign w:val="center"/>
          </w:tcPr>
          <w:p w:rsidR="0049115C" w:rsidRPr="004046D1" w:rsidRDefault="0049115C" w:rsidP="0049115C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ind w:left="357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49115C" w:rsidRPr="004046D1" w:rsidRDefault="0049115C" w:rsidP="0049115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eastAsiaTheme="minorHAnsi" w:hAnsi="Times New Roman"/>
                <w:sz w:val="20"/>
                <w:szCs w:val="20"/>
                <w:lang w:val="en-GB"/>
              </w:rPr>
              <w:t xml:space="preserve">Гис206 </w:t>
            </w:r>
          </w:p>
        </w:tc>
        <w:tc>
          <w:tcPr>
            <w:tcW w:w="3164" w:type="dxa"/>
            <w:gridSpan w:val="3"/>
            <w:shd w:val="clear" w:color="auto" w:fill="auto"/>
          </w:tcPr>
          <w:p w:rsidR="0049115C" w:rsidRPr="004046D1" w:rsidRDefault="0049115C" w:rsidP="0049115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046D1">
              <w:rPr>
                <w:rFonts w:ascii="Times New Roman" w:eastAsiaTheme="minorHAnsi" w:hAnsi="Times New Roman"/>
                <w:sz w:val="20"/>
                <w:szCs w:val="20"/>
                <w:lang w:val="en-GB"/>
              </w:rPr>
              <w:t>Енглески</w:t>
            </w:r>
            <w:proofErr w:type="spellEnd"/>
            <w:r w:rsidRPr="004046D1">
              <w:rPr>
                <w:rFonts w:ascii="Times New Roman" w:eastAsiaTheme="minorHAnsi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046D1">
              <w:rPr>
                <w:rFonts w:ascii="Times New Roman" w:eastAsiaTheme="minorHAnsi" w:hAnsi="Times New Roman"/>
                <w:sz w:val="20"/>
                <w:szCs w:val="20"/>
                <w:lang w:val="en-GB"/>
              </w:rPr>
              <w:t>језик</w:t>
            </w:r>
            <w:proofErr w:type="spellEnd"/>
            <w:r w:rsidRPr="004046D1">
              <w:rPr>
                <w:rFonts w:ascii="Times New Roman" w:eastAsiaTheme="minorHAnsi" w:hAnsi="Times New Roman"/>
                <w:sz w:val="20"/>
                <w:szCs w:val="20"/>
                <w:lang w:val="en-GB"/>
              </w:rPr>
              <w:t xml:space="preserve"> у </w:t>
            </w:r>
            <w:proofErr w:type="spellStart"/>
            <w:r w:rsidRPr="004046D1">
              <w:rPr>
                <w:rFonts w:ascii="Times New Roman" w:eastAsiaTheme="minorHAnsi" w:hAnsi="Times New Roman"/>
                <w:sz w:val="20"/>
                <w:szCs w:val="20"/>
                <w:lang w:val="en-GB"/>
              </w:rPr>
              <w:t>геонаукама</w:t>
            </w:r>
            <w:proofErr w:type="spellEnd"/>
            <w:r w:rsidRPr="004046D1">
              <w:rPr>
                <w:rFonts w:ascii="Times New Roman" w:eastAsiaTheme="minorHAnsi" w:hAnsi="Times New Roman"/>
                <w:sz w:val="20"/>
                <w:szCs w:val="20"/>
                <w:lang w:val="en-GB"/>
              </w:rPr>
              <w:t xml:space="preserve"> 1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49115C" w:rsidRPr="004046D1" w:rsidRDefault="0049115C" w:rsidP="0049115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/>
              </w:rPr>
              <w:t>предавања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9115C" w:rsidRPr="004046D1" w:rsidRDefault="0049115C" w:rsidP="0049115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/>
              </w:rPr>
              <w:t>Геоинформатика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49115C" w:rsidRPr="004046D1" w:rsidRDefault="0049115C" w:rsidP="3A1D30F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49115C" w:rsidRPr="004046D1" w:rsidTr="3AE13DDB">
        <w:trPr>
          <w:trHeight w:val="280"/>
        </w:trPr>
        <w:tc>
          <w:tcPr>
            <w:tcW w:w="596" w:type="dxa"/>
            <w:gridSpan w:val="2"/>
            <w:shd w:val="clear" w:color="auto" w:fill="auto"/>
            <w:vAlign w:val="center"/>
          </w:tcPr>
          <w:p w:rsidR="0049115C" w:rsidRPr="004046D1" w:rsidRDefault="0049115C" w:rsidP="0049115C">
            <w:pPr>
              <w:pStyle w:val="ListParagraph"/>
              <w:numPr>
                <w:ilvl w:val="0"/>
                <w:numId w:val="6"/>
              </w:numPr>
              <w:tabs>
                <w:tab w:val="left" w:pos="567"/>
              </w:tabs>
              <w:ind w:left="357" w:hanging="357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9115C" w:rsidRPr="004046D1" w:rsidRDefault="0049115C" w:rsidP="0049115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eastAsiaTheme="minorHAnsi" w:hAnsi="Times New Roman"/>
                <w:sz w:val="20"/>
                <w:szCs w:val="20"/>
                <w:lang w:val="en-GB"/>
              </w:rPr>
              <w:t>Гис304</w:t>
            </w:r>
          </w:p>
        </w:tc>
        <w:tc>
          <w:tcPr>
            <w:tcW w:w="3164" w:type="dxa"/>
            <w:gridSpan w:val="3"/>
            <w:shd w:val="clear" w:color="auto" w:fill="auto"/>
            <w:vAlign w:val="center"/>
          </w:tcPr>
          <w:p w:rsidR="0049115C" w:rsidRPr="004046D1" w:rsidRDefault="0049115C" w:rsidP="0049115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046D1">
              <w:rPr>
                <w:rFonts w:ascii="Times New Roman" w:eastAsiaTheme="minorHAnsi" w:hAnsi="Times New Roman"/>
                <w:sz w:val="20"/>
                <w:szCs w:val="20"/>
                <w:lang w:val="en-GB"/>
              </w:rPr>
              <w:t>Енглески</w:t>
            </w:r>
            <w:proofErr w:type="spellEnd"/>
            <w:r w:rsidRPr="004046D1">
              <w:rPr>
                <w:rFonts w:ascii="Times New Roman" w:eastAsiaTheme="minorHAnsi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046D1">
              <w:rPr>
                <w:rFonts w:ascii="Times New Roman" w:eastAsiaTheme="minorHAnsi" w:hAnsi="Times New Roman"/>
                <w:sz w:val="20"/>
                <w:szCs w:val="20"/>
                <w:lang w:val="en-GB"/>
              </w:rPr>
              <w:t>језик</w:t>
            </w:r>
            <w:proofErr w:type="spellEnd"/>
            <w:r w:rsidRPr="004046D1">
              <w:rPr>
                <w:rFonts w:ascii="Times New Roman" w:eastAsiaTheme="minorHAnsi" w:hAnsi="Times New Roman"/>
                <w:sz w:val="20"/>
                <w:szCs w:val="20"/>
                <w:lang w:val="en-GB"/>
              </w:rPr>
              <w:t xml:space="preserve"> у </w:t>
            </w:r>
            <w:proofErr w:type="spellStart"/>
            <w:r w:rsidRPr="004046D1">
              <w:rPr>
                <w:rFonts w:ascii="Times New Roman" w:eastAsiaTheme="minorHAnsi" w:hAnsi="Times New Roman"/>
                <w:sz w:val="20"/>
                <w:szCs w:val="20"/>
                <w:lang w:val="en-GB"/>
              </w:rPr>
              <w:t>геонаукама</w:t>
            </w:r>
            <w:proofErr w:type="spellEnd"/>
            <w:r w:rsidRPr="004046D1">
              <w:rPr>
                <w:rFonts w:ascii="Times New Roman" w:eastAsiaTheme="minorHAnsi" w:hAnsi="Times New Roman"/>
                <w:sz w:val="20"/>
                <w:szCs w:val="20"/>
                <w:lang w:val="en-GB"/>
              </w:rPr>
              <w:t xml:space="preserve"> 2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49115C" w:rsidRPr="004046D1" w:rsidRDefault="0049115C" w:rsidP="0049115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/>
              </w:rPr>
              <w:t>предавања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9115C" w:rsidRPr="004046D1" w:rsidRDefault="0049115C" w:rsidP="0049115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/>
              </w:rPr>
              <w:t>Геоинформатика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49115C" w:rsidRPr="004046D1" w:rsidRDefault="0049115C" w:rsidP="3A1D30F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0B6844" w:rsidRPr="004046D1" w:rsidTr="3AE13DDB">
        <w:trPr>
          <w:trHeight w:val="245"/>
        </w:trPr>
        <w:tc>
          <w:tcPr>
            <w:tcW w:w="9952" w:type="dxa"/>
            <w:gridSpan w:val="11"/>
            <w:vAlign w:val="center"/>
          </w:tcPr>
          <w:p w:rsidR="000B6844" w:rsidRPr="004046D1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A3B96" w:rsidRPr="004046D1" w:rsidTr="008D49FC">
        <w:trPr>
          <w:trHeight w:val="2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CA" w:rsidRPr="008D49FC" w:rsidRDefault="008D49FC" w:rsidP="008D49FC">
            <w:pPr>
              <w:tabs>
                <w:tab w:val="left" w:pos="567"/>
              </w:tabs>
              <w:spacing w:line="256" w:lineRule="auto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</w:rPr>
              <w:t>1.</w:t>
            </w:r>
          </w:p>
        </w:tc>
        <w:tc>
          <w:tcPr>
            <w:tcW w:w="95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A" w:rsidRPr="004046D1" w:rsidRDefault="00FB6ACA">
            <w:pPr>
              <w:spacing w:line="256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</w:pP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>Milivojević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>, N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.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 xml:space="preserve"> and </w:t>
            </w:r>
            <w:r w:rsidRPr="004046D1">
              <w:rPr>
                <w:rFonts w:ascii="Times New Roman" w:hAnsi="Times New Roman"/>
                <w:b/>
                <w:bCs/>
                <w:kern w:val="2"/>
                <w:sz w:val="20"/>
                <w:szCs w:val="20"/>
                <w:lang w:val="en-GB"/>
              </w:rPr>
              <w:t>S</w:t>
            </w:r>
            <w:r w:rsidRPr="004046D1">
              <w:rPr>
                <w:rFonts w:ascii="Times New Roman" w:hAnsi="Times New Roman"/>
                <w:b/>
                <w:bCs/>
                <w:kern w:val="2"/>
                <w:sz w:val="20"/>
                <w:szCs w:val="20"/>
                <w:lang w:val="sr-Cyrl-CS"/>
              </w:rPr>
              <w:t>.</w:t>
            </w:r>
            <w:r w:rsidRPr="004046D1">
              <w:rPr>
                <w:rFonts w:ascii="Times New Roman" w:hAnsi="Times New Roman"/>
                <w:b/>
                <w:bCs/>
                <w:kern w:val="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b/>
                <w:bCs/>
                <w:kern w:val="2"/>
                <w:sz w:val="20"/>
                <w:szCs w:val="20"/>
                <w:lang w:val="en-GB"/>
              </w:rPr>
              <w:t>Radojičić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 xml:space="preserve"> 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(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>2015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)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>. “</w:t>
            </w:r>
            <w:r w:rsidRPr="004046D1">
              <w:rPr>
                <w:rFonts w:ascii="Times New Roman" w:hAnsi="Times New Roman"/>
                <w:bCs/>
                <w:kern w:val="2"/>
                <w:sz w:val="20"/>
                <w:szCs w:val="20"/>
              </w:rPr>
              <w:t xml:space="preserve">Types of cohesion and hedging devices in scientific texts – a classroom perspective” In: Academic Discourse across Cultures eds. Igor </w:t>
            </w:r>
            <w:proofErr w:type="spellStart"/>
            <w:r w:rsidRPr="004046D1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Lakić</w:t>
            </w:r>
            <w:proofErr w:type="spellEnd"/>
            <w:r w:rsidRPr="004046D1">
              <w:rPr>
                <w:rFonts w:ascii="Times New Roman" w:hAnsi="Times New Roman"/>
                <w:bCs/>
                <w:kern w:val="2"/>
                <w:sz w:val="20"/>
                <w:szCs w:val="20"/>
              </w:rPr>
              <w:t xml:space="preserve">, </w:t>
            </w:r>
            <w:proofErr w:type="spellStart"/>
            <w:r w:rsidRPr="004046D1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Branka</w:t>
            </w:r>
            <w:proofErr w:type="spellEnd"/>
            <w:r w:rsidRPr="004046D1">
              <w:rPr>
                <w:rFonts w:ascii="Times New Roman" w:hAnsi="Times New Roman"/>
                <w:bCs/>
                <w:kern w:val="2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Živković</w:t>
            </w:r>
            <w:proofErr w:type="spellEnd"/>
            <w:r w:rsidRPr="004046D1">
              <w:rPr>
                <w:rFonts w:ascii="Times New Roman" w:hAnsi="Times New Roman"/>
                <w:bCs/>
                <w:kern w:val="2"/>
                <w:sz w:val="20"/>
                <w:szCs w:val="20"/>
              </w:rPr>
              <w:t xml:space="preserve">, </w:t>
            </w:r>
            <w:proofErr w:type="spellStart"/>
            <w:r w:rsidRPr="004046D1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Milica</w:t>
            </w:r>
            <w:proofErr w:type="spellEnd"/>
            <w:r w:rsidRPr="004046D1">
              <w:rPr>
                <w:rFonts w:ascii="Times New Roman" w:hAnsi="Times New Roman"/>
                <w:bCs/>
                <w:kern w:val="2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bCs/>
                <w:kern w:val="2"/>
                <w:sz w:val="20"/>
                <w:szCs w:val="20"/>
              </w:rPr>
              <w:t>Vuković</w:t>
            </w:r>
            <w:proofErr w:type="spellEnd"/>
            <w:r w:rsidRPr="004046D1">
              <w:rPr>
                <w:rFonts w:ascii="Times New Roman" w:hAnsi="Times New Roman"/>
                <w:bCs/>
                <w:kern w:val="2"/>
                <w:sz w:val="20"/>
                <w:szCs w:val="20"/>
              </w:rPr>
              <w:t xml:space="preserve">, Cambridge Scholars Publishing, UK, pp. 114-129 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Latn-CS"/>
              </w:rPr>
              <w:t>(ISBN (10): 1-4438-7801-4) (ISBN (13): 978-1-4438-7801-2)</w:t>
            </w:r>
          </w:p>
        </w:tc>
      </w:tr>
      <w:tr w:rsidR="002A3B96" w:rsidRPr="004046D1" w:rsidTr="008D49FC">
        <w:trPr>
          <w:trHeight w:val="2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CA" w:rsidRPr="008D49FC" w:rsidRDefault="008D49FC" w:rsidP="008D49FC">
            <w:pPr>
              <w:tabs>
                <w:tab w:val="left" w:pos="567"/>
              </w:tabs>
              <w:spacing w:line="256" w:lineRule="auto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</w:rPr>
              <w:t>2.</w:t>
            </w:r>
          </w:p>
        </w:tc>
        <w:tc>
          <w:tcPr>
            <w:tcW w:w="95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A" w:rsidRPr="004046D1" w:rsidRDefault="00FB6ACA">
            <w:pPr>
              <w:spacing w:line="256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</w:pPr>
            <w:proofErr w:type="spellStart"/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val="en-GB" w:eastAsia="en-GB"/>
              </w:rPr>
              <w:t>Milivojević</w:t>
            </w:r>
            <w:proofErr w:type="spellEnd"/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val="en-GB" w:eastAsia="en-GB"/>
              </w:rPr>
              <w:t>, and </w:t>
            </w:r>
            <w:proofErr w:type="spellStart"/>
            <w:r w:rsidRPr="004046D1"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0"/>
                <w:szCs w:val="20"/>
                <w:lang w:val="en-GB" w:eastAsia="en-GB"/>
              </w:rPr>
              <w:t>Radojičić</w:t>
            </w:r>
            <w:proofErr w:type="spellEnd"/>
            <w:r w:rsidRPr="004046D1">
              <w:rPr>
                <w:rFonts w:ascii="Times New Roman" w:eastAsia="Times New Roman" w:hAnsi="Times New Roman"/>
                <w:b/>
                <w:bCs/>
                <w:color w:val="000000"/>
                <w:kern w:val="2"/>
                <w:sz w:val="20"/>
                <w:szCs w:val="20"/>
                <w:lang w:val="en-GB" w:eastAsia="en-GB"/>
              </w:rPr>
              <w:t>, S.</w:t>
            </w:r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val="en-GB" w:eastAsia="en-GB"/>
              </w:rPr>
              <w:t> (2017)</w:t>
            </w:r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eastAsia="en-GB"/>
              </w:rPr>
              <w:t>:</w:t>
            </w:r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val="en-GB" w:eastAsia="en-GB"/>
              </w:rPr>
              <w:t xml:space="preserve"> Tell For Specialized Domains: A Closer Look Into Theory And Practice. Book review: E</w:t>
            </w:r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eastAsia="en-GB"/>
              </w:rPr>
              <w:t>.</w:t>
            </w:r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val="en-GB" w:eastAsia="en-GB"/>
              </w:rPr>
              <w:t>Martín-Monje</w:t>
            </w:r>
            <w:proofErr w:type="spellEnd"/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val="en-GB" w:eastAsia="en-GB"/>
              </w:rPr>
              <w:t>, I</w:t>
            </w:r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eastAsia="en-GB"/>
              </w:rPr>
              <w:t>.</w:t>
            </w:r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val="en-GB" w:eastAsia="en-GB"/>
              </w:rPr>
              <w:t>Elorza</w:t>
            </w:r>
            <w:proofErr w:type="spellEnd"/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val="en-GB" w:eastAsia="en-GB"/>
              </w:rPr>
              <w:t xml:space="preserve"> and B</w:t>
            </w:r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eastAsia="en-GB"/>
              </w:rPr>
              <w:t>.</w:t>
            </w:r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val="en-GB" w:eastAsia="en-GB"/>
              </w:rPr>
              <w:t>García</w:t>
            </w:r>
            <w:proofErr w:type="spellEnd"/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val="en-GB" w:eastAsia="en-GB"/>
              </w:rPr>
              <w:t>Riaza</w:t>
            </w:r>
            <w:proofErr w:type="spellEnd"/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val="en-GB" w:eastAsia="en-GB"/>
              </w:rPr>
              <w:t xml:space="preserve"> (Eds.). TECHNOLOGY-ENHANCED LANGUAGE LEARNING FOR SPECIALIZED DOMAINS: PRACTICAL APPLICATIONS AND MOBILITY (2016), London/New York: </w:t>
            </w:r>
            <w:proofErr w:type="spellStart"/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val="en-GB" w:eastAsia="en-GB"/>
              </w:rPr>
              <w:t>Routledge</w:t>
            </w:r>
            <w:proofErr w:type="spellEnd"/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val="en-GB" w:eastAsia="en-GB"/>
              </w:rPr>
              <w:t>. 285 pp., ISBN 978-1-138-12043-3 (HBK). ISBN 987-1-315-65172-9 (EBK). </w:t>
            </w:r>
            <w:r w:rsidRPr="004046D1">
              <w:rPr>
                <w:rFonts w:ascii="Times New Roman" w:eastAsia="Times New Roman" w:hAnsi="Times New Roman"/>
                <w:i/>
                <w:iCs/>
                <w:color w:val="000000"/>
                <w:kern w:val="2"/>
                <w:sz w:val="20"/>
                <w:szCs w:val="20"/>
                <w:lang w:val="en-GB" w:eastAsia="en-GB"/>
              </w:rPr>
              <w:t>ESP Today</w:t>
            </w:r>
            <w:r w:rsidRPr="004046D1">
              <w:rPr>
                <w:rFonts w:ascii="Times New Roman" w:eastAsia="Times New Roman" w:hAnsi="Times New Roman"/>
                <w:color w:val="000000"/>
                <w:kern w:val="2"/>
                <w:sz w:val="20"/>
                <w:szCs w:val="20"/>
                <w:lang w:val="en-GB" w:eastAsia="en-GB"/>
              </w:rPr>
              <w:t> Vol. 5(1) (2017): 117-121e-ISSN:2334-9050</w:t>
            </w:r>
          </w:p>
        </w:tc>
      </w:tr>
      <w:tr w:rsidR="002A3B96" w:rsidRPr="004046D1" w:rsidTr="008D49FC">
        <w:trPr>
          <w:trHeight w:val="2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CA" w:rsidRPr="008D49FC" w:rsidRDefault="008D49FC" w:rsidP="008D49FC">
            <w:pPr>
              <w:tabs>
                <w:tab w:val="left" w:pos="567"/>
              </w:tabs>
              <w:spacing w:line="256" w:lineRule="auto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</w:rPr>
              <w:t>3.</w:t>
            </w:r>
          </w:p>
        </w:tc>
        <w:tc>
          <w:tcPr>
            <w:tcW w:w="95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A" w:rsidRPr="004046D1" w:rsidRDefault="00FB6ACA">
            <w:pPr>
              <w:tabs>
                <w:tab w:val="left" w:pos="567"/>
              </w:tabs>
              <w:spacing w:line="256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</w:pPr>
            <w:proofErr w:type="spellStart"/>
            <w:r w:rsidRPr="004046D1">
              <w:rPr>
                <w:rStyle w:val="Strong"/>
                <w:rFonts w:ascii="Times New Roman" w:hAnsi="Times New Roman"/>
                <w:kern w:val="2"/>
                <w:sz w:val="20"/>
                <w:szCs w:val="20"/>
              </w:rPr>
              <w:t>Radojičić</w:t>
            </w:r>
            <w:proofErr w:type="spellEnd"/>
            <w:r w:rsidRPr="004046D1">
              <w:rPr>
                <w:rStyle w:val="Strong"/>
                <w:rFonts w:ascii="Times New Roman" w:hAnsi="Times New Roman"/>
                <w:kern w:val="2"/>
                <w:sz w:val="20"/>
                <w:szCs w:val="20"/>
              </w:rPr>
              <w:t xml:space="preserve"> S., 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(2019)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>.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 xml:space="preserve"> “Hedges and Boosters in University Textbooks”  In: Proceedings of the 10th International Language Conference on the Importance of Learning Professional Foreign Languages for Communication between Cultures, Full Papers, Edited by: </w:t>
            </w:r>
            <w:r w:rsidRPr="004046D1">
              <w:rPr>
                <w:rStyle w:val="Strong"/>
                <w:rFonts w:ascii="Times New Roman" w:hAnsi="Times New Roman"/>
                <w:b w:val="0"/>
                <w:bCs w:val="0"/>
                <w:kern w:val="2"/>
                <w:sz w:val="20"/>
                <w:szCs w:val="20"/>
              </w:rPr>
              <w:t xml:space="preserve">P. </w:t>
            </w:r>
            <w:proofErr w:type="spellStart"/>
            <w:r w:rsidRPr="004046D1">
              <w:rPr>
                <w:rStyle w:val="Strong"/>
                <w:rFonts w:ascii="Times New Roman" w:hAnsi="Times New Roman"/>
                <w:b w:val="0"/>
                <w:bCs w:val="0"/>
                <w:kern w:val="2"/>
                <w:sz w:val="20"/>
                <w:szCs w:val="20"/>
              </w:rPr>
              <w:t>Vičič</w:t>
            </w:r>
            <w:proofErr w:type="spellEnd"/>
            <w:r w:rsidRPr="004046D1">
              <w:rPr>
                <w:rStyle w:val="Strong"/>
                <w:rFonts w:ascii="Times New Roman" w:hAnsi="Times New Roman"/>
                <w:b w:val="0"/>
                <w:bCs w:val="0"/>
                <w:kern w:val="2"/>
                <w:sz w:val="20"/>
                <w:szCs w:val="20"/>
              </w:rPr>
              <w:t xml:space="preserve">, N. </w:t>
            </w:r>
            <w:proofErr w:type="spellStart"/>
            <w:r w:rsidRPr="004046D1">
              <w:rPr>
                <w:rStyle w:val="Strong"/>
                <w:rFonts w:ascii="Times New Roman" w:hAnsi="Times New Roman"/>
                <w:b w:val="0"/>
                <w:bCs w:val="0"/>
                <w:kern w:val="2"/>
                <w:sz w:val="20"/>
                <w:szCs w:val="20"/>
              </w:rPr>
              <w:t>Gajšt</w:t>
            </w:r>
            <w:proofErr w:type="spellEnd"/>
            <w:r w:rsidRPr="004046D1">
              <w:rPr>
                <w:rStyle w:val="Strong"/>
                <w:rFonts w:ascii="Times New Roman" w:hAnsi="Times New Roman"/>
                <w:b w:val="0"/>
                <w:bCs w:val="0"/>
                <w:kern w:val="2"/>
                <w:sz w:val="20"/>
                <w:szCs w:val="20"/>
              </w:rPr>
              <w:t xml:space="preserve">, A. </w:t>
            </w:r>
            <w:proofErr w:type="spellStart"/>
            <w:r w:rsidRPr="004046D1">
              <w:rPr>
                <w:rStyle w:val="Strong"/>
                <w:rFonts w:ascii="Times New Roman" w:hAnsi="Times New Roman"/>
                <w:b w:val="0"/>
                <w:bCs w:val="0"/>
                <w:kern w:val="2"/>
                <w:sz w:val="20"/>
                <w:szCs w:val="20"/>
              </w:rPr>
              <w:t>Plos</w:t>
            </w:r>
            <w:proofErr w:type="spellEnd"/>
            <w:r w:rsidRPr="004046D1">
              <w:rPr>
                <w:rStyle w:val="Strong"/>
                <w:rFonts w:ascii="Times New Roman" w:hAnsi="Times New Roman"/>
                <w:kern w:val="2"/>
                <w:sz w:val="20"/>
                <w:szCs w:val="20"/>
              </w:rPr>
              <w:t>,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 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Celje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, Slovenia: University of Maribor, Faculty of Logistics, pp. 317-327 </w:t>
            </w:r>
            <w:hyperlink r:id="rId7" w:history="1">
              <w:r w:rsidRPr="004046D1">
                <w:rPr>
                  <w:rStyle w:val="Hyperlink"/>
                  <w:rFonts w:ascii="Times New Roman" w:hAnsi="Times New Roman"/>
                  <w:color w:val="auto"/>
                  <w:kern w:val="2"/>
                  <w:sz w:val="20"/>
                  <w:szCs w:val="20"/>
                </w:rPr>
                <w:t>https://doi.org/10.18690/978-961-286-252-7</w:t>
              </w:r>
            </w:hyperlink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 (ISBN-13: 978-961-286-252-7)</w:t>
            </w:r>
          </w:p>
        </w:tc>
      </w:tr>
      <w:tr w:rsidR="002A3B96" w:rsidRPr="004046D1" w:rsidTr="008D49FC">
        <w:trPr>
          <w:trHeight w:val="2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CA" w:rsidRPr="008D49FC" w:rsidRDefault="008D49FC" w:rsidP="008D49FC">
            <w:pPr>
              <w:tabs>
                <w:tab w:val="left" w:pos="567"/>
              </w:tabs>
              <w:spacing w:line="256" w:lineRule="auto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</w:rPr>
              <w:t>4.</w:t>
            </w:r>
          </w:p>
        </w:tc>
        <w:tc>
          <w:tcPr>
            <w:tcW w:w="95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A" w:rsidRPr="004046D1" w:rsidRDefault="00FB6ACA">
            <w:pPr>
              <w:pStyle w:val="nova-legacy-e-listitem"/>
              <w:shd w:val="clear" w:color="auto" w:fill="FFFFFF"/>
              <w:spacing w:line="256" w:lineRule="auto"/>
              <w:jc w:val="both"/>
              <w:rPr>
                <w:rStyle w:val="Emphasis"/>
                <w:i w:val="0"/>
                <w:iCs w:val="0"/>
                <w:sz w:val="20"/>
                <w:szCs w:val="20"/>
              </w:rPr>
            </w:pPr>
            <w:proofErr w:type="spellStart"/>
            <w:r w:rsidRPr="004046D1">
              <w:rPr>
                <w:rStyle w:val="Emphasis"/>
                <w:b/>
                <w:bCs/>
                <w:i w:val="0"/>
                <w:iCs w:val="0"/>
                <w:sz w:val="20"/>
                <w:szCs w:val="20"/>
              </w:rPr>
              <w:t>Radojičić</w:t>
            </w:r>
            <w:proofErr w:type="spellEnd"/>
            <w:r w:rsidRPr="004046D1">
              <w:rPr>
                <w:rStyle w:val="Emphasis"/>
                <w:b/>
                <w:bCs/>
                <w:i w:val="0"/>
                <w:iCs w:val="0"/>
                <w:sz w:val="20"/>
                <w:szCs w:val="20"/>
              </w:rPr>
              <w:t>, S</w:t>
            </w:r>
            <w:r w:rsidRPr="004046D1">
              <w:rPr>
                <w:rStyle w:val="Emphasis"/>
                <w:i w:val="0"/>
                <w:iCs w:val="0"/>
                <w:sz w:val="20"/>
                <w:szCs w:val="20"/>
              </w:rPr>
              <w:t xml:space="preserve">. and D. </w:t>
            </w:r>
            <w:proofErr w:type="spellStart"/>
            <w:r w:rsidRPr="004046D1">
              <w:rPr>
                <w:rStyle w:val="Emphasis"/>
                <w:i w:val="0"/>
                <w:iCs w:val="0"/>
                <w:sz w:val="20"/>
                <w:szCs w:val="20"/>
              </w:rPr>
              <w:t>Vuković</w:t>
            </w:r>
            <w:proofErr w:type="spellEnd"/>
            <w:r w:rsidRPr="004046D1">
              <w:rPr>
                <w:rStyle w:val="Emphasis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Style w:val="Emphasis"/>
                <w:i w:val="0"/>
                <w:iCs w:val="0"/>
                <w:sz w:val="20"/>
                <w:szCs w:val="20"/>
              </w:rPr>
              <w:t>Vojnović</w:t>
            </w:r>
            <w:proofErr w:type="spellEnd"/>
            <w:r w:rsidRPr="004046D1">
              <w:rPr>
                <w:rStyle w:val="Emphasis"/>
                <w:i w:val="0"/>
                <w:iCs w:val="0"/>
                <w:sz w:val="20"/>
                <w:szCs w:val="20"/>
              </w:rPr>
              <w:t xml:space="preserve"> (2021). Real World Issues in English Language Learning for Geosciences. The Fifth Serbian Congress of Geographers, 2021. Innovative Approach and Perspectives of the Applied Geography. Collection of Papers. </w:t>
            </w:r>
            <w:proofErr w:type="spellStart"/>
            <w:r w:rsidRPr="004046D1">
              <w:rPr>
                <w:rStyle w:val="Emphasis"/>
                <w:i w:val="0"/>
                <w:iCs w:val="0"/>
                <w:sz w:val="20"/>
                <w:szCs w:val="20"/>
              </w:rPr>
              <w:t>Univerzitet</w:t>
            </w:r>
            <w:proofErr w:type="spellEnd"/>
            <w:r w:rsidRPr="004046D1">
              <w:rPr>
                <w:rStyle w:val="Emphasis"/>
                <w:i w:val="0"/>
                <w:iCs w:val="0"/>
                <w:sz w:val="20"/>
                <w:szCs w:val="20"/>
              </w:rPr>
              <w:t xml:space="preserve"> u </w:t>
            </w:r>
            <w:proofErr w:type="spellStart"/>
            <w:r w:rsidRPr="004046D1">
              <w:rPr>
                <w:rStyle w:val="Emphasis"/>
                <w:i w:val="0"/>
                <w:iCs w:val="0"/>
                <w:sz w:val="20"/>
                <w:szCs w:val="20"/>
              </w:rPr>
              <w:t>Novom</w:t>
            </w:r>
            <w:proofErr w:type="spellEnd"/>
            <w:r w:rsidRPr="004046D1">
              <w:rPr>
                <w:rStyle w:val="Emphasis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Style w:val="Emphasis"/>
                <w:i w:val="0"/>
                <w:iCs w:val="0"/>
                <w:sz w:val="20"/>
                <w:szCs w:val="20"/>
              </w:rPr>
              <w:t>Sadu</w:t>
            </w:r>
            <w:proofErr w:type="spellEnd"/>
            <w:r w:rsidRPr="004046D1">
              <w:rPr>
                <w:rStyle w:val="Emphasis"/>
                <w:i w:val="0"/>
                <w:iCs w:val="0"/>
                <w:sz w:val="20"/>
                <w:szCs w:val="20"/>
              </w:rPr>
              <w:t xml:space="preserve">, </w:t>
            </w:r>
            <w:proofErr w:type="spellStart"/>
            <w:r w:rsidRPr="004046D1">
              <w:rPr>
                <w:rStyle w:val="Emphasis"/>
                <w:i w:val="0"/>
                <w:iCs w:val="0"/>
                <w:sz w:val="20"/>
                <w:szCs w:val="20"/>
              </w:rPr>
              <w:t>Prirodno-matematički</w:t>
            </w:r>
            <w:proofErr w:type="spellEnd"/>
            <w:r w:rsidRPr="004046D1">
              <w:rPr>
                <w:rStyle w:val="Emphasis"/>
                <w:i w:val="0"/>
                <w:iCs w:val="0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Style w:val="Emphasis"/>
                <w:i w:val="0"/>
                <w:iCs w:val="0"/>
                <w:sz w:val="20"/>
                <w:szCs w:val="20"/>
              </w:rPr>
              <w:t>fakultet</w:t>
            </w:r>
            <w:proofErr w:type="spellEnd"/>
            <w:r w:rsidRPr="004046D1">
              <w:rPr>
                <w:rStyle w:val="Emphasis"/>
                <w:i w:val="0"/>
                <w:iCs w:val="0"/>
                <w:sz w:val="20"/>
                <w:szCs w:val="20"/>
              </w:rPr>
              <w:t>. 285-290</w:t>
            </w:r>
          </w:p>
        </w:tc>
      </w:tr>
      <w:tr w:rsidR="002A3B96" w:rsidRPr="004046D1" w:rsidTr="008D49FC">
        <w:trPr>
          <w:trHeight w:val="2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CA" w:rsidRPr="008D49FC" w:rsidRDefault="008D49FC" w:rsidP="008D49FC">
            <w:pPr>
              <w:tabs>
                <w:tab w:val="left" w:pos="567"/>
              </w:tabs>
              <w:spacing w:line="256" w:lineRule="auto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</w:rPr>
              <w:t>5.</w:t>
            </w:r>
          </w:p>
        </w:tc>
        <w:tc>
          <w:tcPr>
            <w:tcW w:w="95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A" w:rsidRPr="004046D1" w:rsidRDefault="00FB6ACA">
            <w:pPr>
              <w:tabs>
                <w:tab w:val="left" w:pos="567"/>
              </w:tabs>
              <w:spacing w:line="256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b/>
                <w:bCs/>
                <w:kern w:val="2"/>
                <w:sz w:val="20"/>
                <w:szCs w:val="20"/>
                <w:lang w:val="sr-Cyrl-CS"/>
              </w:rPr>
              <w:t>Radojičić, S.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 xml:space="preserve"> </w:t>
            </w:r>
            <w:proofErr w:type="gramStart"/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>and</w:t>
            </w:r>
            <w:proofErr w:type="gramEnd"/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 xml:space="preserve"> D. Vuković Vojnović. (2022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>)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. "Self-Directed Learning Readiness – a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 xml:space="preserve"> 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Case Study of ESP Learners at the Faculty of Sciences, University of Novi Sad".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 xml:space="preserve"> 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  <w:t>In LINGUAPEDA 2021. 242-262. Joensuu/ Helsinki.</w:t>
            </w:r>
          </w:p>
        </w:tc>
      </w:tr>
      <w:tr w:rsidR="002A3B96" w:rsidRPr="004046D1" w:rsidTr="008D49FC">
        <w:trPr>
          <w:trHeight w:val="2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CA" w:rsidRPr="008D49FC" w:rsidRDefault="008D49FC" w:rsidP="008D49FC">
            <w:pPr>
              <w:tabs>
                <w:tab w:val="left" w:pos="567"/>
              </w:tabs>
              <w:spacing w:line="256" w:lineRule="auto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</w:rPr>
              <w:t>6.</w:t>
            </w:r>
          </w:p>
        </w:tc>
        <w:tc>
          <w:tcPr>
            <w:tcW w:w="95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A" w:rsidRPr="004046D1" w:rsidRDefault="00FB6ACA">
            <w:pPr>
              <w:tabs>
                <w:tab w:val="left" w:pos="567"/>
              </w:tabs>
              <w:spacing w:line="256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</w:pP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Миливојевић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 xml:space="preserve"> Н. и </w:t>
            </w:r>
            <w:r w:rsidRPr="004046D1"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  <w:t xml:space="preserve">С. </w:t>
            </w:r>
            <w:proofErr w:type="spellStart"/>
            <w:r w:rsidRPr="004046D1"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  <w:t>Радојичић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 xml:space="preserve"> 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>(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2022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>). “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У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смерена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моделована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комуникација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као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стратегија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настави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енглеског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као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језика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професије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на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универзитету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оглед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 xml:space="preserve"> о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  <w:shd w:val="clear" w:color="auto" w:fill="FFFFFF"/>
              </w:rPr>
              <w:t>реконтекстуализацији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 xml:space="preserve">“.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Зборник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радова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Филозофског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факултета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Универзитета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 xml:space="preserve"> у </w:t>
            </w:r>
            <w:proofErr w:type="spellStart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Приштини</w:t>
            </w:r>
            <w:proofErr w:type="spellEnd"/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 xml:space="preserve">, 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>LII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 xml:space="preserve"> (1)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>:113-137</w:t>
            </w:r>
          </w:p>
        </w:tc>
      </w:tr>
      <w:tr w:rsidR="002A3B96" w:rsidRPr="004046D1" w:rsidTr="008D49FC">
        <w:trPr>
          <w:trHeight w:val="2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ACA" w:rsidRPr="008D49FC" w:rsidRDefault="008D49FC" w:rsidP="008D49FC">
            <w:pPr>
              <w:tabs>
                <w:tab w:val="left" w:pos="567"/>
              </w:tabs>
              <w:spacing w:line="256" w:lineRule="auto"/>
              <w:rPr>
                <w:rFonts w:ascii="Times New Roman" w:hAnsi="Times New Roman"/>
                <w:kern w:val="2"/>
                <w:sz w:val="20"/>
                <w:szCs w:val="20"/>
              </w:rPr>
            </w:pPr>
            <w:r>
              <w:rPr>
                <w:rFonts w:ascii="Times New Roman" w:hAnsi="Times New Roman"/>
                <w:kern w:val="2"/>
                <w:sz w:val="20"/>
                <w:szCs w:val="20"/>
              </w:rPr>
              <w:t>7.</w:t>
            </w:r>
          </w:p>
        </w:tc>
        <w:tc>
          <w:tcPr>
            <w:tcW w:w="95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CA" w:rsidRPr="004046D1" w:rsidRDefault="00FB6ACA">
            <w:pPr>
              <w:tabs>
                <w:tab w:val="left" w:pos="567"/>
              </w:tabs>
              <w:spacing w:line="256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sr-Cyrl-CS"/>
              </w:rPr>
            </w:pPr>
            <w:proofErr w:type="spellStart"/>
            <w:r w:rsidRPr="004046D1">
              <w:rPr>
                <w:rStyle w:val="Strong"/>
                <w:rFonts w:ascii="Times New Roman" w:hAnsi="Times New Roman"/>
                <w:kern w:val="2"/>
                <w:sz w:val="20"/>
                <w:szCs w:val="20"/>
              </w:rPr>
              <w:t>Radojičić</w:t>
            </w:r>
            <w:proofErr w:type="spellEnd"/>
            <w:r w:rsidRPr="004046D1">
              <w:rPr>
                <w:rStyle w:val="Strong"/>
                <w:rFonts w:ascii="Times New Roman" w:hAnsi="Times New Roman"/>
                <w:kern w:val="2"/>
                <w:sz w:val="20"/>
                <w:szCs w:val="20"/>
              </w:rPr>
              <w:t xml:space="preserve"> S</w:t>
            </w:r>
            <w:r w:rsidRPr="004046D1">
              <w:rPr>
                <w:rStyle w:val="Strong"/>
                <w:rFonts w:ascii="Times New Roman" w:hAnsi="Times New Roman"/>
                <w:b w:val="0"/>
                <w:bCs w:val="0"/>
                <w:kern w:val="2"/>
                <w:sz w:val="20"/>
                <w:szCs w:val="20"/>
              </w:rPr>
              <w:t>.</w:t>
            </w:r>
            <w:r w:rsidRPr="004046D1">
              <w:rPr>
                <w:rStyle w:val="Strong"/>
                <w:rFonts w:ascii="Times New Roman" w:hAnsi="Times New Roman"/>
                <w:b w:val="0"/>
                <w:bCs w:val="0"/>
                <w:kern w:val="2"/>
                <w:sz w:val="20"/>
                <w:szCs w:val="20"/>
                <w:lang w:val="en-GB"/>
              </w:rPr>
              <w:t xml:space="preserve"> and</w:t>
            </w:r>
            <w:r w:rsidRPr="004046D1">
              <w:rPr>
                <w:rStyle w:val="Strong"/>
                <w:rFonts w:ascii="Times New Roman" w:hAnsi="Times New Roman"/>
                <w:b w:val="0"/>
                <w:bCs w:val="0"/>
                <w:kern w:val="2"/>
                <w:sz w:val="20"/>
                <w:szCs w:val="20"/>
              </w:rPr>
              <w:t> </w:t>
            </w:r>
            <w:r w:rsidRPr="004046D1">
              <w:rPr>
                <w:rStyle w:val="Strong"/>
                <w:rFonts w:ascii="Times New Roman" w:hAnsi="Times New Roman"/>
                <w:b w:val="0"/>
                <w:bCs w:val="0"/>
                <w:kern w:val="2"/>
                <w:sz w:val="20"/>
                <w:szCs w:val="20"/>
                <w:lang w:val="en-GB"/>
              </w:rPr>
              <w:t xml:space="preserve">P. </w:t>
            </w:r>
            <w:proofErr w:type="spellStart"/>
            <w:r w:rsidRPr="004046D1">
              <w:rPr>
                <w:rStyle w:val="Strong"/>
                <w:rFonts w:ascii="Times New Roman" w:hAnsi="Times New Roman"/>
                <w:b w:val="0"/>
                <w:bCs w:val="0"/>
                <w:kern w:val="2"/>
                <w:sz w:val="20"/>
                <w:szCs w:val="20"/>
                <w:lang w:val="en-GB"/>
              </w:rPr>
              <w:t>Novakov</w:t>
            </w:r>
            <w:proofErr w:type="spellEnd"/>
            <w:r w:rsidRPr="004046D1">
              <w:rPr>
                <w:rStyle w:val="Strong"/>
                <w:rFonts w:ascii="Times New Roman" w:hAnsi="Times New Roman"/>
                <w:b w:val="0"/>
                <w:bCs w:val="0"/>
                <w:kern w:val="2"/>
                <w:sz w:val="20"/>
                <w:szCs w:val="20"/>
                <w:lang w:val="en-GB"/>
              </w:rPr>
              <w:t xml:space="preserve"> (2022)</w:t>
            </w:r>
            <w:r w:rsidRPr="004046D1">
              <w:rPr>
                <w:rStyle w:val="Strong"/>
                <w:rFonts w:ascii="Times New Roman" w:hAnsi="Times New Roman"/>
                <w:b w:val="0"/>
                <w:bCs w:val="0"/>
                <w:kern w:val="2"/>
                <w:sz w:val="20"/>
                <w:szCs w:val="20"/>
              </w:rPr>
              <w:t>.</w:t>
            </w:r>
            <w:r w:rsidRPr="004046D1">
              <w:rPr>
                <w:rStyle w:val="Strong"/>
                <w:rFonts w:ascii="Times New Roman" w:hAnsi="Times New Roman"/>
                <w:kern w:val="2"/>
                <w:sz w:val="20"/>
                <w:szCs w:val="20"/>
                <w:lang w:val="en-GB"/>
              </w:rPr>
              <w:t xml:space="preserve"> 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>“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Hedging and Boosting Strategies in Linguistics and Geography – A Case Study of Student Perception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>”</w:t>
            </w:r>
            <w:r w:rsidR="002A3B96" w:rsidRPr="004046D1">
              <w:rPr>
                <w:rFonts w:ascii="Times New Roman" w:hAnsi="Times New Roman"/>
                <w:kern w:val="2"/>
                <w:sz w:val="20"/>
                <w:szCs w:val="20"/>
                <w:lang/>
              </w:rPr>
              <w:t>.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 xml:space="preserve"> </w:t>
            </w:r>
            <w:hyperlink r:id="rId8" w:history="1">
              <w:r w:rsidRPr="004046D1">
                <w:rPr>
                  <w:rStyle w:val="Hyperlink"/>
                  <w:rFonts w:ascii="Times New Roman" w:hAnsi="Times New Roman"/>
                  <w:color w:val="auto"/>
                  <w:kern w:val="2"/>
                  <w:sz w:val="20"/>
                  <w:szCs w:val="20"/>
                  <w:u w:val="none"/>
                  <w:bdr w:val="none" w:sz="0" w:space="0" w:color="auto" w:frame="1"/>
                </w:rPr>
                <w:t xml:space="preserve">Folia </w:t>
              </w:r>
              <w:proofErr w:type="spellStart"/>
              <w:r w:rsidRPr="004046D1">
                <w:rPr>
                  <w:rStyle w:val="Hyperlink"/>
                  <w:rFonts w:ascii="Times New Roman" w:hAnsi="Times New Roman"/>
                  <w:color w:val="auto"/>
                  <w:kern w:val="2"/>
                  <w:sz w:val="20"/>
                  <w:szCs w:val="20"/>
                  <w:u w:val="none"/>
                  <w:bdr w:val="none" w:sz="0" w:space="0" w:color="auto" w:frame="1"/>
                </w:rPr>
                <w:t>Linguistica</w:t>
              </w:r>
              <w:proofErr w:type="spellEnd"/>
              <w:r w:rsidRPr="004046D1">
                <w:rPr>
                  <w:rStyle w:val="Hyperlink"/>
                  <w:rFonts w:ascii="Times New Roman" w:hAnsi="Times New Roman"/>
                  <w:color w:val="auto"/>
                  <w:kern w:val="2"/>
                  <w:sz w:val="20"/>
                  <w:szCs w:val="20"/>
                  <w:u w:val="none"/>
                  <w:bdr w:val="none" w:sz="0" w:space="0" w:color="auto" w:frame="1"/>
                </w:rPr>
                <w:t xml:space="preserve"> et </w:t>
              </w:r>
              <w:proofErr w:type="spellStart"/>
              <w:r w:rsidRPr="004046D1">
                <w:rPr>
                  <w:rStyle w:val="Hyperlink"/>
                  <w:rFonts w:ascii="Times New Roman" w:hAnsi="Times New Roman"/>
                  <w:color w:val="auto"/>
                  <w:kern w:val="2"/>
                  <w:sz w:val="20"/>
                  <w:szCs w:val="20"/>
                  <w:u w:val="none"/>
                  <w:bdr w:val="none" w:sz="0" w:space="0" w:color="auto" w:frame="1"/>
                </w:rPr>
                <w:t>Litteraria</w:t>
              </w:r>
              <w:proofErr w:type="spellEnd"/>
            </w:hyperlink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 XIII</w:t>
            </w:r>
            <w:r w:rsidR="24592151" w:rsidRPr="004046D1">
              <w:rPr>
                <w:rFonts w:ascii="Times New Roman" w:hAnsi="Times New Roman"/>
                <w:kern w:val="2"/>
                <w:sz w:val="20"/>
                <w:szCs w:val="20"/>
              </w:rPr>
              <w:t xml:space="preserve"> 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(42):243-260. DOI: 10.31902/fll.42.2022.16</w:t>
            </w:r>
          </w:p>
        </w:tc>
      </w:tr>
      <w:tr w:rsidR="00FB6ACA" w:rsidRPr="004046D1" w:rsidTr="3AE13DDB">
        <w:trPr>
          <w:trHeight w:val="224"/>
        </w:trPr>
        <w:tc>
          <w:tcPr>
            <w:tcW w:w="3715" w:type="dxa"/>
            <w:gridSpan w:val="5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237" w:type="dxa"/>
            <w:gridSpan w:val="6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>12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  <w:lang/>
              </w:rPr>
              <w:t xml:space="preserve"> (</w:t>
            </w:r>
            <w:r w:rsidRPr="004046D1">
              <w:rPr>
                <w:rFonts w:ascii="Times New Roman" w:hAnsi="Times New Roman"/>
                <w:kern w:val="2"/>
                <w:sz w:val="20"/>
                <w:szCs w:val="20"/>
              </w:rPr>
              <w:t>Google Scholar)</w:t>
            </w:r>
          </w:p>
        </w:tc>
      </w:tr>
      <w:tr w:rsidR="00FB6ACA" w:rsidRPr="004046D1" w:rsidTr="3AE13DDB">
        <w:trPr>
          <w:trHeight w:val="176"/>
        </w:trPr>
        <w:tc>
          <w:tcPr>
            <w:tcW w:w="3715" w:type="dxa"/>
            <w:gridSpan w:val="5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6237" w:type="dxa"/>
            <w:gridSpan w:val="6"/>
            <w:vAlign w:val="center"/>
          </w:tcPr>
          <w:p w:rsidR="00FB6ACA" w:rsidRPr="004046D1" w:rsidRDefault="00FB6ACA" w:rsidP="00FB6AC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kern w:val="2"/>
                <w:sz w:val="20"/>
                <w:szCs w:val="20"/>
                <w:lang w:val="en-GB"/>
              </w:rPr>
              <w:t xml:space="preserve">1 </w:t>
            </w:r>
          </w:p>
        </w:tc>
      </w:tr>
      <w:tr w:rsidR="000B6844" w:rsidRPr="004046D1" w:rsidTr="3AE13DDB">
        <w:trPr>
          <w:trHeight w:val="275"/>
        </w:trPr>
        <w:tc>
          <w:tcPr>
            <w:tcW w:w="3715" w:type="dxa"/>
            <w:gridSpan w:val="5"/>
            <w:vAlign w:val="center"/>
          </w:tcPr>
          <w:p w:rsidR="000B6844" w:rsidRPr="004046D1" w:rsidRDefault="000B6844" w:rsidP="00535F1E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  <w:r w:rsidR="00690BB2"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3158" w:type="dxa"/>
            <w:gridSpan w:val="4"/>
            <w:vAlign w:val="center"/>
          </w:tcPr>
          <w:p w:rsidR="000B6844" w:rsidRPr="004046D1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BA1C8C" w:rsidRPr="004046D1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3079" w:type="dxa"/>
            <w:gridSpan w:val="2"/>
            <w:vAlign w:val="center"/>
          </w:tcPr>
          <w:p w:rsidR="000B6844" w:rsidRPr="004046D1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BA1C8C" w:rsidRPr="004046D1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</w:tr>
      <w:tr w:rsidR="00A86A34" w:rsidRPr="004046D1" w:rsidTr="3AE13DDB">
        <w:trPr>
          <w:trHeight w:val="351"/>
        </w:trPr>
        <w:tc>
          <w:tcPr>
            <w:tcW w:w="2297" w:type="dxa"/>
            <w:gridSpan w:val="4"/>
            <w:vAlign w:val="center"/>
          </w:tcPr>
          <w:p w:rsidR="000B6844" w:rsidRPr="004046D1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655" w:type="dxa"/>
            <w:gridSpan w:val="7"/>
            <w:vAlign w:val="center"/>
          </w:tcPr>
          <w:p w:rsidR="000B6844" w:rsidRPr="004046D1" w:rsidRDefault="00BA1C8C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proofErr w:type="gramStart"/>
            <w:r w:rsidRPr="004046D1">
              <w:rPr>
                <w:rFonts w:ascii="Times New Roman" w:hAnsi="Times New Roman"/>
                <w:sz w:val="20"/>
                <w:szCs w:val="20"/>
              </w:rPr>
              <w:t>јун</w:t>
            </w:r>
            <w:proofErr w:type="spellEnd"/>
            <w:proofErr w:type="gram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2021.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Еразмус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Виртуелна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размена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наставног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особља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Универзитету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Источне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Финске</w:t>
            </w:r>
            <w:proofErr w:type="spellEnd"/>
            <w:r w:rsidRPr="004046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046D1">
              <w:rPr>
                <w:rFonts w:ascii="Times New Roman" w:hAnsi="Times New Roman"/>
                <w:sz w:val="20"/>
                <w:szCs w:val="20"/>
              </w:rPr>
              <w:t>Јоенсу</w:t>
            </w:r>
            <w:proofErr w:type="spellEnd"/>
          </w:p>
        </w:tc>
      </w:tr>
      <w:tr w:rsidR="000B6844" w:rsidRPr="004046D1" w:rsidTr="3AE13DDB">
        <w:trPr>
          <w:trHeight w:val="419"/>
        </w:trPr>
        <w:tc>
          <w:tcPr>
            <w:tcW w:w="9952" w:type="dxa"/>
            <w:gridSpan w:val="11"/>
            <w:vAlign w:val="center"/>
          </w:tcPr>
          <w:p w:rsidR="000B6844" w:rsidRPr="004046D1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BA1C8C" w:rsidRPr="004046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A1C8C" w:rsidRPr="004046D1" w:rsidRDefault="00BA1C8C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/>
              </w:rPr>
              <w:t>Члан Секције универзитетских наставника страног језика струке</w:t>
            </w:r>
          </w:p>
          <w:p w:rsidR="0049115C" w:rsidRPr="004046D1" w:rsidRDefault="00110BA3" w:rsidP="0049115C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4046D1">
              <w:rPr>
                <w:rFonts w:ascii="Times New Roman" w:hAnsi="Times New Roman"/>
                <w:sz w:val="20"/>
                <w:szCs w:val="20"/>
                <w:lang/>
              </w:rPr>
              <w:t xml:space="preserve">Члан </w:t>
            </w:r>
            <w:r w:rsidR="00A86A34" w:rsidRPr="004046D1">
              <w:rPr>
                <w:rFonts w:ascii="Times New Roman" w:hAnsi="Times New Roman"/>
                <w:sz w:val="20"/>
                <w:szCs w:val="20"/>
                <w:lang/>
              </w:rPr>
              <w:t>У</w:t>
            </w:r>
            <w:r w:rsidRPr="004046D1">
              <w:rPr>
                <w:rFonts w:ascii="Times New Roman" w:hAnsi="Times New Roman"/>
                <w:sz w:val="20"/>
                <w:szCs w:val="20"/>
                <w:lang/>
              </w:rPr>
              <w:t xml:space="preserve">дружења англиста </w:t>
            </w:r>
            <w:r w:rsidR="00A86A34" w:rsidRPr="004046D1">
              <w:rPr>
                <w:rFonts w:ascii="Times New Roman" w:hAnsi="Times New Roman"/>
                <w:sz w:val="20"/>
                <w:szCs w:val="20"/>
                <w:lang/>
              </w:rPr>
              <w:t xml:space="preserve">Србије </w:t>
            </w:r>
            <w:r w:rsidRPr="004046D1">
              <w:rPr>
                <w:rFonts w:ascii="Times New Roman" w:hAnsi="Times New Roman"/>
                <w:sz w:val="20"/>
                <w:szCs w:val="20"/>
                <w:lang w:val="en-GB"/>
              </w:rPr>
              <w:t>(SASE)</w:t>
            </w:r>
          </w:p>
        </w:tc>
      </w:tr>
    </w:tbl>
    <w:p w:rsidR="0049115C" w:rsidRDefault="0049115C" w:rsidP="008D49FC"/>
    <w:sectPr w:rsidR="0049115C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1AC" w:rsidRDefault="006021AC" w:rsidP="0049115C">
      <w:r>
        <w:separator/>
      </w:r>
    </w:p>
  </w:endnote>
  <w:endnote w:type="continuationSeparator" w:id="0">
    <w:p w:rsidR="006021AC" w:rsidRDefault="006021AC" w:rsidP="00491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1AC" w:rsidRDefault="006021AC" w:rsidP="0049115C">
      <w:r>
        <w:separator/>
      </w:r>
    </w:p>
  </w:footnote>
  <w:footnote w:type="continuationSeparator" w:id="0">
    <w:p w:rsidR="006021AC" w:rsidRDefault="006021AC" w:rsidP="004911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30AB9"/>
    <w:multiLevelType w:val="hybridMultilevel"/>
    <w:tmpl w:val="308A9C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80F0B"/>
    <w:multiLevelType w:val="hybridMultilevel"/>
    <w:tmpl w:val="FB0C9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7B5145C"/>
    <w:multiLevelType w:val="hybridMultilevel"/>
    <w:tmpl w:val="9544E6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D1EE7"/>
    <w:multiLevelType w:val="hybridMultilevel"/>
    <w:tmpl w:val="95F429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74BE"/>
    <w:rsid w:val="000451C6"/>
    <w:rsid w:val="000B6844"/>
    <w:rsid w:val="00110BA3"/>
    <w:rsid w:val="001535F6"/>
    <w:rsid w:val="002A3B96"/>
    <w:rsid w:val="0036327B"/>
    <w:rsid w:val="0039013B"/>
    <w:rsid w:val="003E471E"/>
    <w:rsid w:val="004046D1"/>
    <w:rsid w:val="00412B61"/>
    <w:rsid w:val="0049115C"/>
    <w:rsid w:val="00535F1E"/>
    <w:rsid w:val="00587B5F"/>
    <w:rsid w:val="005C239B"/>
    <w:rsid w:val="00601CC3"/>
    <w:rsid w:val="006021AC"/>
    <w:rsid w:val="00616F1D"/>
    <w:rsid w:val="00670281"/>
    <w:rsid w:val="00690BB2"/>
    <w:rsid w:val="00787D34"/>
    <w:rsid w:val="007B5292"/>
    <w:rsid w:val="00831D46"/>
    <w:rsid w:val="00850F55"/>
    <w:rsid w:val="0085430E"/>
    <w:rsid w:val="008A634C"/>
    <w:rsid w:val="008D49FC"/>
    <w:rsid w:val="00904B44"/>
    <w:rsid w:val="00957BC5"/>
    <w:rsid w:val="00A814AC"/>
    <w:rsid w:val="00A86A34"/>
    <w:rsid w:val="00B10110"/>
    <w:rsid w:val="00B674BE"/>
    <w:rsid w:val="00BA1C8C"/>
    <w:rsid w:val="00CA5014"/>
    <w:rsid w:val="00D31AC4"/>
    <w:rsid w:val="00E21B00"/>
    <w:rsid w:val="00FB3F95"/>
    <w:rsid w:val="00FB6ACA"/>
    <w:rsid w:val="07132C49"/>
    <w:rsid w:val="139C0629"/>
    <w:rsid w:val="1A716537"/>
    <w:rsid w:val="24592151"/>
    <w:rsid w:val="25E5E0F6"/>
    <w:rsid w:val="2E8544F6"/>
    <w:rsid w:val="35E4A526"/>
    <w:rsid w:val="3858F5A1"/>
    <w:rsid w:val="3A1D30F8"/>
    <w:rsid w:val="3AE13DDB"/>
    <w:rsid w:val="522B81E2"/>
    <w:rsid w:val="53D9B655"/>
    <w:rsid w:val="5DC4609A"/>
    <w:rsid w:val="6148C7CD"/>
    <w:rsid w:val="6359C4A9"/>
    <w:rsid w:val="67E218BA"/>
    <w:rsid w:val="7EEC5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styleId="Hyperlink">
    <w:name w:val="Hyperlink"/>
    <w:uiPriority w:val="99"/>
    <w:semiHidden/>
    <w:unhideWhenUsed/>
    <w:rsid w:val="00FB6AC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B6ACA"/>
    <w:pPr>
      <w:ind w:left="720"/>
      <w:contextualSpacing/>
    </w:pPr>
    <w:rPr>
      <w:lang/>
    </w:rPr>
  </w:style>
  <w:style w:type="paragraph" w:customStyle="1" w:styleId="nova-legacy-e-listitem">
    <w:name w:val="nova-legacy-e-list__item"/>
    <w:basedOn w:val="Normal"/>
    <w:rsid w:val="00FB6AC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FB6AC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911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115C"/>
    <w:rPr>
      <w:rFonts w:ascii="Calibri" w:eastAsia="Calibri" w:hAnsi="Calibri" w:cs="Times New Roman"/>
      <w:kern w:val="0"/>
    </w:rPr>
  </w:style>
  <w:style w:type="paragraph" w:styleId="Footer">
    <w:name w:val="footer"/>
    <w:basedOn w:val="Normal"/>
    <w:link w:val="FooterChar"/>
    <w:uiPriority w:val="99"/>
    <w:unhideWhenUsed/>
    <w:rsid w:val="004911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115C"/>
    <w:rPr>
      <w:rFonts w:ascii="Calibri" w:eastAsia="Calibri" w:hAnsi="Calibri" w:cs="Times New Roman"/>
      <w:kern w:val="0"/>
    </w:rPr>
  </w:style>
  <w:style w:type="character" w:styleId="Emphasis">
    <w:name w:val="Emphasis"/>
    <w:basedOn w:val="DefaultParagraphFont"/>
    <w:uiPriority w:val="20"/>
    <w:qFormat/>
    <w:rsid w:val="004046D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journal/Folia-Linguistica-et-Litteraria-1800-854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8690/978-961-286-252-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601</Words>
  <Characters>3432</Characters>
  <Application>Microsoft Office Word</Application>
  <DocSecurity>0</DocSecurity>
  <Lines>28</Lines>
  <Paragraphs>8</Paragraphs>
  <ScaleCrop>false</ScaleCrop>
  <Company/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SK</cp:lastModifiedBy>
  <cp:revision>2</cp:revision>
  <dcterms:created xsi:type="dcterms:W3CDTF">2023-11-03T12:27:00Z</dcterms:created>
  <dcterms:modified xsi:type="dcterms:W3CDTF">2023-11-03T12:27:00Z</dcterms:modified>
</cp:coreProperties>
</file>