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64" w:rsidRDefault="00037E6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Layout w:type="fixed"/>
        <w:tblLook w:val="01E0"/>
      </w:tblPr>
      <w:tblGrid>
        <w:gridCol w:w="543"/>
        <w:gridCol w:w="1416"/>
        <w:gridCol w:w="375"/>
        <w:gridCol w:w="87"/>
        <w:gridCol w:w="982"/>
        <w:gridCol w:w="723"/>
        <w:gridCol w:w="253"/>
        <w:gridCol w:w="968"/>
        <w:gridCol w:w="80"/>
        <w:gridCol w:w="682"/>
        <w:gridCol w:w="844"/>
        <w:gridCol w:w="1045"/>
        <w:gridCol w:w="729"/>
        <w:gridCol w:w="1479"/>
      </w:tblGrid>
      <w:tr w:rsidR="00037E64" w:rsidTr="004F2B6B">
        <w:trPr>
          <w:trHeight w:val="257"/>
        </w:trPr>
        <w:tc>
          <w:tcPr>
            <w:tcW w:w="4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Владимир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Костић</w:t>
            </w:r>
            <w:proofErr w:type="spellEnd"/>
          </w:p>
        </w:tc>
      </w:tr>
      <w:tr w:rsidR="00037E64" w:rsidTr="004F2B6B">
        <w:trPr>
          <w:trHeight w:val="247"/>
        </w:trPr>
        <w:tc>
          <w:tcPr>
            <w:tcW w:w="4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037E64" w:rsidTr="004F2B6B">
        <w:trPr>
          <w:trHeight w:val="427"/>
        </w:trPr>
        <w:tc>
          <w:tcPr>
            <w:tcW w:w="4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30.06.2004.</w:t>
            </w:r>
          </w:p>
        </w:tc>
      </w:tr>
      <w:tr w:rsidR="00037E64" w:rsidTr="004F2B6B">
        <w:trPr>
          <w:trHeight w:val="272"/>
        </w:trPr>
        <w:tc>
          <w:tcPr>
            <w:tcW w:w="4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8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 w:rsidTr="004F2B6B">
        <w:trPr>
          <w:trHeight w:val="24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037E64" w:rsidTr="004F2B6B">
        <w:trPr>
          <w:trHeight w:val="380"/>
        </w:trPr>
        <w:tc>
          <w:tcPr>
            <w:tcW w:w="2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37E64" w:rsidTr="004F2B6B">
        <w:trPr>
          <w:trHeight w:val="274"/>
        </w:trPr>
        <w:tc>
          <w:tcPr>
            <w:tcW w:w="2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 w:rsidTr="004F2B6B">
        <w:trPr>
          <w:trHeight w:val="452"/>
        </w:trPr>
        <w:tc>
          <w:tcPr>
            <w:tcW w:w="2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2010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 w:rsidTr="004F2B6B">
        <w:trPr>
          <w:trHeight w:val="231"/>
        </w:trPr>
        <w:tc>
          <w:tcPr>
            <w:tcW w:w="2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2009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 w:rsidTr="004F2B6B">
        <w:trPr>
          <w:trHeight w:val="197"/>
        </w:trPr>
        <w:tc>
          <w:tcPr>
            <w:tcW w:w="2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1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037E64" w:rsidTr="004F2B6B">
        <w:trPr>
          <w:trHeight w:val="314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37E64" w:rsidTr="004F2B6B">
        <w:trPr>
          <w:trHeight w:val="7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037E64" w:rsidTr="004F2B6B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МБ04 </w:t>
            </w:r>
          </w:p>
        </w:tc>
        <w:tc>
          <w:tcPr>
            <w:tcW w:w="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линеарне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 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MБ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37E64" w:rsidTr="004F2B6B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</w:rPr>
              <w:t>МДС03</w:t>
            </w:r>
          </w:p>
        </w:tc>
        <w:tc>
          <w:tcPr>
            <w:tcW w:w="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</w:rPr>
              <w:t>Numerical Linear Algebra 1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color w:val="C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подацима</w:t>
            </w:r>
            <w:proofErr w:type="spellEnd"/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37E64" w:rsidTr="004F2B6B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</w:rPr>
              <w:t>МДС15</w:t>
            </w:r>
          </w:p>
        </w:tc>
        <w:tc>
          <w:tcPr>
            <w:tcW w:w="34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</w:rPr>
              <w:t>Numerical Linear Algebra 2</w:t>
            </w:r>
          </w:p>
        </w:tc>
        <w:tc>
          <w:tcPr>
            <w:tcW w:w="1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  <w:proofErr w:type="spellEnd"/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pStyle w:val="NormalWeb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Примењена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математика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наука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подацима</w:t>
            </w:r>
            <w:proofErr w:type="spellEnd"/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37E64" w:rsidTr="004F2B6B">
        <w:trPr>
          <w:trHeight w:val="42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037E64" w:rsidTr="004F2B6B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́ 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Saverio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Salzo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The method of randomized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Bregman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projections for stochastic feasibility problems, Numerical Algorithms (2022)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</w:t>
            </w:r>
            <w:r>
              <w:rPr>
                <w:rStyle w:val="Hyperlink"/>
                <w:color w:val="auto"/>
                <w:sz w:val="20"/>
                <w:szCs w:val="20"/>
                <w:u w:val="none"/>
              </w:rPr>
              <w:t xml:space="preserve"> </w:t>
            </w:r>
            <w:hyperlink r:id="rId5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10.1007/s11075-022-01468-8</w:t>
              </w:r>
            </w:hyperlink>
          </w:p>
        </w:tc>
      </w:tr>
      <w:tr w:rsidR="00037E64" w:rsidTr="004F2B6B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, 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Ernest, From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of diagonal blocks to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pseudospectrum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of a full matrix. J.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Comput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Appl. Math. 386 (2021), 113265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Hyperlink"/>
                <w:color w:val="auto"/>
                <w:sz w:val="20"/>
                <w:szCs w:val="20"/>
              </w:rPr>
              <w:t xml:space="preserve"> </w:t>
            </w:r>
            <w:hyperlink r:id="rId6" w:tgtFrame="Persistent link using digital object identifier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10.1016/j.cam.2020.113265</w:t>
              </w:r>
            </w:hyperlink>
          </w:p>
        </w:tc>
      </w:tr>
      <w:tr w:rsidR="00037E64" w:rsidTr="004F2B6B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Šanca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Ernest,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́ 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Fractional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and their localizations, Linear Algebra and its Applications 559 (2018), 244-269 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   </w:t>
            </w:r>
            <w:hyperlink r:id="rId7">
              <w:r>
                <w:rPr>
                  <w:rStyle w:val="Hyperlink"/>
                  <w:color w:val="auto"/>
                  <w:sz w:val="20"/>
                  <w:szCs w:val="20"/>
                  <w:u w:val="none"/>
                </w:rPr>
                <w:t>D</w:t>
              </w:r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OI: 10.1016/j.laa.2018.08.035</w:t>
              </w:r>
            </w:hyperlink>
          </w:p>
        </w:tc>
      </w:tr>
      <w:tr w:rsidR="00037E64" w:rsidTr="004F2B6B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Ljiljana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On the inertia of the block H-matrices, Numerical Linear Algebra with Applications 24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,5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(2017), e2101.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M21a </w:t>
            </w:r>
            <w:r>
              <w:rPr>
                <w:rStyle w:val="Hyperlink"/>
                <w:color w:val="auto"/>
                <w:sz w:val="20"/>
                <w:szCs w:val="20"/>
                <w:u w:val="none"/>
              </w:rPr>
              <w:t xml:space="preserve"> </w:t>
            </w:r>
            <w:hyperlink r:id="rId8">
              <w:r>
                <w:rPr>
                  <w:rStyle w:val="Hyperlink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DOI: 10.1002/nla.2101</w:t>
              </w:r>
            </w:hyperlink>
          </w:p>
        </w:tc>
      </w:tr>
      <w:tr w:rsidR="00037E64" w:rsidTr="004F2B6B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37E64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́ Vladimir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Saverio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Salzo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Massimiliano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Pontil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Batch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Greenkhorn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Algorithm for Entropic-Regularized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Multimarginal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Optimal Transport: Linear Rate of Convergence and Iteration Complexity, Proceedings of the 39th International Conference on Machine Learning, PMLR 162:11529-11558 (2022)  </w:t>
            </w:r>
          </w:p>
        </w:tc>
      </w:tr>
      <w:tr w:rsidR="00037E64" w:rsidTr="004F2B6B">
        <w:trPr>
          <w:trHeight w:val="317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037E64" w:rsidTr="004F2B6B">
        <w:trPr>
          <w:trHeight w:val="264"/>
        </w:trPr>
        <w:tc>
          <w:tcPr>
            <w:tcW w:w="4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 (262), Scopus</w:t>
            </w:r>
          </w:p>
        </w:tc>
      </w:tr>
      <w:tr w:rsidR="00037E64" w:rsidTr="004F2B6B">
        <w:trPr>
          <w:trHeight w:val="255"/>
        </w:trPr>
        <w:tc>
          <w:tcPr>
            <w:tcW w:w="4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0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037E64" w:rsidTr="004F2B6B">
        <w:trPr>
          <w:trHeight w:val="278"/>
        </w:trPr>
        <w:tc>
          <w:tcPr>
            <w:tcW w:w="4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037E64" w:rsidTr="004F2B6B">
        <w:trPr>
          <w:trHeight w:val="363"/>
        </w:trPr>
        <w:tc>
          <w:tcPr>
            <w:tcW w:w="2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8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pStyle w:val="Default"/>
              <w:widowControl w:val="0"/>
              <w:spacing w:before="0" w:after="240" w:line="240" w:lineRule="auto"/>
            </w:pPr>
            <w:r>
              <w:rPr>
                <w:rFonts w:ascii="Times Roman" w:hAnsi="Times Roman"/>
                <w:sz w:val="20"/>
                <w:szCs w:val="20"/>
              </w:rPr>
              <w:t xml:space="preserve">2013/14 Fellow of IMU Berlin Einstein Foundation Program, Technical University Berlin, Germany </w:t>
            </w:r>
          </w:p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Roman" w:hAnsi="Times Roman"/>
                <w:sz w:val="20"/>
                <w:szCs w:val="20"/>
              </w:rPr>
              <w:t xml:space="preserve">2020-2022 Researcher in Machine Learning and Statistical Computing, Italian Institute of Technology, </w:t>
            </w:r>
            <w:proofErr w:type="spellStart"/>
            <w:r>
              <w:rPr>
                <w:rFonts w:ascii="Times Roman" w:hAnsi="Times Roman"/>
                <w:sz w:val="20"/>
                <w:szCs w:val="20"/>
              </w:rPr>
              <w:t>Genova</w:t>
            </w:r>
            <w:proofErr w:type="spellEnd"/>
            <w:r>
              <w:rPr>
                <w:rFonts w:ascii="Times Roman" w:hAnsi="Times Roman"/>
                <w:sz w:val="20"/>
                <w:szCs w:val="20"/>
              </w:rPr>
              <w:t>, Italy</w:t>
            </w:r>
          </w:p>
        </w:tc>
      </w:tr>
      <w:tr w:rsidR="00037E64" w:rsidTr="004F2B6B">
        <w:trPr>
          <w:trHeight w:val="269"/>
        </w:trPr>
        <w:tc>
          <w:tcPr>
            <w:tcW w:w="1020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64" w:rsidRDefault="000C7EF7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037E64" w:rsidRDefault="00037E6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037E64" w:rsidSect="00037E64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charset w:val="00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F34ED"/>
    <w:multiLevelType w:val="multilevel"/>
    <w:tmpl w:val="5B2C0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C93D25"/>
    <w:multiLevelType w:val="multilevel"/>
    <w:tmpl w:val="D924F0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037E64"/>
    <w:rsid w:val="00037E64"/>
    <w:rsid w:val="000C7EF7"/>
    <w:rsid w:val="004F2B6B"/>
    <w:rsid w:val="00FF4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6B17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11FB"/>
    <w:rPr>
      <w:color w:val="954F72" w:themeColor="followedHyperlink"/>
      <w:u w:val="single"/>
    </w:rPr>
  </w:style>
  <w:style w:type="paragraph" w:customStyle="1" w:styleId="Heading">
    <w:name w:val="Heading"/>
    <w:basedOn w:val="Normal"/>
    <w:next w:val="BodyText"/>
    <w:qFormat/>
    <w:rsid w:val="00037E64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037E64"/>
    <w:pPr>
      <w:spacing w:after="140" w:line="276" w:lineRule="auto"/>
    </w:pPr>
  </w:style>
  <w:style w:type="paragraph" w:styleId="List">
    <w:name w:val="List"/>
    <w:basedOn w:val="BodyText"/>
    <w:rsid w:val="00037E64"/>
    <w:rPr>
      <w:rFonts w:cs="Noto Sans Devanagari"/>
    </w:rPr>
  </w:style>
  <w:style w:type="paragraph" w:styleId="Caption">
    <w:name w:val="caption"/>
    <w:basedOn w:val="Normal"/>
    <w:qFormat/>
    <w:rsid w:val="00037E6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037E64"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  <w:rsid w:val="00037E64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85A8B"/>
    <w:pPr>
      <w:spacing w:beforeAutospacing="1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BF364C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nla.21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laa.2018.08.0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cam.2020.113265" TargetMode="External"/><Relationship Id="rId5" Type="http://schemas.openxmlformats.org/officeDocument/2006/relationships/hyperlink" Target="https://doi.org/10.1007/s11075-022-01468-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SK</cp:lastModifiedBy>
  <cp:revision>4</cp:revision>
  <dcterms:created xsi:type="dcterms:W3CDTF">2023-07-09T22:11:00Z</dcterms:created>
  <dcterms:modified xsi:type="dcterms:W3CDTF">2023-11-03T09:51:00Z</dcterms:modified>
  <dc:language>en-GB</dc:language>
</cp:coreProperties>
</file>