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CA" w:rsidRDefault="00AB6DC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9" w:type="dxa"/>
        <w:tblLayout w:type="fixed"/>
        <w:tblLook w:val="01E0"/>
      </w:tblPr>
      <w:tblGrid>
        <w:gridCol w:w="568"/>
        <w:gridCol w:w="1683"/>
        <w:gridCol w:w="267"/>
        <w:gridCol w:w="1052"/>
        <w:gridCol w:w="661"/>
        <w:gridCol w:w="154"/>
        <w:gridCol w:w="277"/>
        <w:gridCol w:w="1106"/>
        <w:gridCol w:w="172"/>
        <w:gridCol w:w="237"/>
        <w:gridCol w:w="1489"/>
        <w:gridCol w:w="884"/>
        <w:gridCol w:w="1656"/>
      </w:tblGrid>
      <w:tr w:rsidR="00AB6DCA">
        <w:trPr>
          <w:trHeight w:val="257"/>
        </w:trPr>
        <w:tc>
          <w:tcPr>
            <w:tcW w:w="46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Загорка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Лозанов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Црвенковић</w:t>
            </w:r>
            <w:proofErr w:type="spellEnd"/>
          </w:p>
        </w:tc>
      </w:tr>
      <w:tr w:rsidR="00AB6DCA">
        <w:trPr>
          <w:trHeight w:val="247"/>
        </w:trPr>
        <w:tc>
          <w:tcPr>
            <w:tcW w:w="46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AB6DCA">
        <w:trPr>
          <w:trHeight w:val="427"/>
        </w:trPr>
        <w:tc>
          <w:tcPr>
            <w:tcW w:w="46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Природно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математички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</w:p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22D3E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proofErr w:type="gram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1980.</w:t>
            </w:r>
          </w:p>
        </w:tc>
      </w:tr>
      <w:tr w:rsidR="00AB6DCA">
        <w:trPr>
          <w:trHeight w:val="272"/>
        </w:trPr>
        <w:tc>
          <w:tcPr>
            <w:tcW w:w="46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AB6DCA">
        <w:trPr>
          <w:trHeight w:val="249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AB6DCA" w:rsidTr="00322D3E">
        <w:trPr>
          <w:trHeight w:val="238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 w:rsidP="00322D3E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 w:rsidP="00322D3E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B6DCA">
        <w:trPr>
          <w:trHeight w:val="274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1999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6DCA">
        <w:trPr>
          <w:trHeight w:val="265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1989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6DCA">
        <w:trPr>
          <w:trHeight w:val="231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1983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6DCA">
        <w:trPr>
          <w:trHeight w:val="197"/>
        </w:trPr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1979</w:t>
            </w:r>
          </w:p>
        </w:tc>
        <w:tc>
          <w:tcPr>
            <w:tcW w:w="21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AB6D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6DCA">
        <w:trPr>
          <w:trHeight w:val="314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B6DCA" w:rsidTr="00322D3E">
        <w:trPr>
          <w:trHeight w:val="3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 w:rsidP="00322D3E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 w:rsidRPr="00322D3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</w:tr>
      <w:tr w:rsidR="00AB6DCA">
        <w:trPr>
          <w:trHeight w:val="2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P116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Пројекат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примењене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статистике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Style w:val="ng-binding"/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 w:rsidRPr="00322D3E">
              <w:rPr>
                <w:rStyle w:val="ng-binding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Style w:val="ng-binding"/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IH052, OM0019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Статистика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Основне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академске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студије-Хемија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DD0031</w:t>
            </w:r>
          </w:p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IM0026, M319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Статистика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ОАС МАС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MN0008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Статистичко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моделирање</w:t>
            </w:r>
            <w:proofErr w:type="spellEnd"/>
          </w:p>
        </w:tc>
        <w:tc>
          <w:tcPr>
            <w:tcW w:w="1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математике</w:t>
            </w:r>
            <w:proofErr w:type="spellEnd"/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AB6DCA">
        <w:trPr>
          <w:trHeight w:val="427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Milovanćev, A., Miljković, T., Petrović, M., Kovačević, M., Ilić, A., Bjelobrk, M., 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Lozanov-Crvenković Z.,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Stojšić-Milosavljević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A., 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Tadić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 S. and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Bulatović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T. (2022)</w:t>
            </w:r>
            <w:proofErr w:type="gramStart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  </w:t>
            </w:r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Impact</w:t>
            </w:r>
            <w:proofErr w:type="gram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the COVID-19 Pandemic on Cardiology Emergency Department Visits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. International Heart Journal, 63 (4), pp. 749-754   </w:t>
            </w:r>
            <w:r w:rsidRPr="00322D3E">
              <w:rPr>
                <w:rStyle w:val="id-label"/>
                <w:rFonts w:ascii="Times New Roman" w:hAnsi="Times New Roman"/>
                <w:sz w:val="20"/>
                <w:szCs w:val="20"/>
                <w:u w:val="single"/>
              </w:rPr>
              <w:t xml:space="preserve">DOI: </w:t>
            </w:r>
            <w:hyperlink r:id="rId5" w:tgtFrame="_blank">
              <w:r w:rsidRPr="00322D3E"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</w:rPr>
                <w:t xml:space="preserve">10.1536/ihj.21-750 </w:t>
              </w:r>
            </w:hyperlink>
            <w:r w:rsidRPr="00322D3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M23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 xml:space="preserve">S.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Medić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, C.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Anastassopoulou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Z.Lozanov-Crvenković</w:t>
            </w:r>
            <w:proofErr w:type="spellEnd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 V.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Vuković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, N.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Dragnić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, V.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, M.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Ristić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, T.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Pustahija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, Z.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Gojković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, A.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Tsakris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 J. P A Ioannidis. (2022) </w:t>
            </w:r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Risk and severity of SARS-CoV-2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reinfections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during2020−2022 in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Vojvodina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, Serbia: A population-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levelobservational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study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>. The Lancet Regional Health -Europe, </w:t>
            </w:r>
            <w:r w:rsidRPr="00322D3E">
              <w:rPr>
                <w:rStyle w:val="cit"/>
                <w:rFonts w:ascii="Times New Roman" w:hAnsi="Times New Roman"/>
                <w:sz w:val="20"/>
                <w:szCs w:val="20"/>
              </w:rPr>
              <w:t>20:100453,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 M23       </w:t>
            </w:r>
            <w:r w:rsidRPr="00322D3E">
              <w:rPr>
                <w:rStyle w:val="id-label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DOI: </w:t>
            </w:r>
            <w:hyperlink r:id="rId6" w:tgtFrame="_blank">
              <w:r w:rsidRPr="00322D3E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10.1016/j.lanepe.2022.100453 </w:t>
              </w:r>
            </w:hyperlink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322D3E">
              <w:rPr>
                <w:rStyle w:val="Hyperlink"/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M53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Gvozdenac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S. M,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Milovac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Ž., Vidal S., </w:t>
            </w:r>
            <w:proofErr w:type="spell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Lozanov-Crvenković</w:t>
            </w:r>
            <w:proofErr w:type="spellEnd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Z.,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Franeta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Štajner-Papuga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Ovuka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J. S,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Cvejić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Comparison of Chemical and Biological Wireworm Control Options in Serbian Sunflower Fields and a Proposition for a Refined Wireworm Damage Assessment 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Agronomy-Basel (ISSN: 2073-4395). </w:t>
            </w:r>
            <w:proofErr w:type="spellStart"/>
            <w:proofErr w:type="gramStart"/>
            <w:r w:rsidRPr="00322D3E">
              <w:rPr>
                <w:rFonts w:ascii="Times New Roman" w:hAnsi="Times New Roman"/>
                <w:sz w:val="20"/>
                <w:szCs w:val="20"/>
              </w:rPr>
              <w:t>Vol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;12</w:t>
            </w:r>
            <w:proofErr w:type="gram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.. No: 4, pp. 758-779, (2022) M21   </w:t>
            </w:r>
            <w:r w:rsidRPr="00322D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DOI: </w:t>
            </w:r>
            <w:hyperlink r:id="rId7" w:tgtFrame="_blank">
              <w:r w:rsidRPr="00322D3E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10.3390/agronomy12040758</w:t>
              </w:r>
            </w:hyperlink>
            <w:r w:rsidRPr="00322D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Iilć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M.,</w:t>
            </w:r>
            <w:proofErr w:type="gramStart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 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Grujičić</w:t>
            </w:r>
            <w:proofErr w:type="spellEnd"/>
            <w:proofErr w:type="gramEnd"/>
            <w:r w:rsidRPr="00322D3E">
              <w:rPr>
                <w:rFonts w:ascii="Times New Roman" w:hAnsi="Times New Roman"/>
                <w:sz w:val="20"/>
                <w:szCs w:val="20"/>
              </w:rPr>
              <w:t>, M.,  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Novaković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B., 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Vrkatić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 A. and </w:t>
            </w:r>
            <w:proofErr w:type="spell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Lozanov-Crvenković</w:t>
            </w:r>
            <w:proofErr w:type="spellEnd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, Z.,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> (2022) </w:t>
            </w:r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Cigarette Smoking among Medical Students from the Western Balkan. 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>International Journal of Environmental Research and Public Health, 19 (5), pp. 3055-3071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</w:t>
            </w:r>
            <w:r w:rsidRPr="00322D3E">
              <w:rPr>
                <w:rStyle w:val="id-label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DOI: </w:t>
            </w:r>
            <w:hyperlink r:id="rId8" w:tgtFrame="_blank">
              <w:r w:rsidRPr="00322D3E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10.3390/ijerph19053055 </w:t>
              </w:r>
            </w:hyperlink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Medić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V.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Lozanov-Crvenković</w:t>
            </w:r>
            <w:proofErr w:type="spellEnd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Z.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Brkić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S., Andrews N., de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Ory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Anastassopoulou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C.,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Seroepidemiology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varicella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zoster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virusinfection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in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Vojvodina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, Serbia</w:t>
            </w:r>
          </w:p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Epidemiology and Infection (ISSN: 0950-2688), Vol.:  146, No:: 12, pp. 1593-1601(2018)</w:t>
            </w:r>
          </w:p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22D3E">
              <w:rPr>
                <w:rStyle w:val="id-label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DOI: </w:t>
            </w:r>
            <w:hyperlink r:id="rId9" w:tgtFrame="_blank">
              <w:r w:rsidRPr="00322D3E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10.1017/S0950268818001619 </w:t>
              </w:r>
            </w:hyperlink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Pr="00322D3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M22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Medić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Katsilieris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 M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., </w:t>
            </w:r>
            <w:proofErr w:type="spell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Lozanov-Crvenković</w:t>
            </w:r>
            <w:proofErr w:type="spellEnd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Z.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Siettos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C.,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Milošević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Brkić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Andews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Ubavić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M. and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Anastassopoulou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 C. (2018)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Varicella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zoster virus transmission dynamics in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Vojvodina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, Serbia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Plos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one, 13 (3), pp. 1-13   </w:t>
            </w:r>
            <w:proofErr w:type="spellStart"/>
            <w:r w:rsidRPr="00322D3E">
              <w:rPr>
                <w:rStyle w:val="doi"/>
                <w:rFonts w:ascii="Times New Roman" w:hAnsi="Times New Roman"/>
                <w:color w:val="000000" w:themeColor="text1"/>
                <w:sz w:val="20"/>
                <w:szCs w:val="20"/>
              </w:rPr>
              <w:t>doi</w:t>
            </w:r>
            <w:proofErr w:type="spellEnd"/>
            <w:r w:rsidRPr="00322D3E">
              <w:rPr>
                <w:rStyle w:val="doi"/>
                <w:rFonts w:ascii="Times New Roman" w:hAnsi="Times New Roman"/>
                <w:color w:val="000000" w:themeColor="text1"/>
                <w:sz w:val="20"/>
                <w:szCs w:val="20"/>
              </w:rPr>
              <w:t>: </w:t>
            </w:r>
            <w:hyperlink r:id="rId10" w:tgtFrame="_blank">
              <w:r w:rsidRPr="00322D3E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</w:rPr>
                <w:t>10.1371/journal.pone.0193838</w:t>
              </w:r>
            </w:hyperlink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Grujić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G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., </w:t>
            </w:r>
            <w:proofErr w:type="spell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Lozanov-Crvenković</w:t>
            </w:r>
            <w:proofErr w:type="spellEnd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, Z.</w:t>
            </w:r>
            <w:proofErr w:type="gram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> .</w:t>
            </w:r>
            <w:proofErr w:type="gram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22D3E">
              <w:rPr>
                <w:rFonts w:ascii="Times New Roman" w:hAnsi="Times New Roman"/>
                <w:sz w:val="20"/>
                <w:szCs w:val="20"/>
              </w:rPr>
              <w:t>and</w:t>
            </w:r>
            <w:proofErr w:type="gram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Štajnet-Papuga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I. (2017) General fuzzy integral as a base for estimation of fuzzy quantities. </w:t>
            </w:r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Fuzzy Sets and Systems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, 326, pp. 69-80 </w:t>
            </w:r>
            <w:hyperlink r:id="rId11">
              <w:r w:rsidRPr="00322D3E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https://doi.org/10.1016/j.fss.2017.05.026</w:t>
              </w:r>
            </w:hyperlink>
            <w:r w:rsidRPr="00322D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M21a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Jakovljević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Lozanov-Crvenković</w:t>
            </w:r>
            <w:proofErr w:type="spellEnd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Z.,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Water quality changes after </w:t>
            </w:r>
            <w:proofErr w:type="spellStart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Kraljevo</w:t>
            </w:r>
            <w:proofErr w:type="spellEnd"/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earthquake in 2010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>, Natural Hazards, Springer, Volume 79, Issue 3 (2015), pp 2033-2053,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</w:t>
            </w:r>
            <w:r w:rsidRPr="00322D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DOI: </w:t>
            </w:r>
            <w:hyperlink r:id="rId12" w:tgtFrame="_blank">
              <w:r w:rsidRPr="00322D3E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</w:rPr>
                <w:t>10.1007/s11069-015-1943-z</w:t>
              </w:r>
            </w:hyperlink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M21</w:t>
            </w:r>
          </w:p>
        </w:tc>
      </w:tr>
      <w:tr w:rsidR="00AB6DCA">
        <w:trPr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AB6D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Jakovljević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A., 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Bogavac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M., </w:t>
            </w:r>
            <w:proofErr w:type="spellStart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Lozanov-Crvenković</w:t>
            </w:r>
            <w:proofErr w:type="spellEnd"/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Z.,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Milišević-Tomić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>, M., 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 A. and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Mitić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, G. (2017) Early pregnancy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angiogenic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proteins levels and pregnancy related hypertensive disorders. </w:t>
            </w:r>
            <w:r w:rsidRPr="00322D3E">
              <w:rPr>
                <w:rFonts w:ascii="Times New Roman" w:hAnsi="Times New Roman"/>
                <w:i/>
                <w:iCs/>
                <w:sz w:val="20"/>
                <w:szCs w:val="20"/>
              </w:rPr>
              <w:t>Journal of Maternal-Fetal and Neonatal Medicine</w:t>
            </w:r>
            <w:r w:rsidRPr="00322D3E">
              <w:rPr>
                <w:rFonts w:ascii="Times New Roman" w:hAnsi="Times New Roman"/>
                <w:sz w:val="20"/>
                <w:szCs w:val="20"/>
              </w:rPr>
              <w:t xml:space="preserve">, 30 (5), pp. 534-539   </w:t>
            </w:r>
            <w:r w:rsidRPr="00322D3E">
              <w:rPr>
                <w:rStyle w:val="id-label"/>
                <w:rFonts w:ascii="Times New Roman" w:hAnsi="Times New Roman"/>
                <w:sz w:val="20"/>
                <w:szCs w:val="20"/>
              </w:rPr>
              <w:t>D</w:t>
            </w:r>
            <w:r w:rsidRPr="00322D3E">
              <w:rPr>
                <w:rStyle w:val="id-label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OI: </w:t>
            </w:r>
            <w:hyperlink r:id="rId13" w:tgtFrame="_blank">
              <w:r w:rsidRPr="00322D3E">
                <w:rPr>
                  <w:rStyle w:val="Hyperlink"/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10.1080/14767058.2016.1177814 </w:t>
              </w:r>
            </w:hyperlink>
            <w:r w:rsidRPr="00322D3E">
              <w:rPr>
                <w:rStyle w:val="Hyperlink"/>
                <w:rFonts w:ascii="Times New Roman" w:hAnsi="Times New Roman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322D3E">
              <w:rPr>
                <w:rFonts w:ascii="Times New Roman" w:hAnsi="Times New Roman"/>
                <w:b/>
                <w:bCs/>
                <w:sz w:val="20"/>
                <w:szCs w:val="20"/>
              </w:rPr>
              <w:t>M22</w:t>
            </w:r>
          </w:p>
        </w:tc>
      </w:tr>
      <w:tr w:rsidR="00AB6DCA">
        <w:trPr>
          <w:trHeight w:val="317"/>
        </w:trPr>
        <w:tc>
          <w:tcPr>
            <w:tcW w:w="1020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</w:p>
        </w:tc>
      </w:tr>
      <w:tr w:rsidR="00AB6DCA">
        <w:trPr>
          <w:trHeight w:val="264"/>
        </w:trPr>
        <w:tc>
          <w:tcPr>
            <w:tcW w:w="4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8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178 (144)</w:t>
            </w:r>
          </w:p>
        </w:tc>
      </w:tr>
      <w:tr w:rsidR="00AB6DCA">
        <w:trPr>
          <w:trHeight w:val="255"/>
        </w:trPr>
        <w:tc>
          <w:tcPr>
            <w:tcW w:w="4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8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322D3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AB6DCA">
        <w:trPr>
          <w:trHeight w:val="278"/>
        </w:trPr>
        <w:tc>
          <w:tcPr>
            <w:tcW w:w="43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 w:rsidRPr="00322D3E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DCA" w:rsidRPr="00322D3E" w:rsidRDefault="008C4705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2D3E"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</w:tbl>
    <w:p w:rsidR="00AB6DCA" w:rsidRDefault="00AB6DC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AB6DCA" w:rsidSect="00AB6DC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84667"/>
    <w:multiLevelType w:val="multilevel"/>
    <w:tmpl w:val="3754F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B87934"/>
    <w:multiLevelType w:val="multilevel"/>
    <w:tmpl w:val="02E215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AB6DCA"/>
    <w:rsid w:val="00322D3E"/>
    <w:rsid w:val="008C4705"/>
    <w:rsid w:val="00AB6DCA"/>
    <w:rsid w:val="00EC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customStyle="1" w:styleId="id-label">
    <w:name w:val="id-label"/>
    <w:basedOn w:val="DefaultParagraphFont"/>
    <w:qFormat/>
    <w:rsid w:val="008E41A8"/>
  </w:style>
  <w:style w:type="character" w:customStyle="1" w:styleId="cit">
    <w:name w:val="cit"/>
    <w:basedOn w:val="DefaultParagraphFont"/>
    <w:qFormat/>
    <w:rsid w:val="008E41A8"/>
  </w:style>
  <w:style w:type="character" w:customStyle="1" w:styleId="doi">
    <w:name w:val="doi"/>
    <w:basedOn w:val="DefaultParagraphFont"/>
    <w:qFormat/>
    <w:rsid w:val="008E41A8"/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E45D4B"/>
    <w:rPr>
      <w:color w:val="605E5C"/>
      <w:shd w:val="clear" w:color="auto" w:fill="E1DFDD"/>
    </w:rPr>
  </w:style>
  <w:style w:type="character" w:customStyle="1" w:styleId="identifier">
    <w:name w:val="identifier"/>
    <w:basedOn w:val="DefaultParagraphFont"/>
    <w:qFormat/>
    <w:rsid w:val="00AE5272"/>
  </w:style>
  <w:style w:type="character" w:customStyle="1" w:styleId="ng-binding">
    <w:name w:val="ng-binding"/>
    <w:basedOn w:val="DefaultParagraphFont"/>
    <w:qFormat/>
    <w:rsid w:val="00F666C4"/>
  </w:style>
  <w:style w:type="paragraph" w:customStyle="1" w:styleId="Heading">
    <w:name w:val="Heading"/>
    <w:basedOn w:val="Normal"/>
    <w:next w:val="BodyText"/>
    <w:qFormat/>
    <w:rsid w:val="00AB6DCA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AB6DCA"/>
    <w:pPr>
      <w:spacing w:after="140" w:line="276" w:lineRule="auto"/>
    </w:pPr>
  </w:style>
  <w:style w:type="paragraph" w:styleId="List">
    <w:name w:val="List"/>
    <w:basedOn w:val="BodyText"/>
    <w:rsid w:val="00AB6DCA"/>
    <w:rPr>
      <w:rFonts w:cs="Noto Sans Devanagari"/>
    </w:rPr>
  </w:style>
  <w:style w:type="paragraph" w:styleId="Caption">
    <w:name w:val="caption"/>
    <w:basedOn w:val="Normal"/>
    <w:qFormat/>
    <w:rsid w:val="00AB6DC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B6DCA"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  <w:rsid w:val="00AB6DCA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52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ijerph19053055" TargetMode="External"/><Relationship Id="rId13" Type="http://schemas.openxmlformats.org/officeDocument/2006/relationships/hyperlink" Target="https://doi.org/10.1080/14767058.2016.11778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3390/agronomy12040758" TargetMode="External"/><Relationship Id="rId12" Type="http://schemas.openxmlformats.org/officeDocument/2006/relationships/hyperlink" Target="http://dx.doi.org/10.1007/s11069-015-1943-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lanepe.2022.100453" TargetMode="External"/><Relationship Id="rId11" Type="http://schemas.openxmlformats.org/officeDocument/2006/relationships/hyperlink" Target="https://doi.org/10.1016/j.fss.2017.05.026" TargetMode="External"/><Relationship Id="rId5" Type="http://schemas.openxmlformats.org/officeDocument/2006/relationships/hyperlink" Target="https://doi.org/10.1536/ihj.21-75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i.org/10.1371%2Fjournal.pone.0193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7/s09502688180016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683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SK</cp:lastModifiedBy>
  <cp:revision>3</cp:revision>
  <dcterms:created xsi:type="dcterms:W3CDTF">2023-07-09T22:05:00Z</dcterms:created>
  <dcterms:modified xsi:type="dcterms:W3CDTF">2023-11-03T09:52:00Z</dcterms:modified>
  <dc:language>en-GB</dc:language>
</cp:coreProperties>
</file>