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260"/>
        <w:gridCol w:w="1080"/>
        <w:gridCol w:w="1080"/>
        <w:gridCol w:w="990"/>
        <w:gridCol w:w="1620"/>
        <w:gridCol w:w="2898"/>
      </w:tblGrid>
      <w:tr w:rsidR="00BB1FDF" w:rsidRPr="0063306C" w:rsidTr="003B775F">
        <w:trPr>
          <w:trHeight w:val="227"/>
        </w:trPr>
        <w:tc>
          <w:tcPr>
            <w:tcW w:w="4068" w:type="dxa"/>
            <w:gridSpan w:val="4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Име и презиме </w:t>
            </w:r>
          </w:p>
        </w:tc>
        <w:tc>
          <w:tcPr>
            <w:tcW w:w="5508" w:type="dxa"/>
            <w:gridSpan w:val="3"/>
            <w:vAlign w:val="center"/>
          </w:tcPr>
          <w:p w:rsidR="00BB1FDF" w:rsidRPr="00690A81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90A81">
              <w:rPr>
                <w:rFonts w:ascii="Times New Roman" w:hAnsi="Times New Roman" w:cs="Times New Roman"/>
                <w:sz w:val="20"/>
                <w:szCs w:val="22"/>
              </w:rPr>
              <w:t>Maркo</w:t>
            </w:r>
            <w:proofErr w:type="spellEnd"/>
            <w:r w:rsidRPr="00690A81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90A81">
              <w:rPr>
                <w:rFonts w:ascii="Times New Roman" w:hAnsi="Times New Roman" w:cs="Times New Roman"/>
                <w:sz w:val="20"/>
                <w:szCs w:val="22"/>
              </w:rPr>
              <w:t>Шкoрић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4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Звање</w:t>
            </w:r>
          </w:p>
        </w:tc>
        <w:tc>
          <w:tcPr>
            <w:tcW w:w="5508" w:type="dxa"/>
            <w:gridSpan w:val="3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Ванредни професор</w:t>
            </w:r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4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508" w:type="dxa"/>
            <w:gridSpan w:val="3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Филозофски факултет</w:t>
            </w:r>
          </w:p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Одсек за социологију</w:t>
            </w:r>
          </w:p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Нови Сад, 2003.</w:t>
            </w:r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4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Ужа научна односно уметничка област</w:t>
            </w:r>
          </w:p>
        </w:tc>
        <w:tc>
          <w:tcPr>
            <w:tcW w:w="5508" w:type="dxa"/>
            <w:gridSpan w:val="3"/>
            <w:tcBorders>
              <w:bottom w:val="single" w:sz="4" w:space="0" w:color="auto"/>
            </w:tcBorders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Социологијa</w:t>
            </w:r>
          </w:p>
        </w:tc>
      </w:tr>
      <w:tr w:rsidR="00BB1FDF" w:rsidRPr="0063306C" w:rsidTr="003B775F">
        <w:trPr>
          <w:trHeight w:val="227"/>
        </w:trPr>
        <w:tc>
          <w:tcPr>
            <w:tcW w:w="9576" w:type="dxa"/>
            <w:gridSpan w:val="7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Академска каријера</w:t>
            </w:r>
          </w:p>
        </w:tc>
      </w:tr>
      <w:tr w:rsidR="00BB1FDF" w:rsidRPr="0063306C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</w:p>
        </w:tc>
        <w:tc>
          <w:tcPr>
            <w:tcW w:w="1080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Година </w:t>
            </w:r>
          </w:p>
        </w:tc>
        <w:tc>
          <w:tcPr>
            <w:tcW w:w="3690" w:type="dxa"/>
            <w:gridSpan w:val="3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Институција </w:t>
            </w:r>
          </w:p>
        </w:tc>
        <w:tc>
          <w:tcPr>
            <w:tcW w:w="289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Област </w:t>
            </w:r>
          </w:p>
        </w:tc>
      </w:tr>
      <w:tr w:rsidR="00BB1FDF" w:rsidRPr="0063306C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Избор у звање</w:t>
            </w:r>
          </w:p>
        </w:tc>
        <w:tc>
          <w:tcPr>
            <w:tcW w:w="1080" w:type="dxa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2016.</w:t>
            </w:r>
          </w:p>
        </w:tc>
        <w:tc>
          <w:tcPr>
            <w:tcW w:w="3690" w:type="dxa"/>
            <w:gridSpan w:val="3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Филoзoфски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фaкултeт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Нoви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Сaд</w:t>
            </w:r>
            <w:proofErr w:type="spellEnd"/>
          </w:p>
        </w:tc>
        <w:tc>
          <w:tcPr>
            <w:tcW w:w="2898" w:type="dxa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i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Социологијa</w:t>
            </w:r>
          </w:p>
        </w:tc>
      </w:tr>
      <w:tr w:rsidR="00BB1FDF" w:rsidRPr="0063306C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Докторат</w:t>
            </w:r>
          </w:p>
        </w:tc>
        <w:tc>
          <w:tcPr>
            <w:tcW w:w="1080" w:type="dxa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 xml:space="preserve">2011. </w:t>
            </w:r>
          </w:p>
        </w:tc>
        <w:tc>
          <w:tcPr>
            <w:tcW w:w="3690" w:type="dxa"/>
            <w:gridSpan w:val="3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Филoзoфски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фaкултeт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Нoви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Сaд</w:t>
            </w:r>
            <w:proofErr w:type="spellEnd"/>
          </w:p>
        </w:tc>
        <w:tc>
          <w:tcPr>
            <w:tcW w:w="2898" w:type="dxa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Социологијa</w:t>
            </w:r>
          </w:p>
        </w:tc>
      </w:tr>
      <w:tr w:rsidR="00BB1FDF" w:rsidRPr="0063306C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Магистратура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2007.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Филoзoфски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фaкултeт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Нoви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Сaд</w:t>
            </w:r>
            <w:proofErr w:type="spellEnd"/>
          </w:p>
        </w:tc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Социологијa</w:t>
            </w:r>
          </w:p>
        </w:tc>
      </w:tr>
      <w:tr w:rsidR="00BB1FDF" w:rsidRPr="0063306C" w:rsidTr="003B775F">
        <w:trPr>
          <w:trHeight w:val="227"/>
        </w:trPr>
        <w:tc>
          <w:tcPr>
            <w:tcW w:w="190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Диплома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2002.</w:t>
            </w: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Филoзoфски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фaкултeт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Нoви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Сaд</w:t>
            </w:r>
            <w:proofErr w:type="spellEnd"/>
          </w:p>
        </w:tc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Социологијa</w:t>
            </w:r>
          </w:p>
        </w:tc>
      </w:tr>
      <w:tr w:rsidR="00BB1FDF" w:rsidRPr="0063306C" w:rsidTr="003B775F">
        <w:trPr>
          <w:trHeight w:val="227"/>
        </w:trPr>
        <w:tc>
          <w:tcPr>
            <w:tcW w:w="9576" w:type="dxa"/>
            <w:gridSpan w:val="7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Списак предмета које наставник држи у текућој школској години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Р.Б.</w:t>
            </w:r>
          </w:p>
        </w:tc>
        <w:tc>
          <w:tcPr>
            <w:tcW w:w="4410" w:type="dxa"/>
            <w:gridSpan w:val="4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назив предмета     </w:t>
            </w:r>
          </w:p>
        </w:tc>
        <w:tc>
          <w:tcPr>
            <w:tcW w:w="4518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iCs/>
                <w:color w:val="auto"/>
                <w:kern w:val="0"/>
                <w:sz w:val="20"/>
                <w:szCs w:val="22"/>
                <w:lang w:val="sr-Cyrl-CS" w:eastAsia="en-US" w:bidi="ar-SA"/>
              </w:rPr>
              <w:t>врста студија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1.</w:t>
            </w:r>
          </w:p>
        </w:tc>
        <w:tc>
          <w:tcPr>
            <w:tcW w:w="4410" w:type="dxa"/>
            <w:gridSpan w:val="4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Друштвене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теорије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антике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и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средњег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века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2.</w:t>
            </w:r>
          </w:p>
        </w:tc>
        <w:tc>
          <w:tcPr>
            <w:tcW w:w="4410" w:type="dxa"/>
            <w:gridSpan w:val="4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Друштвене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теорије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новог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века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3.</w:t>
            </w:r>
          </w:p>
        </w:tc>
        <w:tc>
          <w:tcPr>
            <w:tcW w:w="4410" w:type="dxa"/>
            <w:gridSpan w:val="4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Увод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у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антропологију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4.</w:t>
            </w:r>
          </w:p>
        </w:tc>
        <w:tc>
          <w:tcPr>
            <w:tcW w:w="4410" w:type="dxa"/>
            <w:gridSpan w:val="4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Историја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науке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widowControl/>
              <w:spacing w:before="20" w:after="20"/>
              <w:rPr>
                <w:rFonts w:ascii="Times New Roman" w:eastAsia="TimesNewRomanPSMT" w:hAnsi="Times New Roman" w:cs="Times New Roman"/>
                <w:sz w:val="20"/>
                <w:lang w:eastAsia="en-US"/>
              </w:rPr>
            </w:pP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Дипломирани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социолог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–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основне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студије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5.</w:t>
            </w:r>
          </w:p>
        </w:tc>
        <w:tc>
          <w:tcPr>
            <w:tcW w:w="4410" w:type="dxa"/>
            <w:gridSpan w:val="4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Савремене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социолошке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теорије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/>
              </w:rPr>
              <w:t>Дипломирани социолог – основне студије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>6.</w:t>
            </w:r>
          </w:p>
        </w:tc>
        <w:tc>
          <w:tcPr>
            <w:tcW w:w="4410" w:type="dxa"/>
            <w:gridSpan w:val="4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Социологија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науке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0"/>
                <w:lang w:eastAsia="en-US"/>
              </w:rPr>
            </w:pP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Дипломирани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социолог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–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основне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студије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>7.</w:t>
            </w:r>
          </w:p>
        </w:tc>
        <w:tc>
          <w:tcPr>
            <w:tcW w:w="4410" w:type="dxa"/>
            <w:gridSpan w:val="4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Постмодерне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социолошке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теорије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0"/>
                <w:lang w:eastAsia="en-US"/>
              </w:rPr>
            </w:pP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Мастер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социолог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–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мастер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студије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>8.</w:t>
            </w:r>
          </w:p>
        </w:tc>
        <w:tc>
          <w:tcPr>
            <w:tcW w:w="4410" w:type="dxa"/>
            <w:gridSpan w:val="4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Социологија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0"/>
                <w:lang w:eastAsia="en-US"/>
              </w:rPr>
            </w:pP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Географија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,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Професор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географије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–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основне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студије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>9.</w:t>
            </w:r>
          </w:p>
        </w:tc>
        <w:tc>
          <w:tcPr>
            <w:tcW w:w="4410" w:type="dxa"/>
            <w:gridSpan w:val="4"/>
            <w:vAlign w:val="center"/>
          </w:tcPr>
          <w:p w:rsidR="00BB1FDF" w:rsidRPr="0063306C" w:rsidRDefault="00BB1FDF" w:rsidP="003B775F">
            <w:pPr>
              <w:spacing w:before="20" w:after="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Социологија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у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туризму</w:t>
            </w:r>
            <w:proofErr w:type="spellEnd"/>
          </w:p>
        </w:tc>
        <w:tc>
          <w:tcPr>
            <w:tcW w:w="4518" w:type="dxa"/>
            <w:gridSpan w:val="2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eastAsia="TimesNewRomanPSMT" w:hAnsi="Times New Roman" w:cs="Times New Roman"/>
                <w:sz w:val="20"/>
                <w:lang w:eastAsia="en-US"/>
              </w:rPr>
            </w:pP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Дипломирани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туризмолог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–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основне</w:t>
            </w:r>
            <w:proofErr w:type="spellEnd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eastAsia="TimesNewRomanPSMT" w:hAnsi="Times New Roman" w:cs="Times New Roman"/>
                <w:sz w:val="20"/>
                <w:szCs w:val="22"/>
                <w:lang w:eastAsia="en-US"/>
              </w:rPr>
              <w:t>студије</w:t>
            </w:r>
            <w:proofErr w:type="spellEnd"/>
          </w:p>
        </w:tc>
      </w:tr>
      <w:tr w:rsidR="00BB1FDF" w:rsidRPr="0063306C" w:rsidTr="003B775F">
        <w:trPr>
          <w:trHeight w:val="227"/>
        </w:trPr>
        <w:tc>
          <w:tcPr>
            <w:tcW w:w="9576" w:type="dxa"/>
            <w:gridSpan w:val="7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>Репрезентативне референце (минимално 5 не више од 10)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1.</w:t>
            </w:r>
          </w:p>
        </w:tc>
        <w:tc>
          <w:tcPr>
            <w:tcW w:w="8928" w:type="dxa"/>
            <w:gridSpan w:val="6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Škorić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M. and A.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Kišjuhas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(2015). Magic social numbers: On the social geometry of human groups.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>Anthropos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110 (2): 489-501. (M23)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2.</w:t>
            </w:r>
          </w:p>
        </w:tc>
        <w:tc>
          <w:tcPr>
            <w:tcW w:w="8928" w:type="dxa"/>
            <w:gridSpan w:val="6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jc w:val="both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Škorić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M. (2013).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Teorija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selekcije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Georga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Simmela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.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>Filozofska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>istraživanja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 xml:space="preserve"> </w:t>
            </w:r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33 (2): 331-342. (M23)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3.</w:t>
            </w:r>
          </w:p>
        </w:tc>
        <w:tc>
          <w:tcPr>
            <w:tcW w:w="8928" w:type="dxa"/>
            <w:gridSpan w:val="6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jc w:val="both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Škorić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, M., A.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Kišjuhas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and J.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Škorić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(2013). "Excursus on the stranger" in the context of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Simmel's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sociology of space.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>Sociológia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</w:rPr>
              <w:t xml:space="preserve"> – Slovak Sociological Review</w:t>
            </w:r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45 (6): 589-602. (M23)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4.</w:t>
            </w:r>
          </w:p>
        </w:tc>
        <w:tc>
          <w:tcPr>
            <w:tcW w:w="8928" w:type="dxa"/>
            <w:gridSpan w:val="6"/>
            <w:shd w:val="clear" w:color="auto" w:fill="auto"/>
            <w:vAlign w:val="center"/>
          </w:tcPr>
          <w:p w:rsidR="00BB1FDF" w:rsidRPr="0063306C" w:rsidRDefault="00BB1FDF" w:rsidP="003B775F">
            <w:pPr>
              <w:pStyle w:val="Default"/>
              <w:spacing w:before="20" w:after="20"/>
              <w:rPr>
                <w:sz w:val="20"/>
                <w:szCs w:val="22"/>
              </w:rPr>
            </w:pPr>
            <w:r w:rsidRPr="0063306C">
              <w:rPr>
                <w:sz w:val="20"/>
                <w:szCs w:val="22"/>
                <w:lang w:val="sr-Cyrl-CS"/>
              </w:rPr>
              <w:t xml:space="preserve">Шкорић, М. (2016). Алфред Кребер и концепт суперорганског. </w:t>
            </w:r>
            <w:proofErr w:type="spellStart"/>
            <w:r w:rsidRPr="0063306C">
              <w:rPr>
                <w:i/>
                <w:sz w:val="20"/>
                <w:szCs w:val="22"/>
              </w:rPr>
              <w:t>Етноантрополошки</w:t>
            </w:r>
            <w:proofErr w:type="spellEnd"/>
            <w:r w:rsidRPr="0063306C">
              <w:rPr>
                <w:i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i/>
                <w:sz w:val="20"/>
                <w:szCs w:val="22"/>
              </w:rPr>
              <w:t>проблеми</w:t>
            </w:r>
            <w:proofErr w:type="spellEnd"/>
            <w:r w:rsidRPr="0063306C">
              <w:rPr>
                <w:i/>
                <w:sz w:val="20"/>
                <w:szCs w:val="22"/>
              </w:rPr>
              <w:t xml:space="preserve"> </w:t>
            </w:r>
            <w:r w:rsidRPr="0063306C">
              <w:rPr>
                <w:sz w:val="20"/>
                <w:szCs w:val="22"/>
              </w:rPr>
              <w:t>11 (1): 85-111. (М24)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5.</w:t>
            </w:r>
          </w:p>
        </w:tc>
        <w:tc>
          <w:tcPr>
            <w:tcW w:w="8928" w:type="dxa"/>
            <w:gridSpan w:val="6"/>
            <w:shd w:val="clear" w:color="auto" w:fill="auto"/>
            <w:vAlign w:val="center"/>
          </w:tcPr>
          <w:p w:rsidR="00BB1FDF" w:rsidRPr="0063306C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63306C">
              <w:rPr>
                <w:sz w:val="20"/>
                <w:szCs w:val="22"/>
                <w:lang w:val="sr-Cyrl-CS"/>
              </w:rPr>
              <w:t xml:space="preserve">Шкорић, М., А. Кишјухас и Ј. Шкорић (2014). Неки креационистички "аргументи" против биолошке (теорије) еволуције: критичка анализа. </w:t>
            </w:r>
            <w:proofErr w:type="spellStart"/>
            <w:r w:rsidRPr="0063306C">
              <w:rPr>
                <w:i/>
                <w:sz w:val="20"/>
                <w:szCs w:val="22"/>
              </w:rPr>
              <w:t>Теме</w:t>
            </w:r>
            <w:proofErr w:type="spellEnd"/>
            <w:r w:rsidRPr="0063306C">
              <w:rPr>
                <w:i/>
                <w:sz w:val="20"/>
                <w:szCs w:val="22"/>
              </w:rPr>
              <w:t xml:space="preserve"> </w:t>
            </w:r>
            <w:r w:rsidRPr="0063306C">
              <w:rPr>
                <w:sz w:val="20"/>
                <w:szCs w:val="22"/>
              </w:rPr>
              <w:t>38 (3): 977-998. (M24)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6.</w:t>
            </w:r>
          </w:p>
        </w:tc>
        <w:tc>
          <w:tcPr>
            <w:tcW w:w="8928" w:type="dxa"/>
            <w:gridSpan w:val="6"/>
            <w:shd w:val="clear" w:color="auto" w:fill="auto"/>
            <w:vAlign w:val="center"/>
          </w:tcPr>
          <w:p w:rsidR="00BB1FDF" w:rsidRPr="0063306C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63306C">
              <w:rPr>
                <w:sz w:val="20"/>
                <w:szCs w:val="22"/>
                <w:lang w:val="sr-Cyrl-CS"/>
              </w:rPr>
              <w:t xml:space="preserve">Шкорић, М. и А. Кишјухас (2014). Развој и метатеорија социологије револуција. </w:t>
            </w:r>
            <w:proofErr w:type="spellStart"/>
            <w:r w:rsidRPr="0063306C">
              <w:rPr>
                <w:i/>
                <w:sz w:val="20"/>
                <w:szCs w:val="22"/>
              </w:rPr>
              <w:t>Социолошки</w:t>
            </w:r>
            <w:proofErr w:type="spellEnd"/>
            <w:r w:rsidRPr="0063306C">
              <w:rPr>
                <w:i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i/>
                <w:sz w:val="20"/>
                <w:szCs w:val="22"/>
              </w:rPr>
              <w:t>преглед</w:t>
            </w:r>
            <w:proofErr w:type="spellEnd"/>
            <w:r w:rsidRPr="0063306C">
              <w:rPr>
                <w:i/>
                <w:sz w:val="20"/>
                <w:szCs w:val="22"/>
              </w:rPr>
              <w:t xml:space="preserve"> </w:t>
            </w:r>
            <w:r w:rsidRPr="0063306C">
              <w:rPr>
                <w:sz w:val="20"/>
                <w:szCs w:val="22"/>
              </w:rPr>
              <w:t>48 (3): 303-332. (M24)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7.</w:t>
            </w:r>
          </w:p>
        </w:tc>
        <w:tc>
          <w:tcPr>
            <w:tcW w:w="8928" w:type="dxa"/>
            <w:gridSpan w:val="6"/>
            <w:shd w:val="clear" w:color="auto" w:fill="auto"/>
            <w:vAlign w:val="center"/>
          </w:tcPr>
          <w:p w:rsidR="00BB1FDF" w:rsidRPr="0063306C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63306C">
              <w:rPr>
                <w:sz w:val="20"/>
                <w:szCs w:val="22"/>
                <w:lang w:val="sr-Cyrl-CS"/>
              </w:rPr>
              <w:t xml:space="preserve">Шкорић, М. и А. Кишјухас (2015). </w:t>
            </w:r>
            <w:r w:rsidRPr="0063306C">
              <w:rPr>
                <w:i/>
                <w:sz w:val="20"/>
                <w:szCs w:val="22"/>
                <w:lang w:val="sr-Cyrl-CS"/>
              </w:rPr>
              <w:t xml:space="preserve">Водич кроз идеологије </w:t>
            </w:r>
            <w:r w:rsidRPr="0063306C">
              <w:rPr>
                <w:i/>
                <w:sz w:val="20"/>
                <w:szCs w:val="22"/>
              </w:rPr>
              <w:t>II</w:t>
            </w:r>
            <w:r w:rsidRPr="0063306C">
              <w:rPr>
                <w:sz w:val="20"/>
                <w:szCs w:val="22"/>
                <w:lang w:val="sr-Cyrl-CS"/>
              </w:rPr>
              <w:t xml:space="preserve">. Нови Сад: АКО. </w:t>
            </w:r>
            <w:r w:rsidRPr="0063306C">
              <w:rPr>
                <w:sz w:val="20"/>
                <w:szCs w:val="22"/>
              </w:rPr>
              <w:t>(M42)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8.</w:t>
            </w:r>
          </w:p>
        </w:tc>
        <w:tc>
          <w:tcPr>
            <w:tcW w:w="8928" w:type="dxa"/>
            <w:gridSpan w:val="6"/>
            <w:shd w:val="clear" w:color="auto" w:fill="auto"/>
            <w:vAlign w:val="center"/>
          </w:tcPr>
          <w:p w:rsidR="00BB1FDF" w:rsidRPr="0063306C" w:rsidRDefault="00BB1FDF" w:rsidP="003B775F">
            <w:pPr>
              <w:pStyle w:val="Default"/>
              <w:spacing w:before="20" w:after="20"/>
              <w:jc w:val="both"/>
              <w:rPr>
                <w:sz w:val="20"/>
                <w:szCs w:val="22"/>
              </w:rPr>
            </w:pPr>
            <w:r w:rsidRPr="0063306C">
              <w:rPr>
                <w:sz w:val="20"/>
                <w:szCs w:val="22"/>
                <w:lang w:val="sr-Cyrl-CS"/>
              </w:rPr>
              <w:t xml:space="preserve">Шкорић, М. и А. Кишјухас (2014). </w:t>
            </w:r>
            <w:r w:rsidRPr="0063306C">
              <w:rPr>
                <w:i/>
                <w:sz w:val="20"/>
                <w:szCs w:val="22"/>
                <w:lang w:val="sr-Cyrl-CS"/>
              </w:rPr>
              <w:t xml:space="preserve">Водич кроз идеологије </w:t>
            </w:r>
            <w:r w:rsidRPr="0063306C">
              <w:rPr>
                <w:i/>
                <w:sz w:val="20"/>
                <w:szCs w:val="22"/>
              </w:rPr>
              <w:t>I</w:t>
            </w:r>
            <w:r w:rsidRPr="0063306C">
              <w:rPr>
                <w:sz w:val="20"/>
                <w:szCs w:val="22"/>
                <w:lang w:val="sr-Cyrl-CS"/>
              </w:rPr>
              <w:t xml:space="preserve">. Нови Сад: АКО. </w:t>
            </w:r>
            <w:r w:rsidRPr="0063306C">
              <w:rPr>
                <w:sz w:val="20"/>
                <w:szCs w:val="22"/>
              </w:rPr>
              <w:t>(M42)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9.</w:t>
            </w:r>
          </w:p>
        </w:tc>
        <w:tc>
          <w:tcPr>
            <w:tcW w:w="8928" w:type="dxa"/>
            <w:gridSpan w:val="6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 w:eastAsia="en-US"/>
              </w:rPr>
              <w:t xml:space="preserve">Шкорић, М. и А. Кишјухас (2012). </w:t>
            </w:r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val="sr-Cyrl-CS" w:eastAsia="en-US"/>
              </w:rPr>
              <w:t>Еволуција и природна селекција: од Анаксимандра до Дарвина</w:t>
            </w:r>
            <w:r w:rsidRPr="0063306C">
              <w:rPr>
                <w:rFonts w:ascii="Times New Roman" w:hAnsi="Times New Roman" w:cs="Times New Roman"/>
                <w:sz w:val="20"/>
                <w:szCs w:val="22"/>
                <w:lang w:val="sr-Cyrl-CS" w:eastAsia="en-US"/>
              </w:rPr>
              <w:t xml:space="preserve">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Нови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Сад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: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Mediterran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Publishing. (M42)</w:t>
            </w:r>
          </w:p>
        </w:tc>
      </w:tr>
      <w:tr w:rsidR="00BB1FDF" w:rsidRPr="0063306C" w:rsidTr="003B775F">
        <w:trPr>
          <w:trHeight w:val="227"/>
        </w:trPr>
        <w:tc>
          <w:tcPr>
            <w:tcW w:w="64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sr-Cyrl-CS" w:eastAsia="en-US" w:bidi="ar-SA"/>
              </w:rPr>
              <w:t>10.</w:t>
            </w:r>
          </w:p>
        </w:tc>
        <w:tc>
          <w:tcPr>
            <w:tcW w:w="8928" w:type="dxa"/>
            <w:gridSpan w:val="6"/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  <w:lang w:val="sr-Latn-CS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Шкорић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, М. (2010).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Социологија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науке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 xml:space="preserve">: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мертоновски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 xml:space="preserve"> и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конструктивистички</w:t>
            </w:r>
            <w:proofErr w:type="spellEnd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i/>
                <w:sz w:val="20"/>
                <w:szCs w:val="22"/>
                <w:lang w:eastAsia="en-US"/>
              </w:rPr>
              <w:t>програми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.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Сремски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Карловци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и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Нови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Сад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: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Издавачка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књижарница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Зорана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Стојановића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  <w:lang w:eastAsia="en-US"/>
              </w:rPr>
              <w:t>. (M42)</w:t>
            </w:r>
          </w:p>
        </w:tc>
      </w:tr>
      <w:tr w:rsidR="00BB1FDF" w:rsidRPr="0063306C" w:rsidTr="003B775F">
        <w:trPr>
          <w:trHeight w:val="227"/>
        </w:trPr>
        <w:tc>
          <w:tcPr>
            <w:tcW w:w="9576" w:type="dxa"/>
            <w:gridSpan w:val="7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2"/>
                <w:lang w:val="sr-Cyrl-CS" w:eastAsia="en-US" w:bidi="ar-SA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4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Укупан број цитата</w:t>
            </w:r>
          </w:p>
        </w:tc>
        <w:tc>
          <w:tcPr>
            <w:tcW w:w="55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10</w:t>
            </w:r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4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Укупан број радова са SCI (SSCI) листе</w:t>
            </w:r>
          </w:p>
        </w:tc>
        <w:tc>
          <w:tcPr>
            <w:tcW w:w="550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BB1FDF" w:rsidRPr="0063306C" w:rsidRDefault="00BB1FDF" w:rsidP="003B775F">
            <w:pPr>
              <w:tabs>
                <w:tab w:val="left" w:pos="567"/>
              </w:tabs>
              <w:spacing w:before="20" w:after="20"/>
              <w:rPr>
                <w:rFonts w:ascii="Times New Roman" w:hAnsi="Times New Roman" w:cs="Times New Roman"/>
                <w:sz w:val="20"/>
              </w:rPr>
            </w:pPr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3</w:t>
            </w:r>
          </w:p>
        </w:tc>
      </w:tr>
      <w:tr w:rsidR="00BB1FDF" w:rsidRPr="0063306C" w:rsidTr="003B775F">
        <w:trPr>
          <w:trHeight w:val="227"/>
        </w:trPr>
        <w:tc>
          <w:tcPr>
            <w:tcW w:w="4068" w:type="dxa"/>
            <w:gridSpan w:val="4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Тренутно учешће на пројектима</w:t>
            </w:r>
          </w:p>
        </w:tc>
        <w:tc>
          <w:tcPr>
            <w:tcW w:w="2610" w:type="dxa"/>
            <w:gridSpan w:val="2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Домаћи</w:t>
            </w: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 xml:space="preserve">        3</w:t>
            </w:r>
          </w:p>
        </w:tc>
        <w:tc>
          <w:tcPr>
            <w:tcW w:w="2898" w:type="dxa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Међународни</w:t>
            </w: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eastAsia="en-US" w:bidi="ar-SA"/>
              </w:rPr>
              <w:t xml:space="preserve">        4</w:t>
            </w:r>
          </w:p>
        </w:tc>
      </w:tr>
      <w:tr w:rsidR="00BB1FDF" w:rsidRPr="0063306C" w:rsidTr="003B775F">
        <w:trPr>
          <w:trHeight w:val="227"/>
        </w:trPr>
        <w:tc>
          <w:tcPr>
            <w:tcW w:w="9576" w:type="dxa"/>
            <w:gridSpan w:val="7"/>
            <w:vAlign w:val="center"/>
          </w:tcPr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r w:rsidRPr="0063306C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2"/>
                <w:lang w:val="sr-Cyrl-CS" w:eastAsia="en-US" w:bidi="ar-SA"/>
              </w:rPr>
              <w:t>Други подаци које сматрате релевантним</w:t>
            </w:r>
          </w:p>
          <w:p w:rsidR="00BB1FDF" w:rsidRPr="0063306C" w:rsidRDefault="00BB1FDF" w:rsidP="003B775F">
            <w:pPr>
              <w:widowControl/>
              <w:tabs>
                <w:tab w:val="left" w:pos="567"/>
              </w:tabs>
              <w:suppressAutoHyphens w:val="0"/>
              <w:spacing w:before="20" w:after="20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lang w:val="sr-Cyrl-CS" w:eastAsia="en-US" w:bidi="ar-SA"/>
              </w:rPr>
            </w:pP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Добитник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награде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“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Др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Зоран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Ђинђић</w:t>
            </w:r>
            <w:proofErr w:type="spellEnd"/>
            <w:proofErr w:type="gram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“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за</w:t>
            </w:r>
            <w:proofErr w:type="spellEnd"/>
            <w:proofErr w:type="gram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најбољи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дипломски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или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магистарски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рад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из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филозофских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и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социолошких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наука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у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Републици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proofErr w:type="spell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Србији</w:t>
            </w:r>
            <w:proofErr w:type="spell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 xml:space="preserve">”, 2007. </w:t>
            </w:r>
            <w:proofErr w:type="spellStart"/>
            <w:proofErr w:type="gramStart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године</w:t>
            </w:r>
            <w:proofErr w:type="spellEnd"/>
            <w:proofErr w:type="gramEnd"/>
            <w:r w:rsidRPr="0063306C"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</w:tr>
    </w:tbl>
    <w:p w:rsidR="00BD3AB2" w:rsidRDefault="00BD3AB2"/>
    <w:sectPr w:rsidR="00BD3AB2" w:rsidSect="00BB1FDF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1FDF"/>
    <w:rsid w:val="00184542"/>
    <w:rsid w:val="001D6956"/>
    <w:rsid w:val="00333E7A"/>
    <w:rsid w:val="003B2FB4"/>
    <w:rsid w:val="00483D00"/>
    <w:rsid w:val="0063306C"/>
    <w:rsid w:val="00660319"/>
    <w:rsid w:val="00690A81"/>
    <w:rsid w:val="006B6B7C"/>
    <w:rsid w:val="006F71B4"/>
    <w:rsid w:val="008970D5"/>
    <w:rsid w:val="00BB1FDF"/>
    <w:rsid w:val="00BD3AB2"/>
    <w:rsid w:val="00F0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FDF"/>
    <w:pPr>
      <w:widowControl w:val="0"/>
      <w:suppressAutoHyphens/>
      <w:spacing w:after="0" w:line="240" w:lineRule="auto"/>
    </w:pPr>
    <w:rPr>
      <w:rFonts w:ascii="C Verdana" w:eastAsia="Arial Unicode MS" w:hAnsi="C Verdana" w:cs="C Verdana"/>
      <w:color w:val="000000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6956"/>
    <w:pPr>
      <w:widowControl/>
      <w:suppressAutoHyphens w:val="0"/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auto"/>
      <w:kern w:val="0"/>
      <w:sz w:val="28"/>
      <w:szCs w:val="28"/>
      <w:lang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6956"/>
    <w:pPr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auto"/>
      <w:kern w:val="0"/>
      <w:sz w:val="26"/>
      <w:szCs w:val="26"/>
      <w:lang w:eastAsia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6956"/>
    <w:pPr>
      <w:widowControl/>
      <w:suppressAutoHyphens w:val="0"/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color w:val="auto"/>
      <w:kern w:val="0"/>
      <w:sz w:val="22"/>
      <w:szCs w:val="22"/>
      <w:lang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6956"/>
    <w:pPr>
      <w:widowControl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auto"/>
      <w:kern w:val="0"/>
      <w:sz w:val="22"/>
      <w:szCs w:val="22"/>
      <w:lang w:eastAsia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6956"/>
    <w:pPr>
      <w:widowControl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kern w:val="0"/>
      <w:sz w:val="22"/>
      <w:szCs w:val="22"/>
      <w:lang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6956"/>
    <w:pPr>
      <w:widowControl/>
      <w:suppressAutoHyphens w:val="0"/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kern w:val="0"/>
      <w:sz w:val="22"/>
      <w:szCs w:val="22"/>
      <w:lang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6956"/>
    <w:pPr>
      <w:widowControl/>
      <w:suppressAutoHyphens w:val="0"/>
      <w:spacing w:line="276" w:lineRule="auto"/>
      <w:outlineLvl w:val="6"/>
    </w:pPr>
    <w:rPr>
      <w:rFonts w:asciiTheme="majorHAnsi" w:eastAsiaTheme="majorEastAsia" w:hAnsiTheme="majorHAnsi" w:cstheme="majorBidi"/>
      <w:i/>
      <w:iCs/>
      <w:color w:val="auto"/>
      <w:kern w:val="0"/>
      <w:sz w:val="22"/>
      <w:szCs w:val="22"/>
      <w:lang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6956"/>
    <w:pPr>
      <w:widowControl/>
      <w:suppressAutoHyphens w:val="0"/>
      <w:spacing w:line="276" w:lineRule="auto"/>
      <w:outlineLvl w:val="7"/>
    </w:pPr>
    <w:rPr>
      <w:rFonts w:asciiTheme="majorHAnsi" w:eastAsiaTheme="majorEastAsia" w:hAnsiTheme="majorHAnsi" w:cstheme="majorBidi"/>
      <w:color w:val="auto"/>
      <w:kern w:val="0"/>
      <w:sz w:val="20"/>
      <w:szCs w:val="20"/>
      <w:lang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6956"/>
    <w:pPr>
      <w:widowControl/>
      <w:suppressAutoHyphens w:val="0"/>
      <w:spacing w:line="276" w:lineRule="auto"/>
      <w:outlineLvl w:val="8"/>
    </w:pPr>
    <w:rPr>
      <w:rFonts w:asciiTheme="majorHAnsi" w:eastAsiaTheme="majorEastAsia" w:hAnsiTheme="majorHAnsi" w:cstheme="majorBidi"/>
      <w:i/>
      <w:iCs/>
      <w:color w:val="auto"/>
      <w:spacing w:val="5"/>
      <w:kern w:val="0"/>
      <w:sz w:val="20"/>
      <w:szCs w:val="20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695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D695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6956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695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695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695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6956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6956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695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D6956"/>
    <w:pPr>
      <w:widowControl/>
      <w:pBdr>
        <w:bottom w:val="single" w:sz="4" w:space="1" w:color="auto"/>
      </w:pBdr>
      <w:suppressAutoHyphens w:val="0"/>
      <w:spacing w:after="200"/>
      <w:contextualSpacing/>
    </w:pPr>
    <w:rPr>
      <w:rFonts w:asciiTheme="majorHAnsi" w:eastAsiaTheme="majorEastAsia" w:hAnsiTheme="majorHAnsi" w:cstheme="majorBidi"/>
      <w:color w:val="auto"/>
      <w:spacing w:val="5"/>
      <w:kern w:val="0"/>
      <w:sz w:val="52"/>
      <w:szCs w:val="52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1D695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6956"/>
    <w:pPr>
      <w:widowControl/>
      <w:suppressAutoHyphens w:val="0"/>
      <w:spacing w:after="600" w:line="276" w:lineRule="auto"/>
    </w:pPr>
    <w:rPr>
      <w:rFonts w:asciiTheme="majorHAnsi" w:eastAsiaTheme="majorEastAsia" w:hAnsiTheme="majorHAnsi" w:cstheme="majorBidi"/>
      <w:i/>
      <w:iCs/>
      <w:color w:val="auto"/>
      <w:spacing w:val="13"/>
      <w:kern w:val="0"/>
      <w:lang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1D695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D6956"/>
    <w:rPr>
      <w:b/>
      <w:bCs/>
    </w:rPr>
  </w:style>
  <w:style w:type="character" w:styleId="Emphasis">
    <w:name w:val="Emphasis"/>
    <w:uiPriority w:val="20"/>
    <w:qFormat/>
    <w:rsid w:val="001D695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1D6956"/>
    <w:pPr>
      <w:widowControl/>
      <w:suppressAutoHyphens w:val="0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en-US"/>
    </w:rPr>
  </w:style>
  <w:style w:type="paragraph" w:styleId="ListParagraph">
    <w:name w:val="List Paragraph"/>
    <w:basedOn w:val="Normal"/>
    <w:uiPriority w:val="34"/>
    <w:qFormat/>
    <w:rsid w:val="001D6956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1D6956"/>
    <w:pPr>
      <w:widowControl/>
      <w:suppressAutoHyphens w:val="0"/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color w:val="auto"/>
      <w:kern w:val="0"/>
      <w:sz w:val="22"/>
      <w:szCs w:val="22"/>
      <w:lang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1D695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6956"/>
    <w:pPr>
      <w:widowControl/>
      <w:pBdr>
        <w:bottom w:val="single" w:sz="4" w:space="1" w:color="auto"/>
      </w:pBdr>
      <w:suppressAutoHyphens w:val="0"/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color w:val="auto"/>
      <w:kern w:val="0"/>
      <w:sz w:val="22"/>
      <w:szCs w:val="22"/>
      <w:lang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6956"/>
    <w:rPr>
      <w:b/>
      <w:bCs/>
      <w:i/>
      <w:iCs/>
    </w:rPr>
  </w:style>
  <w:style w:type="character" w:styleId="SubtleEmphasis">
    <w:name w:val="Subtle Emphasis"/>
    <w:uiPriority w:val="19"/>
    <w:qFormat/>
    <w:rsid w:val="001D6956"/>
    <w:rPr>
      <w:i/>
      <w:iCs/>
    </w:rPr>
  </w:style>
  <w:style w:type="character" w:styleId="IntenseEmphasis">
    <w:name w:val="Intense Emphasis"/>
    <w:uiPriority w:val="21"/>
    <w:qFormat/>
    <w:rsid w:val="001D6956"/>
    <w:rPr>
      <w:b/>
      <w:bCs/>
    </w:rPr>
  </w:style>
  <w:style w:type="character" w:styleId="SubtleReference">
    <w:name w:val="Subtle Reference"/>
    <w:uiPriority w:val="31"/>
    <w:qFormat/>
    <w:rsid w:val="001D6956"/>
    <w:rPr>
      <w:smallCaps/>
    </w:rPr>
  </w:style>
  <w:style w:type="character" w:styleId="IntenseReference">
    <w:name w:val="Intense Reference"/>
    <w:uiPriority w:val="32"/>
    <w:qFormat/>
    <w:rsid w:val="001D6956"/>
    <w:rPr>
      <w:smallCaps/>
      <w:spacing w:val="5"/>
      <w:u w:val="single"/>
    </w:rPr>
  </w:style>
  <w:style w:type="character" w:styleId="BookTitle">
    <w:name w:val="Book Title"/>
    <w:aliases w:val="zap"/>
    <w:basedOn w:val="DefaultParagraphFont"/>
    <w:uiPriority w:val="33"/>
    <w:qFormat/>
    <w:rsid w:val="008970D5"/>
    <w:rPr>
      <w:rFonts w:ascii="Times New Roman" w:hAnsi="Times New Roman"/>
      <w:b/>
      <w:bCs/>
      <w:dstrike w:val="0"/>
      <w:spacing w:val="5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6956"/>
    <w:pPr>
      <w:outlineLvl w:val="9"/>
    </w:pPr>
  </w:style>
  <w:style w:type="paragraph" w:customStyle="1" w:styleId="Default">
    <w:name w:val="Default"/>
    <w:rsid w:val="00BB1F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tanja</cp:lastModifiedBy>
  <cp:revision>3</cp:revision>
  <dcterms:created xsi:type="dcterms:W3CDTF">2017-07-03T11:48:00Z</dcterms:created>
  <dcterms:modified xsi:type="dcterms:W3CDTF">2017-09-13T08:49:00Z</dcterms:modified>
</cp:coreProperties>
</file>