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0"/>
        <w:gridCol w:w="1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E10FEF">
        <w:trPr>
          <w:trHeight w:val="227"/>
        </w:trPr>
        <w:tc>
          <w:tcPr>
            <w:tcW w:w="4648" w:type="dxa"/>
            <w:gridSpan w:val="6"/>
            <w:vAlign w:val="center"/>
          </w:tcPr>
          <w:p w:rsidR="00A66DA8" w:rsidRPr="00CE312D" w:rsidRDefault="00A66DA8" w:rsidP="00CE312D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62206" w:rsidRDefault="00CE312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62206">
              <w:t>Александар Окљеша</w:t>
            </w:r>
          </w:p>
        </w:tc>
      </w:tr>
      <w:tr w:rsidR="00A66DA8" w:rsidRPr="005E671A" w:rsidTr="00E10FEF">
        <w:trPr>
          <w:trHeight w:val="227"/>
        </w:trPr>
        <w:tc>
          <w:tcPr>
            <w:tcW w:w="464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61F1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CE312D">
              <w:rPr>
                <w:lang w:val="sr-Cyrl-CS"/>
              </w:rPr>
              <w:t>оцент</w:t>
            </w:r>
          </w:p>
        </w:tc>
      </w:tr>
      <w:tr w:rsidR="00A66DA8" w:rsidRPr="005E671A" w:rsidTr="00E10FEF">
        <w:trPr>
          <w:trHeight w:val="227"/>
        </w:trPr>
        <w:tc>
          <w:tcPr>
            <w:tcW w:w="464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62206" w:rsidP="00C6220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</w:t>
            </w:r>
            <w:r>
              <w:rPr>
                <w:lang w:val="en-US"/>
              </w:rPr>
              <w:t>,</w:t>
            </w:r>
            <w:r>
              <w:rPr>
                <w:lang w:val="sr-Cyrl-CS"/>
              </w:rPr>
              <w:t xml:space="preserve"> </w:t>
            </w:r>
            <w:r w:rsidR="00CE312D">
              <w:rPr>
                <w:lang w:val="sr-Cyrl-CS"/>
              </w:rPr>
              <w:t xml:space="preserve">Природно-математички факултет, </w:t>
            </w:r>
            <w:r w:rsidR="00B25543">
              <w:rPr>
                <w:lang w:val="sr-Cyrl-CS"/>
              </w:rPr>
              <w:t>03.01.</w:t>
            </w:r>
            <w:r w:rsidR="00CE312D">
              <w:rPr>
                <w:lang w:val="sr-Cyrl-CS"/>
              </w:rPr>
              <w:t xml:space="preserve"> 2009.</w:t>
            </w:r>
          </w:p>
        </w:tc>
      </w:tr>
      <w:tr w:rsidR="00A66DA8" w:rsidRPr="005E671A" w:rsidTr="00E10FEF">
        <w:trPr>
          <w:trHeight w:val="227"/>
        </w:trPr>
        <w:tc>
          <w:tcPr>
            <w:tcW w:w="464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E312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66DA8" w:rsidRPr="005E671A" w:rsidTr="00E10FEF">
        <w:trPr>
          <w:trHeight w:val="227"/>
        </w:trPr>
        <w:tc>
          <w:tcPr>
            <w:tcW w:w="1004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E10FEF">
        <w:trPr>
          <w:trHeight w:val="227"/>
        </w:trPr>
        <w:tc>
          <w:tcPr>
            <w:tcW w:w="236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E10FEF">
        <w:trPr>
          <w:trHeight w:val="227"/>
        </w:trPr>
        <w:tc>
          <w:tcPr>
            <w:tcW w:w="236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C62206" w:rsidRDefault="00B25543" w:rsidP="00C6220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C62206" w:rsidRPr="005E671A" w:rsidTr="00E10FEF">
        <w:trPr>
          <w:trHeight w:val="227"/>
        </w:trPr>
        <w:tc>
          <w:tcPr>
            <w:tcW w:w="2367" w:type="dxa"/>
            <w:gridSpan w:val="3"/>
            <w:vAlign w:val="center"/>
          </w:tcPr>
          <w:p w:rsidR="00C62206" w:rsidRPr="005E671A" w:rsidRDefault="00C622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C62206" w:rsidRPr="005E671A" w:rsidRDefault="00C622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62206" w:rsidRPr="00C62206" w:rsidRDefault="00C62206" w:rsidP="00C6220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62206" w:rsidRPr="005E671A" w:rsidRDefault="00C62206" w:rsidP="00757B7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E10FEF">
        <w:trPr>
          <w:trHeight w:val="227"/>
        </w:trPr>
        <w:tc>
          <w:tcPr>
            <w:tcW w:w="236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C62206" w:rsidRDefault="00B25543" w:rsidP="00C62206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B255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E10FEF">
        <w:trPr>
          <w:trHeight w:val="227"/>
        </w:trPr>
        <w:tc>
          <w:tcPr>
            <w:tcW w:w="1004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E10FEF">
        <w:trPr>
          <w:trHeight w:val="227"/>
        </w:trPr>
        <w:tc>
          <w:tcPr>
            <w:tcW w:w="110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E10FEF">
        <w:trPr>
          <w:trHeight w:val="227"/>
        </w:trPr>
        <w:tc>
          <w:tcPr>
            <w:tcW w:w="1101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39068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слободних радикала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390680" w:rsidP="004E1F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  <w:r w:rsidR="00B40817">
              <w:rPr>
                <w:lang w:val="sr-Cyrl-CS"/>
              </w:rPr>
              <w:t>академске студије</w:t>
            </w:r>
          </w:p>
        </w:tc>
      </w:tr>
      <w:tr w:rsidR="00A66DA8" w:rsidRPr="005E671A" w:rsidTr="00E10FEF">
        <w:trPr>
          <w:trHeight w:val="227"/>
        </w:trPr>
        <w:tc>
          <w:tcPr>
            <w:tcW w:w="10043" w:type="dxa"/>
            <w:gridSpan w:val="10"/>
            <w:vAlign w:val="center"/>
          </w:tcPr>
          <w:p w:rsidR="00A66DA8" w:rsidRPr="005E671A" w:rsidRDefault="00A66DA8" w:rsidP="00B4081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9"/>
            <w:shd w:val="clear" w:color="auto" w:fill="auto"/>
            <w:vAlign w:val="center"/>
          </w:tcPr>
          <w:p w:rsidR="00A66DA8" w:rsidRPr="00AB1B90" w:rsidRDefault="009B16C3" w:rsidP="00B40817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L.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Jevrić,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AB1B90">
              <w:rPr>
                <w:sz w:val="16"/>
                <w:szCs w:val="16"/>
              </w:rPr>
              <w:t>M. Ž.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Karadžić, </w:t>
            </w:r>
            <w:r w:rsidR="00B40817" w:rsidRPr="00AB1B90">
              <w:rPr>
                <w:sz w:val="16"/>
                <w:szCs w:val="16"/>
              </w:rPr>
              <w:t>A. I.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Mandić,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B40817" w:rsidRPr="00AB1B90">
              <w:rPr>
                <w:sz w:val="16"/>
                <w:szCs w:val="16"/>
              </w:rPr>
              <w:t>S. O.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Podunavac Kuzmanović, </w:t>
            </w:r>
            <w:r w:rsidR="00B40817" w:rsidRPr="00AB1B90">
              <w:rPr>
                <w:sz w:val="16"/>
                <w:szCs w:val="16"/>
              </w:rPr>
              <w:t>S. Z.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Kovačević, </w:t>
            </w:r>
            <w:r w:rsidR="00B40817" w:rsidRPr="00AB1B90">
              <w:rPr>
                <w:sz w:val="16"/>
                <w:szCs w:val="16"/>
              </w:rPr>
              <w:t>A. R.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Nikolić, </w:t>
            </w:r>
            <w:r w:rsidR="00B40817" w:rsidRPr="00B40817">
              <w:rPr>
                <w:sz w:val="16"/>
                <w:szCs w:val="16"/>
              </w:rPr>
              <w:t>A. M.</w:t>
            </w:r>
            <w:r w:rsidR="00B40817" w:rsidRP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B40817">
              <w:rPr>
                <w:sz w:val="16"/>
                <w:szCs w:val="16"/>
              </w:rPr>
              <w:t>Oklješa</w:t>
            </w:r>
            <w:r w:rsidR="00B40817" w:rsidRPr="009F3434">
              <w:rPr>
                <w:sz w:val="16"/>
                <w:szCs w:val="16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B40817" w:rsidRPr="00AB1B90">
              <w:rPr>
                <w:sz w:val="16"/>
                <w:szCs w:val="16"/>
              </w:rPr>
              <w:t>M. N.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Sakač, </w:t>
            </w:r>
            <w:r w:rsidR="00B40817" w:rsidRPr="00AB1B90">
              <w:rPr>
                <w:sz w:val="16"/>
                <w:szCs w:val="16"/>
              </w:rPr>
              <w:t>K. M.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Penov Gaši, </w:t>
            </w:r>
            <w:r w:rsidR="00B40817" w:rsidRPr="00AB1B90">
              <w:rPr>
                <w:sz w:val="16"/>
                <w:szCs w:val="16"/>
              </w:rPr>
              <w:t>S. Z.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Stojanović,</w:t>
            </w:r>
            <w:r w:rsidR="00B40817">
              <w:rPr>
                <w:sz w:val="16"/>
                <w:szCs w:val="16"/>
                <w:lang w:val="sr-Cyrl-CS"/>
              </w:rPr>
              <w:t xml:space="preserve"> </w:t>
            </w:r>
            <w:hyperlink r:id="rId5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Lipophilicity estimation and characterization of selected steroid derivatives of biomedical importance applying RP HPLC</w:t>
              </w:r>
            </w:hyperlink>
            <w:r w:rsidR="00B40817">
              <w:rPr>
                <w:color w:val="000000" w:themeColor="text1"/>
                <w:sz w:val="16"/>
                <w:szCs w:val="16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B40817">
              <w:rPr>
                <w:color w:val="333333"/>
                <w:sz w:val="16"/>
                <w:szCs w:val="16"/>
                <w:shd w:val="clear" w:color="auto" w:fill="FFFFFF"/>
              </w:rPr>
              <w:t>J Pharm Biomed Anal</w:t>
            </w:r>
            <w:r w:rsidR="00AB1B90" w:rsidRPr="00B40817">
              <w:rPr>
                <w:color w:val="333333"/>
                <w:sz w:val="16"/>
                <w:szCs w:val="16"/>
                <w:shd w:val="clear" w:color="auto" w:fill="FFFFFF"/>
              </w:rPr>
              <w:t>, 134, 27-35</w:t>
            </w:r>
            <w:r w:rsidR="00B40817">
              <w:rPr>
                <w:color w:val="333333"/>
                <w:sz w:val="16"/>
                <w:szCs w:val="16"/>
                <w:shd w:val="clear" w:color="auto" w:fill="FFFFFF"/>
                <w:lang w:val="sr-Cyrl-CS"/>
              </w:rPr>
              <w:t xml:space="preserve"> (</w:t>
            </w:r>
            <w:r w:rsidR="00B40817" w:rsidRPr="00B40817">
              <w:rPr>
                <w:color w:val="333333"/>
                <w:sz w:val="16"/>
                <w:szCs w:val="16"/>
                <w:shd w:val="clear" w:color="auto" w:fill="FFFFFF"/>
              </w:rPr>
              <w:t>2017</w:t>
            </w:r>
            <w:r w:rsidR="00B40817">
              <w:rPr>
                <w:color w:val="333333"/>
                <w:sz w:val="16"/>
                <w:szCs w:val="16"/>
                <w:shd w:val="clear" w:color="auto" w:fill="FFFFFF"/>
                <w:lang w:val="sr-Cyrl-CS"/>
              </w:rPr>
              <w:t>)</w:t>
            </w:r>
            <w:r w:rsidR="00AB1B90" w:rsidRPr="00AB1B90">
              <w:rPr>
                <w:color w:val="333333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9"/>
            <w:shd w:val="clear" w:color="auto" w:fill="auto"/>
            <w:vAlign w:val="center"/>
          </w:tcPr>
          <w:p w:rsidR="00A66DA8" w:rsidRPr="00AB1B90" w:rsidRDefault="00B40817" w:rsidP="009F343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O.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Pr="00AB1B90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Szécsi, </w:t>
            </w: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Djurendić, </w:t>
            </w:r>
            <w:r w:rsidRPr="00AB1B90">
              <w:rPr>
                <w:sz w:val="16"/>
                <w:szCs w:val="16"/>
              </w:rPr>
              <w:t>N.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color w:val="000000"/>
                <w:sz w:val="16"/>
                <w:szCs w:val="16"/>
                <w:shd w:val="clear" w:color="auto" w:fill="FFFFFF"/>
              </w:rPr>
              <w:t>Szabó,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B.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  <w:lang w:val="sr-Cyrl-CS"/>
              </w:rPr>
              <w:t>.</w:t>
            </w:r>
            <w:r w:rsidR="00AB1B90" w:rsidRPr="00AB1B90">
              <w:rPr>
                <w:sz w:val="16"/>
                <w:szCs w:val="16"/>
              </w:rPr>
              <w:t xml:space="preserve"> Herman, </w:t>
            </w:r>
            <w:r w:rsidR="00AF0630" w:rsidRPr="00AB1B90">
              <w:rPr>
                <w:sz w:val="16"/>
                <w:szCs w:val="16"/>
              </w:rPr>
              <w:t>S. S.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Jovanović Šanta, </w:t>
            </w:r>
            <w:r w:rsidR="00AF0630" w:rsidRPr="00AB1B90">
              <w:rPr>
                <w:sz w:val="16"/>
                <w:szCs w:val="16"/>
              </w:rPr>
              <w:t>S. V.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Dojčinović Vujašković, </w:t>
            </w:r>
            <w:r w:rsidR="00AF0630" w:rsidRPr="00AB1B90">
              <w:rPr>
                <w:sz w:val="16"/>
                <w:szCs w:val="16"/>
              </w:rPr>
              <w:t>A. R.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Nikolić, </w:t>
            </w:r>
            <w:r w:rsidR="00AF0630" w:rsidRPr="00AB1B90">
              <w:rPr>
                <w:sz w:val="16"/>
                <w:szCs w:val="16"/>
              </w:rPr>
              <w:t>K. J.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Pavlović, </w:t>
            </w:r>
            <w:r w:rsidR="00AF0630" w:rsidRPr="00AB1B90">
              <w:rPr>
                <w:sz w:val="16"/>
                <w:szCs w:val="16"/>
              </w:rPr>
              <w:t>J. J.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Ajduković, </w:t>
            </w:r>
            <w:r w:rsidR="00AF0630" w:rsidRPr="00AF0630">
              <w:rPr>
                <w:sz w:val="16"/>
                <w:szCs w:val="16"/>
              </w:rPr>
              <w:t>A. M.</w:t>
            </w:r>
            <w:r w:rsidR="00AF0630" w:rsidRP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F0630">
              <w:rPr>
                <w:sz w:val="16"/>
                <w:szCs w:val="16"/>
              </w:rPr>
              <w:t>Oklješa</w:t>
            </w:r>
            <w:r w:rsidR="00AB1B90" w:rsidRPr="009F3434">
              <w:rPr>
                <w:sz w:val="16"/>
                <w:szCs w:val="16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AF0630" w:rsidRPr="00AB1B90">
              <w:rPr>
                <w:sz w:val="16"/>
                <w:szCs w:val="16"/>
              </w:rPr>
              <w:t>E. T.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Petri, </w:t>
            </w:r>
            <w:r w:rsidR="00AF0630" w:rsidRPr="00AB1B90">
              <w:rPr>
                <w:sz w:val="16"/>
                <w:szCs w:val="16"/>
              </w:rPr>
              <w:t>V. V.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Kojić, </w:t>
            </w:r>
            <w:r w:rsidR="00AF0630" w:rsidRPr="00AB1B90">
              <w:rPr>
                <w:sz w:val="16"/>
                <w:szCs w:val="16"/>
              </w:rPr>
              <w:t>M. N.</w:t>
            </w:r>
            <w:r w:rsidR="00AF0630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Sakač, </w:t>
            </w:r>
            <w:r w:rsidR="009F3434" w:rsidRPr="00AB1B90">
              <w:rPr>
                <w:sz w:val="16"/>
                <w:szCs w:val="16"/>
              </w:rPr>
              <w:t>K. M.</w:t>
            </w:r>
            <w:r w:rsidR="009F3434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Penov Gaši,</w:t>
            </w:r>
            <w:r w:rsidR="009F3434">
              <w:rPr>
                <w:sz w:val="16"/>
                <w:szCs w:val="16"/>
                <w:lang w:val="sr-Cyrl-CS"/>
              </w:rPr>
              <w:t xml:space="preserve"> </w:t>
            </w:r>
            <w:hyperlink r:id="rId6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Structural analysis and biomedical potential of novel salicyloyloxy estrane derivatives synthesized by microwave irradiation</w:t>
              </w:r>
            </w:hyperlink>
            <w:r w:rsidR="009F3434">
              <w:rPr>
                <w:color w:val="000000" w:themeColor="text1"/>
                <w:sz w:val="16"/>
                <w:szCs w:val="16"/>
                <w:shd w:val="clear" w:color="auto" w:fill="FFFFFF" w:themeFill="background1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9F3434">
              <w:rPr>
                <w:sz w:val="16"/>
                <w:szCs w:val="16"/>
              </w:rPr>
              <w:t>Struct Chem</w:t>
            </w:r>
            <w:r w:rsidR="00AB1B90" w:rsidRPr="00AB1B90">
              <w:rPr>
                <w:sz w:val="16"/>
                <w:szCs w:val="16"/>
              </w:rPr>
              <w:t>, 27, 947-960</w:t>
            </w:r>
            <w:r w:rsidR="009F3434">
              <w:rPr>
                <w:sz w:val="16"/>
                <w:szCs w:val="16"/>
                <w:lang w:val="sr-Cyrl-CS"/>
              </w:rPr>
              <w:t xml:space="preserve"> (</w:t>
            </w:r>
            <w:r w:rsidR="009F3434" w:rsidRPr="009F3434">
              <w:rPr>
                <w:sz w:val="16"/>
                <w:szCs w:val="16"/>
              </w:rPr>
              <w:t>2016</w:t>
            </w:r>
            <w:r w:rsidR="009F3434">
              <w:rPr>
                <w:sz w:val="16"/>
                <w:szCs w:val="16"/>
                <w:lang w:val="sr-Cyrl-CS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9"/>
            <w:shd w:val="clear" w:color="auto" w:fill="auto"/>
            <w:vAlign w:val="center"/>
          </w:tcPr>
          <w:p w:rsidR="00A66DA8" w:rsidRPr="00AB1B90" w:rsidRDefault="009F3434" w:rsidP="00537D5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K.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Penov-Gaši, </w:t>
            </w: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Djurendić,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AB1B90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Szecsi, </w:t>
            </w:r>
            <w:r w:rsidRPr="00AB1B90">
              <w:rPr>
                <w:sz w:val="16"/>
                <w:szCs w:val="16"/>
              </w:rPr>
              <w:t>J.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Gardi,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AB1B90">
              <w:rPr>
                <w:sz w:val="16"/>
                <w:szCs w:val="16"/>
              </w:rPr>
              <w:t>J. J.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Csanadi, </w:t>
            </w:r>
            <w:r w:rsidRPr="00AB1B90">
              <w:rPr>
                <w:sz w:val="16"/>
                <w:szCs w:val="16"/>
              </w:rPr>
              <w:t>O.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Pr="00AB1B90">
              <w:rPr>
                <w:sz w:val="16"/>
                <w:szCs w:val="16"/>
              </w:rPr>
              <w:t>S.V.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Dojčinović-Vujašković, </w:t>
            </w:r>
            <w:r w:rsidRPr="00AB1B90">
              <w:rPr>
                <w:sz w:val="16"/>
                <w:szCs w:val="16"/>
              </w:rPr>
              <w:t>A.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Nikolić, </w:t>
            </w:r>
            <w:r w:rsidRPr="00AB1B90">
              <w:rPr>
                <w:sz w:val="16"/>
                <w:szCs w:val="16"/>
              </w:rPr>
              <w:t>M. P.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</w:rPr>
              <w:t>Savić,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J. J.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Ajduković, </w:t>
            </w:r>
            <w:r w:rsidRPr="009F3434">
              <w:rPr>
                <w:sz w:val="16"/>
                <w:szCs w:val="16"/>
              </w:rPr>
              <w:t>A.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9F3434">
              <w:rPr>
                <w:sz w:val="16"/>
                <w:szCs w:val="16"/>
              </w:rPr>
              <w:t>Oklješa,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V. V.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Kojić,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AB1B90">
              <w:rPr>
                <w:sz w:val="16"/>
                <w:szCs w:val="16"/>
              </w:rPr>
              <w:t>M. N.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Sakač, </w:t>
            </w:r>
            <w:r w:rsidRPr="00AB1B90">
              <w:rPr>
                <w:sz w:val="16"/>
                <w:szCs w:val="16"/>
              </w:rPr>
              <w:t>S.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Jovanović-Šanta,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hyperlink r:id="rId7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Microwave assisted synthesis and biomedical potency of salicyloyloxy and 2-methoxybenzoyloxy androstane and stigmastane derivatives</w:t>
              </w:r>
            </w:hyperlink>
            <w:r w:rsidR="00537D56">
              <w:rPr>
                <w:color w:val="000000" w:themeColor="text1"/>
                <w:sz w:val="16"/>
                <w:szCs w:val="16"/>
                <w:shd w:val="clear" w:color="auto" w:fill="FFFFFF" w:themeFill="background1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="00AB1B90" w:rsidRPr="00537D56">
              <w:rPr>
                <w:sz w:val="16"/>
                <w:szCs w:val="16"/>
              </w:rPr>
              <w:t>Steroids</w:t>
            </w:r>
            <w:r w:rsidR="00AB1B90" w:rsidRPr="00AB1B90">
              <w:rPr>
                <w:sz w:val="16"/>
                <w:szCs w:val="16"/>
              </w:rPr>
              <w:t>, 94, 31-40</w:t>
            </w:r>
            <w:r w:rsidR="00537D56">
              <w:rPr>
                <w:sz w:val="16"/>
                <w:szCs w:val="16"/>
                <w:lang w:val="sr-Cyrl-CS"/>
              </w:rPr>
              <w:t xml:space="preserve"> (</w:t>
            </w:r>
            <w:r w:rsidR="00537D56" w:rsidRPr="00537D56">
              <w:rPr>
                <w:sz w:val="16"/>
                <w:szCs w:val="16"/>
              </w:rPr>
              <w:t>2015</w:t>
            </w:r>
            <w:r w:rsidR="00537D56">
              <w:rPr>
                <w:sz w:val="16"/>
                <w:szCs w:val="16"/>
                <w:lang w:val="sr-Cyrl-CS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9"/>
            <w:shd w:val="clear" w:color="auto" w:fill="auto"/>
            <w:vAlign w:val="center"/>
          </w:tcPr>
          <w:p w:rsidR="00A66DA8" w:rsidRPr="00AB1B90" w:rsidRDefault="00537D56" w:rsidP="00537D5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Djurendić, </w:t>
            </w:r>
            <w:r w:rsidRPr="00AB1B90">
              <w:rPr>
                <w:sz w:val="16"/>
                <w:szCs w:val="16"/>
              </w:rPr>
              <w:t>O.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Pr="00AB1B90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Szecsi,</w:t>
            </w:r>
            <w:r w:rsidRPr="00AB1B90">
              <w:rPr>
                <w:sz w:val="16"/>
                <w:szCs w:val="16"/>
              </w:rPr>
              <w:t xml:space="preserve"> M. N.</w:t>
            </w:r>
            <w:r w:rsidR="00AB1B90" w:rsidRPr="00AB1B90">
              <w:rPr>
                <w:sz w:val="16"/>
                <w:szCs w:val="16"/>
              </w:rPr>
              <w:t xml:space="preserve"> Sakač, </w:t>
            </w:r>
            <w:r w:rsidRPr="00AB1B90">
              <w:rPr>
                <w:sz w:val="16"/>
                <w:szCs w:val="16"/>
              </w:rPr>
              <w:t>S.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Jovanović-Šanta, </w:t>
            </w:r>
            <w:r w:rsidRPr="00AB1B90">
              <w:rPr>
                <w:sz w:val="16"/>
                <w:szCs w:val="16"/>
              </w:rPr>
              <w:t>I.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Ignath, </w:t>
            </w:r>
            <w:r w:rsidRPr="00AB1B90">
              <w:rPr>
                <w:sz w:val="16"/>
                <w:szCs w:val="16"/>
              </w:rPr>
              <w:t>V. V.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Kojić, </w:t>
            </w:r>
            <w:r w:rsidRPr="00537D56">
              <w:rPr>
                <w:sz w:val="16"/>
                <w:szCs w:val="16"/>
              </w:rPr>
              <w:t>A. M.</w:t>
            </w:r>
            <w:r w:rsidRPr="00537D56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537D56">
              <w:rPr>
                <w:sz w:val="16"/>
                <w:szCs w:val="16"/>
              </w:rPr>
              <w:t>Oklješa,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Savić, </w:t>
            </w:r>
            <w:r>
              <w:rPr>
                <w:sz w:val="16"/>
                <w:szCs w:val="16"/>
              </w:rPr>
              <w:t>P.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K.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Penov-Gaši,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hyperlink r:id="rId8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</w:rPr>
                <w:t>X-ray structural analysis and antitumor activity of new salicylic acid derivatives</w:t>
              </w:r>
            </w:hyperlink>
            <w:r>
              <w:rPr>
                <w:color w:val="000000" w:themeColor="text1"/>
                <w:sz w:val="16"/>
                <w:szCs w:val="16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Struct</w:t>
            </w:r>
            <w:r w:rsidR="00AB1B90" w:rsidRPr="00537D56">
              <w:rPr>
                <w:sz w:val="16"/>
                <w:szCs w:val="16"/>
              </w:rPr>
              <w:t xml:space="preserve"> Chem</w:t>
            </w:r>
            <w:r w:rsidR="00AB1B90" w:rsidRPr="00AB1B90">
              <w:rPr>
                <w:sz w:val="16"/>
                <w:szCs w:val="16"/>
              </w:rPr>
              <w:t>, 25, 1747-1758</w:t>
            </w:r>
            <w:r>
              <w:rPr>
                <w:sz w:val="16"/>
                <w:szCs w:val="16"/>
                <w:lang w:val="sr-Cyrl-CS"/>
              </w:rPr>
              <w:t xml:space="preserve"> (</w:t>
            </w:r>
            <w:r w:rsidRPr="00537D56">
              <w:rPr>
                <w:sz w:val="16"/>
                <w:szCs w:val="16"/>
              </w:rPr>
              <w:t>2014</w:t>
            </w:r>
            <w:r>
              <w:rPr>
                <w:sz w:val="16"/>
                <w:szCs w:val="16"/>
                <w:lang w:val="sr-Cyrl-CS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9"/>
            <w:shd w:val="clear" w:color="auto" w:fill="auto"/>
            <w:vAlign w:val="center"/>
          </w:tcPr>
          <w:p w:rsidR="00A66DA8" w:rsidRPr="00AB1B90" w:rsidRDefault="00C9700B" w:rsidP="00C9700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C9700B">
              <w:rPr>
                <w:sz w:val="16"/>
                <w:szCs w:val="16"/>
              </w:rPr>
              <w:t>A. M.</w:t>
            </w:r>
            <w:r w:rsidRPr="00C9700B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C9700B">
              <w:rPr>
                <w:sz w:val="16"/>
                <w:szCs w:val="16"/>
              </w:rPr>
              <w:t>Oklješa,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S.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Jovanović-Šanta, </w:t>
            </w:r>
            <w:r w:rsidRPr="00AB1B90">
              <w:rPr>
                <w:sz w:val="16"/>
                <w:szCs w:val="16"/>
              </w:rPr>
              <w:t>O. R.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Pr="00AB1B90">
              <w:rPr>
                <w:sz w:val="16"/>
                <w:szCs w:val="16"/>
              </w:rPr>
              <w:t>M. N.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Sakač, </w:t>
            </w: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Djurendić, </w:t>
            </w:r>
            <w:r w:rsidRPr="00AB1B90">
              <w:rPr>
                <w:sz w:val="16"/>
                <w:szCs w:val="16"/>
              </w:rPr>
              <w:t>D.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Jakimov, </w:t>
            </w:r>
            <w:r w:rsidRPr="00AB1B90">
              <w:rPr>
                <w:sz w:val="16"/>
                <w:szCs w:val="16"/>
              </w:rPr>
              <w:t>L. D.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Aleksić, </w:t>
            </w:r>
            <w:r w:rsidRPr="00AB1B90">
              <w:rPr>
                <w:sz w:val="16"/>
                <w:szCs w:val="16"/>
              </w:rPr>
              <w:t>K.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Penov Gaši ,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hyperlink r:id="rId9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Structural analysis and antitumor activity of androstane D-seco-mesyloxy derivatives</w:t>
              </w:r>
            </w:hyperlink>
            <w:r>
              <w:rPr>
                <w:color w:val="000000" w:themeColor="text1"/>
                <w:sz w:val="16"/>
                <w:szCs w:val="16"/>
                <w:shd w:val="clear" w:color="auto" w:fill="FFFFFF" w:themeFill="background1"/>
                <w:lang w:val="sr-Cyrl-CS"/>
              </w:rPr>
              <w:t>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J Braz Chem Soc</w:t>
            </w:r>
            <w:r w:rsidR="00AB1B90" w:rsidRPr="00AB1B90">
              <w:rPr>
                <w:sz w:val="16"/>
                <w:szCs w:val="16"/>
              </w:rPr>
              <w:t>, 24, 1613-1622</w:t>
            </w:r>
            <w:r>
              <w:rPr>
                <w:sz w:val="16"/>
                <w:szCs w:val="16"/>
                <w:lang w:val="sr-Cyrl-CS"/>
              </w:rPr>
              <w:t xml:space="preserve"> (</w:t>
            </w:r>
            <w:r w:rsidRPr="00C9700B">
              <w:rPr>
                <w:sz w:val="16"/>
                <w:szCs w:val="16"/>
              </w:rPr>
              <w:t>2013</w:t>
            </w:r>
            <w:r>
              <w:rPr>
                <w:sz w:val="16"/>
                <w:szCs w:val="16"/>
                <w:lang w:val="sr-Cyrl-CS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1042BB">
        <w:trPr>
          <w:trHeight w:val="227"/>
        </w:trPr>
        <w:tc>
          <w:tcPr>
            <w:tcW w:w="990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053" w:type="dxa"/>
            <w:gridSpan w:val="9"/>
            <w:shd w:val="clear" w:color="auto" w:fill="auto"/>
            <w:vAlign w:val="center"/>
          </w:tcPr>
          <w:p w:rsidR="00A66DA8" w:rsidRPr="00AB1B90" w:rsidRDefault="007944C3" w:rsidP="00A7038A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B1B90">
              <w:rPr>
                <w:sz w:val="16"/>
                <w:szCs w:val="16"/>
              </w:rPr>
              <w:t>K. 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Penov-Gaši, </w:t>
            </w:r>
            <w:r w:rsidRPr="007944C3">
              <w:rPr>
                <w:sz w:val="16"/>
                <w:szCs w:val="16"/>
              </w:rPr>
              <w:t>A. M.</w:t>
            </w:r>
            <w:r w:rsidRPr="007944C3"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7944C3">
              <w:rPr>
                <w:sz w:val="16"/>
                <w:szCs w:val="16"/>
              </w:rPr>
              <w:t>Oklješa,</w:t>
            </w:r>
            <w:r w:rsidR="00AB1B90" w:rsidRPr="00AB1B90">
              <w:rPr>
                <w:sz w:val="16"/>
                <w:szCs w:val="16"/>
              </w:rPr>
              <w:t xml:space="preserve"> </w:t>
            </w:r>
            <w:r w:rsidRPr="00AB1B90">
              <w:rPr>
                <w:sz w:val="16"/>
                <w:szCs w:val="16"/>
              </w:rPr>
              <w:t>E. T.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Petri, </w:t>
            </w:r>
            <w:r w:rsidRPr="00AB1B90">
              <w:rPr>
                <w:sz w:val="16"/>
                <w:szCs w:val="16"/>
              </w:rPr>
              <w:t>A. S.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Ćelić, </w:t>
            </w:r>
            <w:r w:rsidRPr="00AB1B90">
              <w:rPr>
                <w:sz w:val="16"/>
                <w:szCs w:val="16"/>
              </w:rPr>
              <w:t>E. A.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Djurendić, </w:t>
            </w:r>
            <w:r w:rsidR="00A7038A" w:rsidRPr="00AB1B90">
              <w:rPr>
                <w:sz w:val="16"/>
                <w:szCs w:val="16"/>
              </w:rPr>
              <w:t>O. R.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Klisurić, </w:t>
            </w:r>
            <w:r w:rsidR="00A7038A" w:rsidRPr="00AB1B90">
              <w:rPr>
                <w:sz w:val="16"/>
                <w:szCs w:val="16"/>
              </w:rPr>
              <w:t>J. J.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Csanadi, </w:t>
            </w:r>
            <w:r w:rsidR="00A7038A" w:rsidRPr="00AB1B90">
              <w:rPr>
                <w:sz w:val="16"/>
                <w:szCs w:val="16"/>
              </w:rPr>
              <w:t>G.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Batta, </w:t>
            </w:r>
            <w:r w:rsidR="00A7038A" w:rsidRPr="00AB1B90">
              <w:rPr>
                <w:sz w:val="16"/>
                <w:szCs w:val="16"/>
              </w:rPr>
              <w:t>A. R.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Nikolić, </w:t>
            </w:r>
            <w:r w:rsidR="00A7038A" w:rsidRPr="00AB1B90">
              <w:rPr>
                <w:sz w:val="16"/>
                <w:szCs w:val="16"/>
              </w:rPr>
              <w:t>D. S.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 xml:space="preserve">Jakimov, </w:t>
            </w:r>
            <w:r w:rsidR="00A7038A" w:rsidRPr="00AB1B90">
              <w:rPr>
                <w:sz w:val="16"/>
                <w:szCs w:val="16"/>
              </w:rPr>
              <w:t>M. N.</w:t>
            </w:r>
            <w:r w:rsidR="00A7038A">
              <w:rPr>
                <w:sz w:val="16"/>
                <w:szCs w:val="16"/>
              </w:rPr>
              <w:t xml:space="preserve"> </w:t>
            </w:r>
            <w:r w:rsidR="00AB1B90" w:rsidRPr="00AB1B90">
              <w:rPr>
                <w:sz w:val="16"/>
                <w:szCs w:val="16"/>
              </w:rPr>
              <w:t>Sakač,</w:t>
            </w:r>
            <w:r w:rsidR="00A7038A">
              <w:rPr>
                <w:sz w:val="16"/>
                <w:szCs w:val="16"/>
              </w:rPr>
              <w:t xml:space="preserve"> </w:t>
            </w:r>
            <w:hyperlink r:id="rId10" w:tooltip="Show document details" w:history="1">
              <w:r w:rsidR="00AB1B90" w:rsidRPr="00AB1B90">
                <w:rPr>
                  <w:rStyle w:val="Hyperlink"/>
                  <w:color w:val="000000" w:themeColor="text1"/>
                  <w:sz w:val="16"/>
                  <w:szCs w:val="16"/>
                  <w:u w:val="none"/>
                  <w:shd w:val="clear" w:color="auto" w:fill="FFFFFF" w:themeFill="background1"/>
                </w:rPr>
                <w:t>Selective antitumour activity and ERα molecular docking studies of newly synthesized d-homo fused steroidal tetrazoles</w:t>
              </w:r>
            </w:hyperlink>
            <w:r w:rsidR="00A7038A">
              <w:rPr>
                <w:color w:val="000000" w:themeColor="text1"/>
                <w:sz w:val="16"/>
                <w:szCs w:val="16"/>
              </w:rPr>
              <w:t>,</w:t>
            </w:r>
            <w:r w:rsidR="00AB1B90" w:rsidRPr="00AB1B90">
              <w:rPr>
                <w:i/>
                <w:sz w:val="16"/>
                <w:szCs w:val="16"/>
              </w:rPr>
              <w:t xml:space="preserve"> </w:t>
            </w:r>
            <w:r w:rsidR="00AB1B90" w:rsidRPr="00A7038A">
              <w:rPr>
                <w:sz w:val="16"/>
                <w:szCs w:val="16"/>
              </w:rPr>
              <w:t>MedChemComm</w:t>
            </w:r>
            <w:r w:rsidR="00AB1B90" w:rsidRPr="00AB1B90">
              <w:rPr>
                <w:sz w:val="16"/>
                <w:szCs w:val="16"/>
              </w:rPr>
              <w:t>, 4, 317-323</w:t>
            </w:r>
            <w:r w:rsidR="00A7038A">
              <w:rPr>
                <w:sz w:val="16"/>
                <w:szCs w:val="16"/>
              </w:rPr>
              <w:t xml:space="preserve"> (</w:t>
            </w:r>
            <w:r w:rsidR="00A7038A" w:rsidRPr="00A7038A">
              <w:rPr>
                <w:sz w:val="16"/>
                <w:szCs w:val="16"/>
              </w:rPr>
              <w:t>2013</w:t>
            </w:r>
            <w:r w:rsidR="00A7038A">
              <w:rPr>
                <w:sz w:val="16"/>
                <w:szCs w:val="16"/>
              </w:rPr>
              <w:t>)</w:t>
            </w:r>
            <w:r w:rsidR="00AB1B90" w:rsidRPr="00AB1B90">
              <w:rPr>
                <w:sz w:val="16"/>
                <w:szCs w:val="16"/>
              </w:rPr>
              <w:t>.</w:t>
            </w:r>
          </w:p>
        </w:tc>
      </w:tr>
      <w:tr w:rsidR="00A66DA8" w:rsidRPr="005E671A" w:rsidTr="00E10FEF">
        <w:trPr>
          <w:trHeight w:val="227"/>
        </w:trPr>
        <w:tc>
          <w:tcPr>
            <w:tcW w:w="1004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E10FEF">
        <w:trPr>
          <w:trHeight w:val="227"/>
        </w:trPr>
        <w:tc>
          <w:tcPr>
            <w:tcW w:w="432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AB1B9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</w:tr>
      <w:tr w:rsidR="00A66DA8" w:rsidRPr="005E671A" w:rsidTr="00E10FEF">
        <w:trPr>
          <w:trHeight w:val="227"/>
        </w:trPr>
        <w:tc>
          <w:tcPr>
            <w:tcW w:w="432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AB1B9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A66DA8" w:rsidRPr="005E671A" w:rsidTr="00E10FEF">
        <w:trPr>
          <w:trHeight w:val="227"/>
        </w:trPr>
        <w:tc>
          <w:tcPr>
            <w:tcW w:w="432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AB1B90">
              <w:rPr>
                <w:lang w:val="sr-Cyrl-CS"/>
              </w:rPr>
              <w:t>: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E643A8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E643A8">
              <w:rPr>
                <w:lang w:val="en-US"/>
              </w:rPr>
              <w:t>: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042BB"/>
    <w:rsid w:val="0011797A"/>
    <w:rsid w:val="00173DA5"/>
    <w:rsid w:val="00390680"/>
    <w:rsid w:val="003C7C0B"/>
    <w:rsid w:val="004958FD"/>
    <w:rsid w:val="004B27D8"/>
    <w:rsid w:val="004E1F66"/>
    <w:rsid w:val="004E7A7C"/>
    <w:rsid w:val="00537D56"/>
    <w:rsid w:val="005A1D49"/>
    <w:rsid w:val="005B7D61"/>
    <w:rsid w:val="00604C52"/>
    <w:rsid w:val="00640AAC"/>
    <w:rsid w:val="00683523"/>
    <w:rsid w:val="00750C7E"/>
    <w:rsid w:val="007944C3"/>
    <w:rsid w:val="0093307F"/>
    <w:rsid w:val="00965CD3"/>
    <w:rsid w:val="009B16C3"/>
    <w:rsid w:val="009F3434"/>
    <w:rsid w:val="00A61F15"/>
    <w:rsid w:val="00A66DA8"/>
    <w:rsid w:val="00A7038A"/>
    <w:rsid w:val="00AB1B90"/>
    <w:rsid w:val="00AF0630"/>
    <w:rsid w:val="00B25543"/>
    <w:rsid w:val="00B40817"/>
    <w:rsid w:val="00B634C2"/>
    <w:rsid w:val="00C02D18"/>
    <w:rsid w:val="00C62206"/>
    <w:rsid w:val="00C90DBB"/>
    <w:rsid w:val="00C9700B"/>
    <w:rsid w:val="00CE312D"/>
    <w:rsid w:val="00E10FEF"/>
    <w:rsid w:val="00E64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uiPriority w:val="99"/>
    <w:semiHidden/>
    <w:unhideWhenUsed/>
    <w:rsid w:val="00AB1B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record/display.uri?eid=2-s2.0-84939891107&amp;origin=resultslist&amp;sort=plf-f&amp;src=s&amp;st1=okljesa+a.&amp;st2=&amp;sid=E9093D0E7E81D07E085CD02B06276FEA.wsnAw8kcdt7IPYLO0V48gA%3a20&amp;sot=b&amp;sdt=b&amp;sl=23&amp;s=AUTHOR-NAME%28okljesa+a.%29&amp;relpos=4&amp;citeCnt=5&amp;searchTerm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opus.com/record/display.uri?eid=2-s2.0-84920660842&amp;origin=resultslist&amp;sort=plf-f&amp;src=s&amp;st1=okljesa+a.&amp;st2=&amp;sid=E9093D0E7E81D07E085CD02B06276FEA.wsnAw8kcdt7IPYLO0V48gA%3a20&amp;sot=b&amp;sdt=b&amp;sl=23&amp;s=AUTHOR-NAME%28okljesa+a.%29&amp;relpos=2&amp;citeCnt=1&amp;searchTerm=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opus.com/record/display.uri?eid=2-s2.0-84942010211&amp;origin=resultslist&amp;sort=plf-f&amp;src=s&amp;st1=okljesa+a.&amp;st2=&amp;sid=E9093D0E7E81D07E085CD02B06276FEA.wsnAw8kcdt7IPYLO0V48gA%3a20&amp;sot=b&amp;sdt=b&amp;sl=23&amp;s=AUTHOR-NAME%28okljesa+a.%29&amp;relpos=1&amp;citeCnt=0&amp;searchTerm=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copus.com/record/display.uri?eid=2-s2.0-84996743321&amp;origin=resultslist&amp;sort=plf-f&amp;src=s&amp;st1=okljesa+a.&amp;st2=&amp;sid=ABD0CDEA2758D0D3FBD71AA3B84348C8.wsnAw8kcdt7IPYLO0V48gA%3a20&amp;sot=b&amp;sdt=b&amp;sl=23&amp;s=AUTHOR-NAME%28okljesa+a.%29&amp;relpos=0&amp;citeCnt=0&amp;searchTerm=" TargetMode="External"/><Relationship Id="rId10" Type="http://schemas.openxmlformats.org/officeDocument/2006/relationships/hyperlink" Target="https://www.scopus.com/record/display.uri?eid=2-s2.0-84876733715&amp;origin=resultslist&amp;sort=plf-f&amp;src=s&amp;st1=okljesa+a.&amp;st2=&amp;sid=E9093D0E7E81D07E085CD02B06276FEA.wsnAw8kcdt7IPYLO0V48gA%3a20&amp;sot=b&amp;sdt=b&amp;sl=23&amp;s=AUTHOR-NAME%28okljesa+a.%29&amp;relpos=6&amp;citeCnt=5&amp;searchTerm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opus.com/record/display.uri?eid=2-s2.0-84885097782&amp;origin=resultslist&amp;sort=plf-f&amp;src=s&amp;st1=okljesa+a.&amp;st2=&amp;sid=E9093D0E7E81D07E085CD02B06276FEA.wsnAw8kcdt7IPYLO0V48gA%3a20&amp;sot=b&amp;sdt=b&amp;sl=23&amp;s=AUTHOR-NAME%28okljesa+a.%29&amp;relpos=5&amp;citeCnt=4&amp;searchTerm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9</cp:revision>
  <dcterms:created xsi:type="dcterms:W3CDTF">2017-02-24T10:02:00Z</dcterms:created>
  <dcterms:modified xsi:type="dcterms:W3CDTF">2017-09-13T08:32:00Z</dcterms:modified>
</cp:coreProperties>
</file>