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64"/>
        <w:gridCol w:w="1002"/>
        <w:gridCol w:w="326"/>
        <w:gridCol w:w="119"/>
        <w:gridCol w:w="980"/>
        <w:gridCol w:w="765"/>
        <w:gridCol w:w="265"/>
        <w:gridCol w:w="86"/>
        <w:gridCol w:w="782"/>
        <w:gridCol w:w="352"/>
        <w:gridCol w:w="66"/>
        <w:gridCol w:w="1419"/>
        <w:gridCol w:w="216"/>
        <w:gridCol w:w="1651"/>
      </w:tblGrid>
      <w:tr w:rsidR="00655F70" w:rsidRPr="00491993" w14:paraId="2B652DFE" w14:textId="77777777" w:rsidTr="00DC3BA2">
        <w:trPr>
          <w:trHeight w:val="274"/>
        </w:trPr>
        <w:tc>
          <w:tcPr>
            <w:tcW w:w="4337" w:type="dxa"/>
            <w:gridSpan w:val="8"/>
            <w:vAlign w:val="center"/>
          </w:tcPr>
          <w:p w14:paraId="516F6888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572" w:type="dxa"/>
            <w:gridSpan w:val="7"/>
            <w:vAlign w:val="center"/>
          </w:tcPr>
          <w:p w14:paraId="3A09F768" w14:textId="67E92976" w:rsidR="00655F70" w:rsidRPr="00DC3BA2" w:rsidRDefault="00DC3BA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Александра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Тубић</w:t>
            </w:r>
            <w:proofErr w:type="spellEnd"/>
          </w:p>
        </w:tc>
      </w:tr>
      <w:tr w:rsidR="00655F70" w:rsidRPr="00491993" w14:paraId="61EA61D4" w14:textId="77777777" w:rsidTr="00DC3BA2">
        <w:trPr>
          <w:trHeight w:val="263"/>
        </w:trPr>
        <w:tc>
          <w:tcPr>
            <w:tcW w:w="4337" w:type="dxa"/>
            <w:gridSpan w:val="8"/>
            <w:vAlign w:val="center"/>
          </w:tcPr>
          <w:p w14:paraId="63A2419D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572" w:type="dxa"/>
            <w:gridSpan w:val="7"/>
            <w:vAlign w:val="center"/>
          </w:tcPr>
          <w:p w14:paraId="62BC03CB" w14:textId="2FF5DECD" w:rsidR="00655F70" w:rsidRPr="00491993" w:rsidRDefault="00DC3BA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655F70" w:rsidRPr="00491993" w14:paraId="169628CD" w14:textId="77777777" w:rsidTr="00F069F6">
        <w:trPr>
          <w:trHeight w:val="382"/>
        </w:trPr>
        <w:tc>
          <w:tcPr>
            <w:tcW w:w="4337" w:type="dxa"/>
            <w:gridSpan w:val="8"/>
            <w:vAlign w:val="center"/>
          </w:tcPr>
          <w:p w14:paraId="77B7EF1C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572" w:type="dxa"/>
            <w:gridSpan w:val="7"/>
            <w:vAlign w:val="center"/>
          </w:tcPr>
          <w:p w14:paraId="665CF0FE" w14:textId="24ABC124" w:rsidR="00655F70" w:rsidRPr="00491993" w:rsidRDefault="00DC3BA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 (УНСПМФ), од 2003</w:t>
            </w:r>
          </w:p>
        </w:tc>
      </w:tr>
      <w:tr w:rsidR="00655F70" w:rsidRPr="00491993" w14:paraId="73D6CDE8" w14:textId="77777777" w:rsidTr="00DC3BA2">
        <w:trPr>
          <w:trHeight w:val="427"/>
        </w:trPr>
        <w:tc>
          <w:tcPr>
            <w:tcW w:w="4337" w:type="dxa"/>
            <w:gridSpan w:val="8"/>
            <w:vAlign w:val="center"/>
          </w:tcPr>
          <w:p w14:paraId="19A802DD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572" w:type="dxa"/>
            <w:gridSpan w:val="7"/>
            <w:vAlign w:val="center"/>
          </w:tcPr>
          <w:p w14:paraId="5D828936" w14:textId="4F2466F9" w:rsidR="00655F70" w:rsidRPr="00491993" w:rsidRDefault="00DC3BA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Заштита животне средине (ЗЖС)</w:t>
            </w:r>
          </w:p>
        </w:tc>
      </w:tr>
      <w:tr w:rsidR="00655F70" w:rsidRPr="00491993" w14:paraId="0C80A798" w14:textId="77777777" w:rsidTr="00F069F6">
        <w:trPr>
          <w:trHeight w:val="185"/>
        </w:trPr>
        <w:tc>
          <w:tcPr>
            <w:tcW w:w="8909" w:type="dxa"/>
            <w:gridSpan w:val="15"/>
            <w:vAlign w:val="center"/>
          </w:tcPr>
          <w:p w14:paraId="12A62FB3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491993" w14:paraId="505CF308" w14:textId="77777777" w:rsidTr="00DC3BA2">
        <w:trPr>
          <w:trHeight w:val="427"/>
        </w:trPr>
        <w:tc>
          <w:tcPr>
            <w:tcW w:w="2327" w:type="dxa"/>
            <w:gridSpan w:val="5"/>
            <w:vAlign w:val="center"/>
          </w:tcPr>
          <w:p w14:paraId="3EAA2339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" w:type="dxa"/>
            <w:vAlign w:val="center"/>
          </w:tcPr>
          <w:p w14:paraId="2016139B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09FAE93E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79D2B162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22EBEFD8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655F70" w:rsidRPr="00491993" w14:paraId="2BE400CA" w14:textId="77777777" w:rsidTr="00DC3BA2">
        <w:trPr>
          <w:trHeight w:val="277"/>
        </w:trPr>
        <w:tc>
          <w:tcPr>
            <w:tcW w:w="2327" w:type="dxa"/>
            <w:gridSpan w:val="5"/>
            <w:vAlign w:val="center"/>
          </w:tcPr>
          <w:p w14:paraId="18E45146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80" w:type="dxa"/>
            <w:vAlign w:val="center"/>
          </w:tcPr>
          <w:p w14:paraId="0A0EBC54" w14:textId="229B64C1" w:rsidR="00655F70" w:rsidRPr="00491993" w:rsidRDefault="00DC3BA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725BAA72" w14:textId="20F56F99" w:rsidR="00655F70" w:rsidRPr="00491993" w:rsidRDefault="00DC3BA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41A6BFA4" w14:textId="17D6A374" w:rsidR="00655F70" w:rsidRPr="00491993" w:rsidRDefault="00DC3BA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ЗЖС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3512C388" w14:textId="2049462D" w:rsidR="00655F70" w:rsidRPr="00491993" w:rsidRDefault="00DC3BA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ЗЖС</w:t>
            </w:r>
          </w:p>
        </w:tc>
      </w:tr>
      <w:tr w:rsidR="00DC3BA2" w:rsidRPr="00491993" w14:paraId="6CC41C7B" w14:textId="77777777" w:rsidTr="00F069F6">
        <w:trPr>
          <w:trHeight w:val="234"/>
        </w:trPr>
        <w:tc>
          <w:tcPr>
            <w:tcW w:w="2327" w:type="dxa"/>
            <w:gridSpan w:val="5"/>
            <w:vAlign w:val="center"/>
          </w:tcPr>
          <w:p w14:paraId="64FF0AB1" w14:textId="77777777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80" w:type="dxa"/>
            <w:vAlign w:val="center"/>
          </w:tcPr>
          <w:p w14:paraId="274A02D1" w14:textId="72B713F4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D5ACF96" w14:textId="62606625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7FDA8827" w14:textId="273B8438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ЗЖС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7DA63820" w14:textId="314C1111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ЗЖС</w:t>
            </w:r>
          </w:p>
        </w:tc>
      </w:tr>
      <w:tr w:rsidR="00DC3BA2" w:rsidRPr="00491993" w14:paraId="66505316" w14:textId="77777777" w:rsidTr="00DC3BA2">
        <w:trPr>
          <w:trHeight w:val="243"/>
        </w:trPr>
        <w:tc>
          <w:tcPr>
            <w:tcW w:w="2327" w:type="dxa"/>
            <w:gridSpan w:val="5"/>
            <w:vAlign w:val="center"/>
          </w:tcPr>
          <w:p w14:paraId="3A859A70" w14:textId="77777777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80" w:type="dxa"/>
            <w:vAlign w:val="center"/>
          </w:tcPr>
          <w:p w14:paraId="328288FD" w14:textId="002369E0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4CE24A1" w14:textId="69A15A90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036022B6" w14:textId="4C4047BA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1A205B03" w14:textId="6E1C3C40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DC3BA2" w:rsidRPr="00491993" w14:paraId="2372D044" w14:textId="77777777" w:rsidTr="00DC3BA2">
        <w:trPr>
          <w:trHeight w:val="205"/>
        </w:trPr>
        <w:tc>
          <w:tcPr>
            <w:tcW w:w="2327" w:type="dxa"/>
            <w:gridSpan w:val="5"/>
            <w:vAlign w:val="center"/>
          </w:tcPr>
          <w:p w14:paraId="32905A65" w14:textId="77777777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80" w:type="dxa"/>
            <w:vAlign w:val="center"/>
          </w:tcPr>
          <w:p w14:paraId="66E8A1A4" w14:textId="590C9ABD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058DFF53" w14:textId="53991B47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3388D876" w14:textId="33B84BBC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23E50162" w14:textId="403E3613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DC3BA2" w:rsidRPr="00491993" w14:paraId="71FE2B8F" w14:textId="77777777" w:rsidTr="00F069F6">
        <w:trPr>
          <w:trHeight w:val="189"/>
        </w:trPr>
        <w:tc>
          <w:tcPr>
            <w:tcW w:w="2327" w:type="dxa"/>
            <w:gridSpan w:val="5"/>
            <w:vAlign w:val="center"/>
          </w:tcPr>
          <w:p w14:paraId="06AC7502" w14:textId="77777777" w:rsidR="00DC3BA2" w:rsidRPr="00AC0E94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80" w:type="dxa"/>
            <w:vAlign w:val="center"/>
          </w:tcPr>
          <w:p w14:paraId="211178F6" w14:textId="2DAD5B62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365A47CA" w14:textId="6E978854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4080E2BB" w14:textId="4655F487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2B86EB50" w14:textId="6A92BC2D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DC3BA2" w:rsidRPr="00491993" w14:paraId="1545667E" w14:textId="77777777" w:rsidTr="00DC3BA2">
        <w:trPr>
          <w:trHeight w:val="129"/>
        </w:trPr>
        <w:tc>
          <w:tcPr>
            <w:tcW w:w="2327" w:type="dxa"/>
            <w:gridSpan w:val="5"/>
            <w:vAlign w:val="center"/>
          </w:tcPr>
          <w:p w14:paraId="3EDA0270" w14:textId="77777777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80" w:type="dxa"/>
            <w:vAlign w:val="center"/>
          </w:tcPr>
          <w:p w14:paraId="4C9C5555" w14:textId="0B653172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2003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24828522" w14:textId="4EB03AD8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3E3A285E" w14:textId="59CE43F0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ЗЖС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14:paraId="582B6EC5" w14:textId="5911355D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ЗЖС</w:t>
            </w:r>
          </w:p>
        </w:tc>
      </w:tr>
      <w:tr w:rsidR="00DC3BA2" w:rsidRPr="00491993" w14:paraId="30A0B29A" w14:textId="77777777" w:rsidTr="00DC3BA2">
        <w:trPr>
          <w:trHeight w:val="427"/>
        </w:trPr>
        <w:tc>
          <w:tcPr>
            <w:tcW w:w="8909" w:type="dxa"/>
            <w:gridSpan w:val="15"/>
            <w:vAlign w:val="center"/>
          </w:tcPr>
          <w:p w14:paraId="2279AAF8" w14:textId="77777777" w:rsidR="00DC3BA2" w:rsidRPr="00AC0E94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DC3BA2" w:rsidRPr="00491993" w14:paraId="476ED26A" w14:textId="77777777" w:rsidTr="00F069F6">
        <w:trPr>
          <w:trHeight w:val="800"/>
        </w:trPr>
        <w:tc>
          <w:tcPr>
            <w:tcW w:w="816" w:type="dxa"/>
            <w:shd w:val="clear" w:color="auto" w:fill="auto"/>
            <w:vAlign w:val="center"/>
          </w:tcPr>
          <w:p w14:paraId="1FF094DD" w14:textId="77777777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6B8BB0BC" w14:textId="77777777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6907FCF4" w14:textId="77777777" w:rsidR="00DC3BA2" w:rsidRPr="00AC0E94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541" w:type="dxa"/>
            <w:gridSpan w:val="6"/>
            <w:shd w:val="clear" w:color="auto" w:fill="auto"/>
            <w:vAlign w:val="center"/>
          </w:tcPr>
          <w:p w14:paraId="728002C4" w14:textId="77777777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3F70926" w14:textId="77777777" w:rsidR="00DC3BA2" w:rsidRPr="00AC0E94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2726B8AB" w14:textId="77777777" w:rsidR="00DC3BA2" w:rsidRPr="00AC0E94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13874500" w14:textId="77777777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DC3BA2" w:rsidRPr="00491993" w14:paraId="2DA78423" w14:textId="77777777" w:rsidTr="00F069F6">
        <w:trPr>
          <w:trHeight w:val="147"/>
        </w:trPr>
        <w:tc>
          <w:tcPr>
            <w:tcW w:w="816" w:type="dxa"/>
            <w:shd w:val="clear" w:color="auto" w:fill="auto"/>
            <w:vAlign w:val="center"/>
          </w:tcPr>
          <w:p w14:paraId="018AF5F1" w14:textId="3E7FACD5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4B09D253" w14:textId="4527918A" w:rsidR="00DC3BA2" w:rsidRPr="00F069F6" w:rsidRDefault="00A517B1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ОЗЗС-206</w:t>
            </w:r>
          </w:p>
        </w:tc>
        <w:tc>
          <w:tcPr>
            <w:tcW w:w="2541" w:type="dxa"/>
            <w:gridSpan w:val="6"/>
            <w:shd w:val="clear" w:color="auto" w:fill="auto"/>
            <w:vAlign w:val="center"/>
          </w:tcPr>
          <w:p w14:paraId="52D6A7B3" w14:textId="7A6F2363" w:rsidR="00DC3BA2" w:rsidRPr="00F069F6" w:rsidRDefault="00A517B1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Основи контроле квалитета животне средине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FEC5266" w14:textId="370E4FDB" w:rsidR="00F069F6" w:rsidRPr="00F069F6" w:rsidRDefault="00F069F6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П+В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7821DAC2" w14:textId="7AEE42AA" w:rsidR="00DC3BA2" w:rsidRPr="00F069F6" w:rsidRDefault="00A517B1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ОАС Заштита животне средине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45D23E29" w14:textId="289F8A8E" w:rsidR="00DC3BA2" w:rsidRPr="00F069F6" w:rsidRDefault="00A517B1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DC3BA2" w:rsidRPr="00491993" w14:paraId="6C26AD71" w14:textId="77777777" w:rsidTr="00F069F6">
        <w:trPr>
          <w:trHeight w:val="367"/>
        </w:trPr>
        <w:tc>
          <w:tcPr>
            <w:tcW w:w="816" w:type="dxa"/>
            <w:shd w:val="clear" w:color="auto" w:fill="auto"/>
            <w:vAlign w:val="center"/>
          </w:tcPr>
          <w:p w14:paraId="0E84F302" w14:textId="43163C6C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1D6B415C" w14:textId="26FDE1CE" w:rsidR="00DC3BA2" w:rsidRPr="00F069F6" w:rsidRDefault="00A517B1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МХК-502</w:t>
            </w:r>
          </w:p>
        </w:tc>
        <w:tc>
          <w:tcPr>
            <w:tcW w:w="2541" w:type="dxa"/>
            <w:gridSpan w:val="6"/>
            <w:shd w:val="clear" w:color="auto" w:fill="auto"/>
            <w:vAlign w:val="center"/>
          </w:tcPr>
          <w:p w14:paraId="36B731A7" w14:textId="01A92AEE" w:rsidR="00DC3BA2" w:rsidRPr="00F069F6" w:rsidRDefault="00A517B1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Обезбеђивање квалитета у лабораторији за испитивање животне средине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CF8953B" w14:textId="109F626B" w:rsidR="00DC3BA2" w:rsidRPr="00F069F6" w:rsidRDefault="00F069F6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П+В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5781CFCD" w14:textId="736DE237" w:rsidR="00DC3BA2" w:rsidRPr="00F069F6" w:rsidRDefault="00A517B1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МАС </w:t>
            </w: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Заштита животне средине</w:t>
            </w: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2A0DBD5F" w14:textId="065B84FA" w:rsidR="00DC3BA2" w:rsidRPr="00F069F6" w:rsidRDefault="00A517B1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DC3BA2" w:rsidRPr="00491993" w14:paraId="0087187C" w14:textId="77777777" w:rsidTr="00F069F6">
        <w:trPr>
          <w:trHeight w:val="107"/>
        </w:trPr>
        <w:tc>
          <w:tcPr>
            <w:tcW w:w="816" w:type="dxa"/>
            <w:shd w:val="clear" w:color="auto" w:fill="auto"/>
            <w:vAlign w:val="center"/>
          </w:tcPr>
          <w:p w14:paraId="22D8B047" w14:textId="4718DB4B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6DEF60BE" w14:textId="5F05AE96" w:rsidR="00DC3BA2" w:rsidRPr="00F069F6" w:rsidRDefault="00A517B1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МХК-501</w:t>
            </w:r>
          </w:p>
        </w:tc>
        <w:tc>
          <w:tcPr>
            <w:tcW w:w="2541" w:type="dxa"/>
            <w:gridSpan w:val="6"/>
            <w:shd w:val="clear" w:color="auto" w:fill="auto"/>
            <w:vAlign w:val="center"/>
          </w:tcPr>
          <w:p w14:paraId="135F47C5" w14:textId="2773E24B" w:rsidR="00DC3BA2" w:rsidRPr="00F069F6" w:rsidRDefault="00A517B1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Екоменаџмент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9511606" w14:textId="0E32AE8B" w:rsidR="00DC3BA2" w:rsidRPr="00F069F6" w:rsidRDefault="00F069F6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П+В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46C6CCA1" w14:textId="6584CCC0" w:rsidR="00DC3BA2" w:rsidRPr="00F069F6" w:rsidRDefault="006B763E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МАС </w:t>
            </w: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Хемија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53A51E45" w14:textId="108553B9" w:rsidR="00DC3BA2" w:rsidRPr="00F069F6" w:rsidRDefault="006B763E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DC3BA2" w:rsidRPr="00491993" w14:paraId="4F808D47" w14:textId="77777777" w:rsidTr="00F069F6">
        <w:trPr>
          <w:trHeight w:val="373"/>
        </w:trPr>
        <w:tc>
          <w:tcPr>
            <w:tcW w:w="816" w:type="dxa"/>
            <w:shd w:val="clear" w:color="auto" w:fill="auto"/>
            <w:vAlign w:val="center"/>
          </w:tcPr>
          <w:p w14:paraId="59C2F13C" w14:textId="1FA1A0D8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26AD80BD" w14:textId="0046F0A8" w:rsidR="00DC3BA2" w:rsidRPr="00F069F6" w:rsidRDefault="006B763E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ОЗЗС-207</w:t>
            </w:r>
          </w:p>
        </w:tc>
        <w:tc>
          <w:tcPr>
            <w:tcW w:w="2541" w:type="dxa"/>
            <w:gridSpan w:val="6"/>
            <w:shd w:val="clear" w:color="auto" w:fill="auto"/>
            <w:vAlign w:val="center"/>
          </w:tcPr>
          <w:p w14:paraId="69308DDA" w14:textId="552D93C0" w:rsidR="00DC3BA2" w:rsidRPr="00F069F6" w:rsidRDefault="006B763E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Управљање </w:t>
            </w:r>
            <w:r w:rsidR="00F069F6"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отпадом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6BED112" w14:textId="38401601" w:rsidR="00DC3BA2" w:rsidRPr="00F069F6" w:rsidRDefault="00F069F6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П+В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61675017" w14:textId="71D2E35F" w:rsidR="00DC3BA2" w:rsidRPr="00F069F6" w:rsidRDefault="00F069F6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МАС Хемија</w:t>
            </w: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, МАС ЗЖС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5378772B" w14:textId="5AA958D3" w:rsidR="00DC3BA2" w:rsidRPr="00F069F6" w:rsidRDefault="00F069F6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DC3BA2" w:rsidRPr="00491993" w14:paraId="5BD8675D" w14:textId="77777777" w:rsidTr="00F069F6">
        <w:trPr>
          <w:trHeight w:val="317"/>
        </w:trPr>
        <w:tc>
          <w:tcPr>
            <w:tcW w:w="816" w:type="dxa"/>
            <w:shd w:val="clear" w:color="auto" w:fill="auto"/>
            <w:vAlign w:val="center"/>
          </w:tcPr>
          <w:p w14:paraId="11B8C2C6" w14:textId="16A434B8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7814E192" w14:textId="4F51DE42" w:rsidR="00DC3BA2" w:rsidRPr="00F069F6" w:rsidRDefault="00F069F6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ИКК-602</w:t>
            </w:r>
          </w:p>
        </w:tc>
        <w:tc>
          <w:tcPr>
            <w:tcW w:w="2541" w:type="dxa"/>
            <w:gridSpan w:val="6"/>
            <w:shd w:val="clear" w:color="auto" w:fill="auto"/>
            <w:vAlign w:val="center"/>
          </w:tcPr>
          <w:p w14:paraId="541E8E5B" w14:textId="4D017BDC" w:rsidR="00DC3BA2" w:rsidRPr="00F069F6" w:rsidRDefault="00F069F6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Загађујуће материје у животној средини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3481DB0" w14:textId="41DE3CBE" w:rsidR="00DC3BA2" w:rsidRPr="00F069F6" w:rsidRDefault="00F069F6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П+В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70A7C09A" w14:textId="11068E5C" w:rsidR="00DC3BA2" w:rsidRPr="00F069F6" w:rsidRDefault="00F069F6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Хемије, ОАС Биохемије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6E94C1B6" w14:textId="0A4A9B4D" w:rsidR="00DC3BA2" w:rsidRPr="00F069F6" w:rsidRDefault="00F069F6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069F6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DC3BA2" w:rsidRPr="00491993" w14:paraId="2B19483A" w14:textId="77777777" w:rsidTr="00F069F6">
        <w:trPr>
          <w:trHeight w:val="273"/>
        </w:trPr>
        <w:tc>
          <w:tcPr>
            <w:tcW w:w="8909" w:type="dxa"/>
            <w:gridSpan w:val="15"/>
            <w:vAlign w:val="center"/>
          </w:tcPr>
          <w:p w14:paraId="18024B8E" w14:textId="77777777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C3BA2" w:rsidRPr="00491993" w14:paraId="6D8F143C" w14:textId="77777777" w:rsidTr="00DC3BA2">
        <w:trPr>
          <w:trHeight w:val="427"/>
        </w:trPr>
        <w:tc>
          <w:tcPr>
            <w:tcW w:w="880" w:type="dxa"/>
            <w:gridSpan w:val="2"/>
            <w:vAlign w:val="center"/>
          </w:tcPr>
          <w:p w14:paraId="03F4910C" w14:textId="77777777" w:rsidR="00DC3BA2" w:rsidRPr="00491993" w:rsidRDefault="00DC3BA2" w:rsidP="00DC3B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029" w:type="dxa"/>
            <w:gridSpan w:val="13"/>
            <w:shd w:val="clear" w:color="auto" w:fill="auto"/>
            <w:vAlign w:val="center"/>
          </w:tcPr>
          <w:p w14:paraId="586D20C5" w14:textId="2782E9B6" w:rsidR="00DC3BA2" w:rsidRPr="00F069F6" w:rsidRDefault="00DC3BA2" w:rsidP="00DC3BA2">
            <w:pPr>
              <w:pStyle w:val="NormalWeb"/>
              <w:rPr>
                <w:rFonts w:ascii="Times" w:hAnsi="Times"/>
                <w:color w:val="000000"/>
                <w:sz w:val="18"/>
                <w:szCs w:val="18"/>
              </w:rPr>
            </w:pPr>
            <w:r w:rsidRPr="00F069F6">
              <w:rPr>
                <w:rFonts w:ascii="Times" w:hAnsi="Times"/>
                <w:color w:val="000000"/>
                <w:sz w:val="18"/>
                <w:szCs w:val="18"/>
              </w:rPr>
              <w:t>Tubić A., Vujić M., Gvoić V., Agbaba J., Vasiljević S., Cveticanin L., Vukelić Đ., Prica M. (2023) Sorption potential of microplastics for azo- and phthalocyanine printing dyes, Dyes and Pigments, 209, Part A,</w:t>
            </w:r>
            <w:r w:rsidR="00F069F6">
              <w:rPr>
                <w:rFonts w:ascii="Times" w:hAnsi="Times"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F069F6">
              <w:rPr>
                <w:rFonts w:ascii="Times" w:hAnsi="Times"/>
                <w:color w:val="000000"/>
                <w:sz w:val="18"/>
                <w:szCs w:val="18"/>
              </w:rPr>
              <w:t>10884.</w:t>
            </w:r>
          </w:p>
        </w:tc>
      </w:tr>
      <w:tr w:rsidR="00DC3BA2" w:rsidRPr="00491993" w14:paraId="29189101" w14:textId="77777777" w:rsidTr="00DC3BA2">
        <w:trPr>
          <w:trHeight w:val="427"/>
        </w:trPr>
        <w:tc>
          <w:tcPr>
            <w:tcW w:w="880" w:type="dxa"/>
            <w:gridSpan w:val="2"/>
            <w:vAlign w:val="center"/>
          </w:tcPr>
          <w:p w14:paraId="25082681" w14:textId="77777777" w:rsidR="00DC3BA2" w:rsidRPr="00491993" w:rsidRDefault="00DC3BA2" w:rsidP="00DC3B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029" w:type="dxa"/>
            <w:gridSpan w:val="13"/>
            <w:shd w:val="clear" w:color="auto" w:fill="auto"/>
            <w:vAlign w:val="center"/>
          </w:tcPr>
          <w:p w14:paraId="44B9DB22" w14:textId="453FE89F" w:rsidR="00DC3BA2" w:rsidRPr="00F069F6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3130D3">
              <w:rPr>
                <w:rFonts w:ascii="Times New Roman" w:hAnsi="Times New Roman"/>
                <w:sz w:val="18"/>
                <w:szCs w:val="18"/>
                <w:lang w:val="en-RS"/>
              </w:rPr>
              <w:t>Tubić A., Lončarski M., Apostolović T., Kragulj Isakovski M., Tričković J., Molnar Jazić J., Agbaba J.</w:t>
            </w:r>
            <w:r w:rsidRPr="00F069F6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r w:rsidRPr="003130D3">
              <w:rPr>
                <w:rFonts w:ascii="Times New Roman" w:hAnsi="Times New Roman"/>
                <w:sz w:val="18"/>
                <w:szCs w:val="18"/>
                <w:lang w:val="en-RS"/>
              </w:rPr>
              <w:t>(2021) Adsorption mechanisms of chlorobenzenes and trifluralin on primary polyethylene</w:t>
            </w:r>
            <w:r w:rsidRPr="00F069F6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r w:rsidRPr="003130D3">
              <w:rPr>
                <w:rFonts w:ascii="Times New Roman" w:hAnsi="Times New Roman"/>
                <w:sz w:val="18"/>
                <w:szCs w:val="18"/>
                <w:lang w:val="en-RS"/>
              </w:rPr>
              <w:t>microplastics in the aquatic environment, Envi Sci Poll Res, 28(42), 59416-59429</w:t>
            </w:r>
            <w:r w:rsidRPr="00F069F6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</w:p>
        </w:tc>
      </w:tr>
      <w:tr w:rsidR="00DC3BA2" w:rsidRPr="00491993" w14:paraId="47DF2457" w14:textId="77777777" w:rsidTr="00DC3BA2">
        <w:trPr>
          <w:trHeight w:val="427"/>
        </w:trPr>
        <w:tc>
          <w:tcPr>
            <w:tcW w:w="880" w:type="dxa"/>
            <w:gridSpan w:val="2"/>
            <w:vAlign w:val="center"/>
          </w:tcPr>
          <w:p w14:paraId="2E7F8B30" w14:textId="77777777" w:rsidR="00DC3BA2" w:rsidRPr="00491993" w:rsidRDefault="00DC3BA2" w:rsidP="00DC3B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029" w:type="dxa"/>
            <w:gridSpan w:val="13"/>
            <w:shd w:val="clear" w:color="auto" w:fill="auto"/>
            <w:vAlign w:val="center"/>
          </w:tcPr>
          <w:p w14:paraId="6E0B7046" w14:textId="470F5CA3" w:rsidR="00DC3BA2" w:rsidRPr="00F069F6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en-RS"/>
              </w:rPr>
            </w:pPr>
            <w:r w:rsidRPr="003130D3">
              <w:rPr>
                <w:rFonts w:ascii="Times New Roman" w:hAnsi="Times New Roman"/>
                <w:sz w:val="18"/>
                <w:szCs w:val="18"/>
                <w:lang w:val="en-RS"/>
              </w:rPr>
              <w:t>Tubić A., Lončarski M., Maletić S., Molnar Jazić J., Watson M., Tričković J., Agbaba J. (2019)</w:t>
            </w:r>
            <w:r w:rsidRPr="00F069F6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r w:rsidRPr="003130D3">
              <w:rPr>
                <w:rFonts w:ascii="Times New Roman" w:hAnsi="Times New Roman"/>
                <w:sz w:val="18"/>
                <w:szCs w:val="18"/>
                <w:lang w:val="en-RS"/>
              </w:rPr>
              <w:t>Significance of Chlorinated Phenols Adsorption on Plastics and Bioplastics during Water Treatment.</w:t>
            </w:r>
            <w:r w:rsidRPr="00F069F6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r w:rsidRPr="003130D3">
              <w:rPr>
                <w:rFonts w:ascii="Times New Roman" w:hAnsi="Times New Roman"/>
                <w:sz w:val="18"/>
                <w:szCs w:val="18"/>
                <w:lang w:val="en-RS"/>
              </w:rPr>
              <w:t xml:space="preserve">Water, 11, 2358-2369. </w:t>
            </w:r>
          </w:p>
        </w:tc>
      </w:tr>
      <w:tr w:rsidR="00DC3BA2" w:rsidRPr="00491993" w14:paraId="23054084" w14:textId="77777777" w:rsidTr="00DC3BA2">
        <w:trPr>
          <w:trHeight w:val="427"/>
        </w:trPr>
        <w:tc>
          <w:tcPr>
            <w:tcW w:w="880" w:type="dxa"/>
            <w:gridSpan w:val="2"/>
            <w:vAlign w:val="center"/>
          </w:tcPr>
          <w:p w14:paraId="568201A2" w14:textId="77777777" w:rsidR="00DC3BA2" w:rsidRPr="00491993" w:rsidRDefault="00DC3BA2" w:rsidP="00DC3B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029" w:type="dxa"/>
            <w:gridSpan w:val="13"/>
            <w:shd w:val="clear" w:color="auto" w:fill="auto"/>
            <w:vAlign w:val="center"/>
          </w:tcPr>
          <w:p w14:paraId="5485907F" w14:textId="511AEBF2" w:rsidR="00DC3BA2" w:rsidRPr="00F069F6" w:rsidRDefault="00DC3BA2" w:rsidP="00DC3BA2">
            <w:pPr>
              <w:pStyle w:val="NormalWeb"/>
              <w:rPr>
                <w:rFonts w:ascii="Times" w:hAnsi="Times"/>
                <w:color w:val="000000"/>
                <w:sz w:val="18"/>
                <w:szCs w:val="18"/>
              </w:rPr>
            </w:pPr>
            <w:r w:rsidRPr="003130D3">
              <w:rPr>
                <w:sz w:val="18"/>
                <w:szCs w:val="18"/>
              </w:rPr>
              <w:t>Tubić A., Agbaba J., Molnar Jazić J., Watson M., Dalmacija B. (2016) Pilot scale investigation of</w:t>
            </w:r>
            <w:r w:rsidRPr="00F069F6">
              <w:rPr>
                <w:sz w:val="18"/>
                <w:szCs w:val="18"/>
                <w:lang w:val="sr-Latn-RS"/>
              </w:rPr>
              <w:t xml:space="preserve"> </w:t>
            </w:r>
            <w:r w:rsidRPr="003130D3">
              <w:rPr>
                <w:sz w:val="18"/>
                <w:szCs w:val="18"/>
              </w:rPr>
              <w:t>coagulation combined with ozonation and pH adjustment in treatment of NOM rich water, Water</w:t>
            </w:r>
            <w:r w:rsidRPr="00F069F6">
              <w:rPr>
                <w:sz w:val="18"/>
                <w:szCs w:val="18"/>
                <w:lang w:val="sr-Latn-RS"/>
              </w:rPr>
              <w:t xml:space="preserve"> </w:t>
            </w:r>
            <w:r w:rsidRPr="003130D3">
              <w:rPr>
                <w:sz w:val="18"/>
                <w:szCs w:val="18"/>
              </w:rPr>
              <w:t>Science and Technology: Water Supply, 16(3), 837-844.</w:t>
            </w:r>
          </w:p>
        </w:tc>
      </w:tr>
      <w:tr w:rsidR="00DC3BA2" w:rsidRPr="00491993" w14:paraId="7D354CD1" w14:textId="77777777" w:rsidTr="00DC3BA2">
        <w:trPr>
          <w:trHeight w:val="427"/>
        </w:trPr>
        <w:tc>
          <w:tcPr>
            <w:tcW w:w="880" w:type="dxa"/>
            <w:gridSpan w:val="2"/>
            <w:vAlign w:val="center"/>
          </w:tcPr>
          <w:p w14:paraId="1B88BC68" w14:textId="77777777" w:rsidR="00DC3BA2" w:rsidRPr="00491993" w:rsidRDefault="00DC3BA2" w:rsidP="00DC3B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029" w:type="dxa"/>
            <w:gridSpan w:val="13"/>
            <w:shd w:val="clear" w:color="auto" w:fill="auto"/>
            <w:vAlign w:val="center"/>
          </w:tcPr>
          <w:p w14:paraId="67B09AF3" w14:textId="5B6F054D" w:rsidR="00DC3BA2" w:rsidRPr="00F069F6" w:rsidRDefault="004022DC" w:rsidP="004022DC">
            <w:pPr>
              <w:pStyle w:val="NormalWeb"/>
              <w:rPr>
                <w:rFonts w:ascii="Times" w:hAnsi="Times"/>
                <w:color w:val="000000"/>
                <w:sz w:val="18"/>
                <w:szCs w:val="18"/>
                <w:lang w:val="sr-Cyrl-RS"/>
              </w:rPr>
            </w:pPr>
            <w:r w:rsidRPr="00F069F6">
              <w:rPr>
                <w:rFonts w:ascii="Times" w:hAnsi="Times"/>
                <w:color w:val="000000"/>
                <w:sz w:val="18"/>
                <w:szCs w:val="18"/>
              </w:rPr>
              <w:t>Tubić A., Leovac A., Hrubik J., Glišić B., Kaišarević S., Ivančev-Tumbas I., Kovačević R. (2013)</w:t>
            </w:r>
            <w:r w:rsidRPr="00F069F6">
              <w:rPr>
                <w:rFonts w:ascii="Times" w:hAnsi="Times"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F069F6">
              <w:rPr>
                <w:rFonts w:ascii="Times" w:hAnsi="Times"/>
                <w:color w:val="000000"/>
                <w:sz w:val="18"/>
                <w:szCs w:val="18"/>
              </w:rPr>
              <w:t>Toxicological profiles assessment of the water and sediments from the Krivaja and Jegrička Rivers,</w:t>
            </w:r>
            <w:r w:rsidRPr="00F069F6">
              <w:rPr>
                <w:rFonts w:ascii="Times" w:hAnsi="Times"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F069F6">
              <w:rPr>
                <w:rFonts w:ascii="Times" w:hAnsi="Times"/>
                <w:color w:val="000000"/>
                <w:sz w:val="18"/>
                <w:szCs w:val="18"/>
              </w:rPr>
              <w:t>Serbia, J Env Sci Health, Part A, 48(10), 1201-1215</w:t>
            </w:r>
            <w:r w:rsidRPr="00F069F6">
              <w:rPr>
                <w:rFonts w:ascii="Times" w:hAnsi="Times"/>
                <w:color w:val="000000"/>
                <w:sz w:val="18"/>
                <w:szCs w:val="18"/>
                <w:lang w:val="sr-Cyrl-RS"/>
              </w:rPr>
              <w:t>.</w:t>
            </w:r>
          </w:p>
        </w:tc>
      </w:tr>
      <w:tr w:rsidR="00DC3BA2" w:rsidRPr="00491993" w14:paraId="2F0DC24E" w14:textId="77777777" w:rsidTr="00F069F6">
        <w:trPr>
          <w:trHeight w:val="69"/>
        </w:trPr>
        <w:tc>
          <w:tcPr>
            <w:tcW w:w="8909" w:type="dxa"/>
            <w:gridSpan w:val="15"/>
            <w:vAlign w:val="center"/>
          </w:tcPr>
          <w:p w14:paraId="1EFB703E" w14:textId="77777777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C3BA2" w:rsidRPr="00491993" w14:paraId="592A888C" w14:textId="77777777" w:rsidTr="00B94F88">
        <w:trPr>
          <w:trHeight w:val="209"/>
        </w:trPr>
        <w:tc>
          <w:tcPr>
            <w:tcW w:w="4072" w:type="dxa"/>
            <w:gridSpan w:val="7"/>
            <w:vAlign w:val="center"/>
          </w:tcPr>
          <w:p w14:paraId="3DE404A0" w14:textId="77777777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837" w:type="dxa"/>
            <w:gridSpan w:val="8"/>
            <w:vAlign w:val="center"/>
          </w:tcPr>
          <w:p w14:paraId="6F92433E" w14:textId="14521AFA" w:rsidR="00DC3BA2" w:rsidRPr="00491993" w:rsidRDefault="00A517B1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1032</w:t>
            </w:r>
          </w:p>
        </w:tc>
      </w:tr>
      <w:tr w:rsidR="00DC3BA2" w:rsidRPr="00491993" w14:paraId="00C6DA00" w14:textId="77777777" w:rsidTr="00B94F88">
        <w:trPr>
          <w:trHeight w:val="185"/>
        </w:trPr>
        <w:tc>
          <w:tcPr>
            <w:tcW w:w="4072" w:type="dxa"/>
            <w:gridSpan w:val="7"/>
            <w:vAlign w:val="center"/>
          </w:tcPr>
          <w:p w14:paraId="4FC559C5" w14:textId="77777777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837" w:type="dxa"/>
            <w:gridSpan w:val="8"/>
            <w:vAlign w:val="center"/>
          </w:tcPr>
          <w:p w14:paraId="6111BE85" w14:textId="65024F1E" w:rsidR="00DC3BA2" w:rsidRPr="00491993" w:rsidRDefault="00A517B1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57</w:t>
            </w:r>
          </w:p>
        </w:tc>
      </w:tr>
      <w:tr w:rsidR="00DC3BA2" w:rsidRPr="00491993" w14:paraId="71916DDE" w14:textId="77777777" w:rsidTr="00DC3BA2">
        <w:trPr>
          <w:trHeight w:val="278"/>
        </w:trPr>
        <w:tc>
          <w:tcPr>
            <w:tcW w:w="4072" w:type="dxa"/>
            <w:gridSpan w:val="7"/>
            <w:vAlign w:val="center"/>
          </w:tcPr>
          <w:p w14:paraId="67A5D1C4" w14:textId="77777777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51" w:type="dxa"/>
            <w:gridSpan w:val="5"/>
            <w:vAlign w:val="center"/>
          </w:tcPr>
          <w:p w14:paraId="5F6D4D01" w14:textId="1973A8B6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A517B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3</w:t>
            </w:r>
          </w:p>
        </w:tc>
        <w:tc>
          <w:tcPr>
            <w:tcW w:w="3286" w:type="dxa"/>
            <w:gridSpan w:val="3"/>
            <w:vAlign w:val="center"/>
          </w:tcPr>
          <w:p w14:paraId="7F300DE1" w14:textId="3B2FC0C4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A517B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4</w:t>
            </w:r>
          </w:p>
        </w:tc>
      </w:tr>
      <w:tr w:rsidR="00DC3BA2" w:rsidRPr="00491993" w14:paraId="663A93B8" w14:textId="77777777" w:rsidTr="00F069F6">
        <w:trPr>
          <w:trHeight w:val="295"/>
        </w:trPr>
        <w:tc>
          <w:tcPr>
            <w:tcW w:w="2208" w:type="dxa"/>
            <w:gridSpan w:val="4"/>
            <w:vAlign w:val="center"/>
          </w:tcPr>
          <w:p w14:paraId="7330C4AC" w14:textId="77777777" w:rsidR="00DC3BA2" w:rsidRPr="00491993" w:rsidRDefault="00DC3BA2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701" w:type="dxa"/>
            <w:gridSpan w:val="11"/>
            <w:vAlign w:val="center"/>
          </w:tcPr>
          <w:p w14:paraId="30F5F166" w14:textId="6204852B" w:rsidR="00DC3BA2" w:rsidRPr="0045584C" w:rsidRDefault="0045584C" w:rsidP="00DC3BA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2007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Fraunhofer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Institute (Štutgart, Nemačka); 2009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Helmholz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Center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Lajpzig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Nemačka); 2023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University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of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Vienna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(Beč, Austrija)</w:t>
            </w:r>
          </w:p>
        </w:tc>
      </w:tr>
    </w:tbl>
    <w:p w14:paraId="65971D13" w14:textId="77777777" w:rsidR="00187D86" w:rsidRDefault="00187D86"/>
    <w:sectPr w:rsidR="00187D86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9466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F70"/>
    <w:rsid w:val="00127B99"/>
    <w:rsid w:val="00187D86"/>
    <w:rsid w:val="003130D3"/>
    <w:rsid w:val="004022DC"/>
    <w:rsid w:val="0045584C"/>
    <w:rsid w:val="00655F70"/>
    <w:rsid w:val="006B763E"/>
    <w:rsid w:val="00A517B1"/>
    <w:rsid w:val="00B94F88"/>
    <w:rsid w:val="00C11537"/>
    <w:rsid w:val="00DC3BA2"/>
    <w:rsid w:val="00F069F6"/>
    <w:rsid w:val="00F7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107CC4"/>
  <w15:docId w15:val="{DD292254-3766-7148-A7EC-A7A3CAD9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1153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R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Aleksandra Tubić</cp:lastModifiedBy>
  <cp:revision>9</cp:revision>
  <dcterms:created xsi:type="dcterms:W3CDTF">2023-07-12T07:44:00Z</dcterms:created>
  <dcterms:modified xsi:type="dcterms:W3CDTF">2023-07-12T09:00:00Z</dcterms:modified>
</cp:coreProperties>
</file>