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CA" w:rsidRDefault="00153F06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3500" cy="76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Ind w:w="109" w:type="dxa"/>
        <w:tblLayout w:type="fixed"/>
        <w:tblLook w:val="01E0"/>
      </w:tblPr>
      <w:tblGrid>
        <w:gridCol w:w="544"/>
        <w:gridCol w:w="1007"/>
        <w:gridCol w:w="1070"/>
        <w:gridCol w:w="622"/>
        <w:gridCol w:w="1229"/>
        <w:gridCol w:w="274"/>
        <w:gridCol w:w="8"/>
        <w:gridCol w:w="1029"/>
        <w:gridCol w:w="567"/>
        <w:gridCol w:w="921"/>
        <w:gridCol w:w="2089"/>
        <w:gridCol w:w="846"/>
      </w:tblGrid>
      <w:tr w:rsidR="00B975CA">
        <w:trPr>
          <w:trHeight w:val="25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Ернест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Шанца</w:t>
            </w:r>
            <w:proofErr w:type="spellEnd"/>
          </w:p>
        </w:tc>
      </w:tr>
      <w:tr w:rsidR="00B975CA">
        <w:trPr>
          <w:trHeight w:val="24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B975CA">
        <w:trPr>
          <w:trHeight w:val="42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ПМФ, 2015.</w:t>
            </w:r>
          </w:p>
        </w:tc>
      </w:tr>
      <w:tr w:rsidR="00B975CA">
        <w:trPr>
          <w:trHeight w:val="272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49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B975CA">
        <w:trPr>
          <w:trHeight w:val="427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B975CA">
        <w:trPr>
          <w:trHeight w:val="274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65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06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197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314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B975CA">
        <w:trPr>
          <w:trHeight w:val="22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</w:p>
        </w:tc>
      </w:tr>
      <w:tr w:rsidR="00B975CA">
        <w:trPr>
          <w:trHeight w:val="22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B</w:t>
            </w: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BIT015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Биоинформатика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OO3010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микробиологији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OAC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MW0104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MW0106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IB0052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статистиком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ME3008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програмски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пакети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екологији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IB0053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Програмски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пакети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обраду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података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MW0208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Large Scale Data Mining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pStyle w:val="NormalWeb"/>
              <w:widowControl w:val="0"/>
              <w:numPr>
                <w:ilvl w:val="0"/>
                <w:numId w:val="2"/>
              </w:numPr>
              <w:spacing w:beforeAutospacing="0" w:afterAutospacing="0"/>
              <w:ind w:left="0"/>
              <w:rPr>
                <w:rFonts w:ascii="Helvetica Neue" w:hAnsi="Helvetica Neue"/>
                <w:color w:val="333333"/>
                <w:sz w:val="27"/>
                <w:szCs w:val="27"/>
              </w:rPr>
            </w:pP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>, V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>A wider convergence area for the MSTMAOR iteration methods for LCP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Numerical Algorithms, Vol. 71, 77-88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2016,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hyperlink r:id="rId6">
              <w:r>
                <w:rPr>
                  <w:rStyle w:val="Hyperlink"/>
                  <w:rFonts w:eastAsiaTheme="minorHAnsi"/>
                  <w:sz w:val="20"/>
                  <w:szCs w:val="20"/>
                </w:rPr>
                <w:t>https://doi.org/10.1007/s11075-015-9985-6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720"/>
                <w:tab w:val="left" w:pos="1080"/>
                <w:tab w:val="left" w:pos="3075"/>
              </w:tabs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>E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 xml:space="preserve"> Šanca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>, V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Kostić, Lj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́: 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Fractional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and their localizations,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Linear Algebra and its Applications, Vol. 559, 244-269, 2018,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7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https://doi.org/10.1016/j.laa.2018.08.035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V.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Lј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bookmarkStart w:id="0" w:name="OLE_LINK2"/>
            <w:bookmarkStart w:id="1" w:name="OLE_LINK1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of a full matri</w:t>
            </w:r>
            <w:bookmarkEnd w:id="0"/>
            <w:bookmarkEnd w:id="1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x,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Journal of Computational and Applied Math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ematics, Vol. 386, 113265, 2021,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8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https://doi.org/10.1016/j.cam.2020.113265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720"/>
                <w:tab w:val="left" w:pos="1080"/>
                <w:tab w:val="left" w:pos="3075"/>
              </w:tabs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V.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Saed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Error Control Based on the Novel Proof of Convergence of the MSMAOR 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Methods for the LCP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East Asian Journal on Applied Mathematics, Vol. 8 (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), 352-364, 2018,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9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http://doi.org/10.4208/eajam.211117.250118c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pStyle w:val="NormalWeb"/>
              <w:widowControl w:val="0"/>
              <w:rPr>
                <w:rFonts w:ascii="URWPalladioL" w:hAnsi="URWPalladioL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>K</w:t>
            </w:r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Doroslovački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L</w:t>
            </w:r>
            <w:r>
              <w:rPr>
                <w:rFonts w:eastAsiaTheme="minorHAnsi"/>
                <w:color w:val="000000"/>
                <w:sz w:val="20"/>
                <w:szCs w:val="20"/>
              </w:rPr>
              <w:t>ј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>A New Lower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Bound for the Smallest Singular Value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FILOMAT 33(9),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color w:val="000000"/>
                <w:sz w:val="20"/>
                <w:szCs w:val="20"/>
              </w:rPr>
              <w:t>2711-2723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2019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М23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hyperlink r:id="rId10">
              <w:r>
                <w:rPr>
                  <w:rStyle w:val="Hyperlink"/>
                  <w:rFonts w:eastAsiaTheme="minorHAnsi"/>
                  <w:sz w:val="20"/>
                  <w:szCs w:val="20"/>
                </w:rPr>
                <w:t>https://doi.org/10.2298/FIL1909711D</w:t>
              </w:r>
            </w:hyperlink>
          </w:p>
        </w:tc>
      </w:tr>
      <w:tr w:rsidR="00B975CA">
        <w:trPr>
          <w:trHeight w:val="317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B975CA">
        <w:trPr>
          <w:trHeight w:val="264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 ( ), SCOPUS</w:t>
            </w:r>
          </w:p>
        </w:tc>
      </w:tr>
      <w:tr w:rsidR="00B975CA">
        <w:trPr>
          <w:trHeight w:val="255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</w:p>
        </w:tc>
      </w:tr>
      <w:tr w:rsidR="00B975CA">
        <w:trPr>
          <w:trHeight w:val="278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B975CA">
        <w:trPr>
          <w:trHeight w:val="363"/>
        </w:trPr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5CA">
        <w:trPr>
          <w:trHeight w:val="269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B975CA" w:rsidRDefault="00B975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B975CA" w:rsidSect="00B975C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URWPalladio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1444"/>
    <w:multiLevelType w:val="multilevel"/>
    <w:tmpl w:val="5686C5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DF03F42"/>
    <w:multiLevelType w:val="multilevel"/>
    <w:tmpl w:val="19CAA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261B10"/>
    <w:multiLevelType w:val="multilevel"/>
    <w:tmpl w:val="CAC2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B975CA"/>
    <w:rsid w:val="00153F06"/>
    <w:rsid w:val="00B9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B975CA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975CA"/>
    <w:pPr>
      <w:spacing w:after="140" w:line="276" w:lineRule="auto"/>
    </w:pPr>
  </w:style>
  <w:style w:type="paragraph" w:styleId="List">
    <w:name w:val="List"/>
    <w:basedOn w:val="BodyText"/>
    <w:rsid w:val="00B975CA"/>
    <w:rPr>
      <w:rFonts w:cs="Noto Sans Devanagari"/>
    </w:rPr>
  </w:style>
  <w:style w:type="paragraph" w:styleId="Caption">
    <w:name w:val="caption"/>
    <w:basedOn w:val="Normal"/>
    <w:qFormat/>
    <w:rsid w:val="00B975C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975CA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B975CA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E7E79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am.2020.1132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a.2018.08.0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1075-015-9985-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doi.org/10.2298/FIL1909711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i.org/10.4208/eajam.211117.25011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2</cp:revision>
  <dcterms:created xsi:type="dcterms:W3CDTF">2023-07-09T22:02:00Z</dcterms:created>
  <dcterms:modified xsi:type="dcterms:W3CDTF">2023-07-09T22:02:00Z</dcterms:modified>
  <dc:language>en-GB</dc:language>
</cp:coreProperties>
</file>