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07"/>
        <w:gridCol w:w="534"/>
        <w:gridCol w:w="530"/>
        <w:gridCol w:w="327"/>
        <w:gridCol w:w="1947"/>
        <w:gridCol w:w="303"/>
        <w:gridCol w:w="112"/>
        <w:gridCol w:w="901"/>
        <w:gridCol w:w="413"/>
        <w:gridCol w:w="179"/>
        <w:gridCol w:w="1227"/>
        <w:gridCol w:w="320"/>
        <w:gridCol w:w="1526"/>
      </w:tblGrid>
      <w:tr w:rsidR="00655F70" w:rsidRPr="007A751D" w:rsidTr="008C3517">
        <w:trPr>
          <w:trHeight w:val="427"/>
        </w:trPr>
        <w:tc>
          <w:tcPr>
            <w:tcW w:w="4457" w:type="dxa"/>
            <w:gridSpan w:val="7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4678" w:type="dxa"/>
            <w:gridSpan w:val="7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Ивана Теодоровић</w:t>
            </w:r>
          </w:p>
        </w:tc>
      </w:tr>
      <w:tr w:rsidR="00655F70" w:rsidRPr="007A751D" w:rsidTr="008C3517">
        <w:trPr>
          <w:trHeight w:val="427"/>
        </w:trPr>
        <w:tc>
          <w:tcPr>
            <w:tcW w:w="4457" w:type="dxa"/>
            <w:gridSpan w:val="7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4678" w:type="dxa"/>
            <w:gridSpan w:val="7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655F70" w:rsidRPr="007A751D" w:rsidTr="008C3517">
        <w:trPr>
          <w:trHeight w:val="427"/>
        </w:trPr>
        <w:tc>
          <w:tcPr>
            <w:tcW w:w="4457" w:type="dxa"/>
            <w:gridSpan w:val="7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или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непуним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4678" w:type="dxa"/>
            <w:gridSpan w:val="7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Универзитет у Новом Саду Природно-математички факултет, од 2003. године</w:t>
            </w:r>
          </w:p>
        </w:tc>
      </w:tr>
      <w:tr w:rsidR="00655F70" w:rsidRPr="007A751D" w:rsidTr="008C3517">
        <w:trPr>
          <w:trHeight w:val="427"/>
        </w:trPr>
        <w:tc>
          <w:tcPr>
            <w:tcW w:w="4457" w:type="dxa"/>
            <w:gridSpan w:val="7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4678" w:type="dxa"/>
            <w:gridSpan w:val="7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655F70" w:rsidRPr="007A751D" w:rsidTr="008C3517">
        <w:trPr>
          <w:trHeight w:val="427"/>
        </w:trPr>
        <w:tc>
          <w:tcPr>
            <w:tcW w:w="9135" w:type="dxa"/>
            <w:gridSpan w:val="1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655F70" w:rsidRPr="007A751D" w:rsidTr="00BF4A5A">
        <w:trPr>
          <w:trHeight w:val="427"/>
        </w:trPr>
        <w:tc>
          <w:tcPr>
            <w:tcW w:w="1350" w:type="dxa"/>
            <w:gridSpan w:val="3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Научна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или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уметничка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о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Ужа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научна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уметничка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или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стручна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област</w:t>
            </w:r>
            <w:proofErr w:type="spellEnd"/>
          </w:p>
        </w:tc>
      </w:tr>
      <w:tr w:rsidR="00655F70" w:rsidRPr="007A751D" w:rsidTr="00BF4A5A">
        <w:trPr>
          <w:trHeight w:val="427"/>
        </w:trPr>
        <w:tc>
          <w:tcPr>
            <w:tcW w:w="1350" w:type="dxa"/>
            <w:gridSpan w:val="3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57" w:type="dxa"/>
            <w:gridSpan w:val="2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2016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Универзитет у Новом Саду Природно-математички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655F70" w:rsidRPr="007A751D" w:rsidTr="00BF4A5A">
        <w:trPr>
          <w:trHeight w:val="427"/>
        </w:trPr>
        <w:tc>
          <w:tcPr>
            <w:tcW w:w="1350" w:type="dxa"/>
            <w:gridSpan w:val="3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57" w:type="dxa"/>
            <w:gridSpan w:val="2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2003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Универзитет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у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Новом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Саду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>АЦИМСИ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655F70" w:rsidRPr="007A751D" w:rsidTr="00BF4A5A">
        <w:trPr>
          <w:trHeight w:val="427"/>
        </w:trPr>
        <w:tc>
          <w:tcPr>
            <w:tcW w:w="1350" w:type="dxa"/>
            <w:gridSpan w:val="3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857" w:type="dxa"/>
            <w:gridSpan w:val="2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1999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Универзитет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у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Новом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Саду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 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>ЦИМСИ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Заштита животне средине</w:t>
            </w:r>
          </w:p>
        </w:tc>
      </w:tr>
      <w:tr w:rsidR="00655F70" w:rsidRPr="007A751D" w:rsidTr="00BF4A5A">
        <w:trPr>
          <w:trHeight w:val="427"/>
        </w:trPr>
        <w:tc>
          <w:tcPr>
            <w:tcW w:w="1350" w:type="dxa"/>
            <w:gridSpan w:val="3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57" w:type="dxa"/>
            <w:gridSpan w:val="2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1994</w:t>
            </w:r>
          </w:p>
        </w:tc>
        <w:tc>
          <w:tcPr>
            <w:tcW w:w="3263" w:type="dxa"/>
            <w:gridSpan w:val="4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Универзитет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у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Новом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Саду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Природно-математички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Биологија</w:t>
            </w:r>
          </w:p>
        </w:tc>
      </w:tr>
      <w:tr w:rsidR="00655F70" w:rsidRPr="007A751D" w:rsidTr="008C3517">
        <w:trPr>
          <w:trHeight w:val="427"/>
        </w:trPr>
        <w:tc>
          <w:tcPr>
            <w:tcW w:w="9135" w:type="dxa"/>
            <w:gridSpan w:val="1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на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првом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или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другом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степену</w:t>
            </w:r>
            <w:proofErr w:type="spellEnd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655F70" w:rsidRPr="007A751D" w:rsidTr="008C3517">
        <w:trPr>
          <w:trHeight w:val="822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Р.Б.</w:t>
            </w:r>
          </w:p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1</w:t>
            </w:r>
            <w:r w:rsidRPr="007A751D">
              <w:rPr>
                <w:rFonts w:asciiTheme="majorBidi" w:hAnsiTheme="majorBidi" w:cstheme="majorBidi"/>
                <w:sz w:val="16"/>
                <w:szCs w:val="16"/>
              </w:rPr>
              <w:t>,2,3...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Ознака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Назив</w:t>
            </w:r>
            <w:proofErr w:type="spellEnd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предмета</w:t>
            </w:r>
            <w:proofErr w:type="spellEnd"/>
            <w:r w:rsidRPr="007A751D">
              <w:rPr>
                <w:rFonts w:asciiTheme="majorBidi" w:hAnsiTheme="majorBidi" w:cstheme="majorBidi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Вид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Назив</w:t>
            </w:r>
            <w:proofErr w:type="spellEnd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студијског</w:t>
            </w:r>
            <w:proofErr w:type="spellEnd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 xml:space="preserve"> </w:t>
            </w:r>
            <w:proofErr w:type="spellStart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програма</w:t>
            </w:r>
            <w:proofErr w:type="spellEnd"/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В</w:t>
            </w:r>
            <w:r w:rsidRPr="007A751D">
              <w:rPr>
                <w:rFonts w:asciiTheme="majorBidi" w:hAnsiTheme="majorBidi" w:cstheme="majorBidi"/>
                <w:iCs/>
                <w:sz w:val="16"/>
                <w:szCs w:val="16"/>
                <w:lang w:val="sr-Cyrl-CS"/>
              </w:rPr>
              <w:t>рста студија (</w:t>
            </w:r>
            <w:r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655F70" w:rsidRPr="007A751D" w:rsidTr="008C3517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ОЕ027</w:t>
            </w:r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655F70" w:rsidRPr="007A751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Екотоксикологија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Дипл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. 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еколог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ОАС</w:t>
            </w:r>
          </w:p>
        </w:tc>
      </w:tr>
      <w:tr w:rsidR="00655F70" w:rsidRPr="007A751D" w:rsidTr="008C3517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МЕ18</w:t>
            </w:r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Регулаторна екотоксикологија и еколошка процена ризика од хемикалија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Предавања, вежбе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МАС</w:t>
            </w:r>
          </w:p>
        </w:tc>
      </w:tr>
      <w:tr w:rsidR="00655F70" w:rsidRPr="007A751D" w:rsidTr="008C3517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МЕ24</w:t>
            </w:r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Еколошки пројекти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Предавања, вежбе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Матер еколог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МАС</w:t>
            </w:r>
          </w:p>
        </w:tc>
      </w:tr>
      <w:tr w:rsidR="00655F70" w:rsidRPr="007A751D" w:rsidTr="008C3517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МЕ22</w:t>
            </w:r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Мониторинг и ретроспективна процена ризика од хемикалија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Предавања, вежбе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МАС</w:t>
            </w:r>
          </w:p>
        </w:tc>
      </w:tr>
      <w:tr w:rsidR="002A44C2" w:rsidRPr="007A751D" w:rsidTr="008C3517">
        <w:trPr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44C2" w:rsidRPr="002A44C2" w:rsidRDefault="002A44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A44C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2A44C2" w:rsidRPr="002A44C2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A44C2">
              <w:rPr>
                <w:rFonts w:ascii="Times New Roman" w:hAnsi="Times New Roman"/>
                <w:sz w:val="16"/>
                <w:szCs w:val="16"/>
                <w:lang w:val="sr-Cyrl-CS"/>
              </w:rPr>
              <w:t>МЕ20</w:t>
            </w:r>
          </w:p>
        </w:tc>
        <w:tc>
          <w:tcPr>
            <w:tcW w:w="2689" w:type="dxa"/>
            <w:gridSpan w:val="4"/>
            <w:shd w:val="clear" w:color="auto" w:fill="auto"/>
            <w:vAlign w:val="center"/>
          </w:tcPr>
          <w:p w:rsidR="002A44C2" w:rsidRPr="002A44C2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2A44C2">
              <w:rPr>
                <w:rFonts w:ascii="Times New Roman" w:hAnsi="Times New Roman"/>
                <w:sz w:val="16"/>
                <w:szCs w:val="16"/>
                <w:lang/>
              </w:rPr>
              <w:t>Биолошки ефекти и превентивна процена ризика од хемикалија</w:t>
            </w:r>
          </w:p>
        </w:tc>
        <w:tc>
          <w:tcPr>
            <w:tcW w:w="1493" w:type="dxa"/>
            <w:gridSpan w:val="3"/>
            <w:shd w:val="clear" w:color="auto" w:fill="auto"/>
            <w:vAlign w:val="center"/>
          </w:tcPr>
          <w:p w:rsidR="002A44C2" w:rsidRPr="002A44C2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2A44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вежбе</w:t>
            </w:r>
          </w:p>
        </w:tc>
        <w:tc>
          <w:tcPr>
            <w:tcW w:w="1547" w:type="dxa"/>
            <w:gridSpan w:val="2"/>
            <w:shd w:val="clear" w:color="auto" w:fill="auto"/>
            <w:vAlign w:val="center"/>
          </w:tcPr>
          <w:p w:rsidR="002A44C2" w:rsidRPr="002A44C2" w:rsidRDefault="002A44C2" w:rsidP="002A44C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A44C2">
              <w:rPr>
                <w:rFonts w:ascii="Times New Roman" w:hAnsi="Times New Roman"/>
                <w:sz w:val="16"/>
                <w:szCs w:val="16"/>
                <w:lang w:val="sr-Cyrl-CS"/>
              </w:rPr>
              <w:t>Мастер еколог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2A44C2" w:rsidRPr="002A44C2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A44C2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655F70" w:rsidRPr="007A751D" w:rsidTr="008C3517">
        <w:trPr>
          <w:trHeight w:val="427"/>
        </w:trPr>
        <w:tc>
          <w:tcPr>
            <w:tcW w:w="9135" w:type="dxa"/>
            <w:gridSpan w:val="1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40282" w:rsidRPr="007A751D" w:rsidTr="00F12F56">
        <w:trPr>
          <w:trHeight w:val="427"/>
        </w:trPr>
        <w:tc>
          <w:tcPr>
            <w:tcW w:w="709" w:type="dxa"/>
            <w:vAlign w:val="center"/>
          </w:tcPr>
          <w:p w:rsidR="00D40282" w:rsidRPr="007A751D" w:rsidRDefault="00D40282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D40282" w:rsidRPr="007A751D" w:rsidRDefault="002A44C2" w:rsidP="00D40282">
            <w:pPr>
              <w:shd w:val="clear" w:color="auto" w:fill="FFFFFF"/>
              <w:outlineLvl w:val="1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16"/>
                <w:szCs w:val="16"/>
              </w:rPr>
              <w:t>Brack</w:t>
            </w:r>
            <w:proofErr w:type="spellEnd"/>
            <w:r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, W, </w:t>
            </w:r>
            <w:proofErr w:type="spellStart"/>
            <w:r w:rsidR="00D40282" w:rsidRPr="007A751D">
              <w:rPr>
                <w:rFonts w:asciiTheme="majorBidi" w:eastAsia="Times New Roman" w:hAnsiTheme="majorBidi" w:cstheme="majorBidi"/>
                <w:sz w:val="16"/>
                <w:szCs w:val="16"/>
              </w:rPr>
              <w:t>Teodorovic</w:t>
            </w:r>
            <w:proofErr w:type="spellEnd"/>
            <w:r w:rsidR="00D40282" w:rsidRPr="007A751D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, I, </w:t>
            </w:r>
            <w:proofErr w:type="spellStart"/>
            <w:r w:rsidR="00D40282" w:rsidRPr="007A751D">
              <w:rPr>
                <w:rFonts w:asciiTheme="majorBidi" w:eastAsia="Times New Roman" w:hAnsiTheme="majorBidi" w:cstheme="majorBidi"/>
                <w:sz w:val="16"/>
                <w:szCs w:val="16"/>
              </w:rPr>
              <w:t>Zuccatto</w:t>
            </w:r>
            <w:proofErr w:type="spellEnd"/>
            <w:r w:rsidR="00D40282" w:rsidRPr="007A751D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. E (2022) One planet: one health. A call to support the initiative on a global science–policy body on chemicals and waste. </w:t>
            </w:r>
            <w:r w:rsidR="00D40282" w:rsidRPr="007A751D">
              <w:rPr>
                <w:rFonts w:asciiTheme="majorBidi" w:hAnsiTheme="majorBidi" w:cstheme="majorBidi"/>
                <w:sz w:val="16"/>
                <w:szCs w:val="16"/>
              </w:rPr>
              <w:t>Environmental Sciences Europe</w:t>
            </w:r>
            <w:r w:rsidR="00D40282" w:rsidRPr="007A751D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34, 1, </w:t>
            </w:r>
            <w:r w:rsidR="00D40282" w:rsidRPr="007A751D">
              <w:rPr>
                <w:rFonts w:asciiTheme="majorBidi" w:hAnsiTheme="majorBidi" w:cstheme="majorBidi"/>
                <w:sz w:val="16"/>
                <w:szCs w:val="16"/>
              </w:rPr>
              <w:t>21.</w:t>
            </w:r>
          </w:p>
        </w:tc>
      </w:tr>
      <w:tr w:rsidR="00F12F56" w:rsidRPr="007A751D" w:rsidTr="00F12F56">
        <w:trPr>
          <w:trHeight w:val="427"/>
        </w:trPr>
        <w:tc>
          <w:tcPr>
            <w:tcW w:w="709" w:type="dxa"/>
            <w:vAlign w:val="center"/>
          </w:tcPr>
          <w:p w:rsidR="00F12F56" w:rsidRPr="007A751D" w:rsidRDefault="00F12F56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F12F56" w:rsidRPr="007A751D" w:rsidRDefault="002A44C2" w:rsidP="00F12F56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Theme="majorBidi" w:hAnsiTheme="majorBidi" w:cstheme="majorBidi"/>
                <w:b w:val="0"/>
                <w:sz w:val="16"/>
                <w:szCs w:val="16"/>
              </w:rPr>
            </w:pPr>
            <w:r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 xml:space="preserve">Brock T, </w:t>
            </w:r>
            <w:proofErr w:type="spellStart"/>
            <w:r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>Teodorovic</w:t>
            </w:r>
            <w:proofErr w:type="spellEnd"/>
            <w:r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 xml:space="preserve"> I, </w:t>
            </w:r>
            <w:proofErr w:type="spellStart"/>
            <w:r w:rsidR="00F12F56" w:rsidRPr="007A751D"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>Focks</w:t>
            </w:r>
            <w:proofErr w:type="spellEnd"/>
            <w:r w:rsidR="00F12F56" w:rsidRPr="007A751D"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 xml:space="preserve">, A. (2021) Application of General Unified Threshold Models of Survival Models for Regulatory Aquatic Pesticide Risk Assessment Illustrated with an Example for the Insecticide </w:t>
            </w:r>
            <w:proofErr w:type="spellStart"/>
            <w:r w:rsidR="00F12F56" w:rsidRPr="007A751D"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>Chlorpyrifos</w:t>
            </w:r>
            <w:proofErr w:type="spellEnd"/>
            <w:r w:rsidR="00F12F56" w:rsidRPr="007A751D">
              <w:rPr>
                <w:rStyle w:val="highlight-moduleako5d"/>
                <w:rFonts w:asciiTheme="majorBidi" w:hAnsiTheme="majorBidi" w:cstheme="majorBidi"/>
                <w:b w:val="0"/>
                <w:sz w:val="16"/>
                <w:szCs w:val="16"/>
              </w:rPr>
              <w:t xml:space="preserve">. </w:t>
            </w:r>
            <w:r w:rsidR="00F12F56" w:rsidRPr="007A751D">
              <w:rPr>
                <w:rStyle w:val="Emphasis"/>
                <w:rFonts w:asciiTheme="majorBidi" w:eastAsia="Calibri" w:hAnsiTheme="majorBidi" w:cstheme="majorBidi"/>
                <w:b w:val="0"/>
                <w:bCs w:val="0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Integrated Environmental Assessment and Management, </w:t>
            </w:r>
            <w:r w:rsidR="00F12F56" w:rsidRPr="007A751D">
              <w:rPr>
                <w:rStyle w:val="typography-modulelvnit"/>
                <w:rFonts w:asciiTheme="majorBidi" w:eastAsia="Calibri" w:hAnsiTheme="majorBidi" w:cstheme="majorBidi"/>
                <w:b w:val="0"/>
                <w:sz w:val="16"/>
                <w:szCs w:val="16"/>
                <w:shd w:val="clear" w:color="auto" w:fill="FFFFFF"/>
              </w:rPr>
              <w:t xml:space="preserve">17, 1, 243 </w:t>
            </w:r>
            <w:r>
              <w:rPr>
                <w:rStyle w:val="typography-modulelvnit"/>
                <w:rFonts w:asciiTheme="majorBidi" w:eastAsia="Calibri" w:hAnsiTheme="majorBidi" w:cstheme="majorBidi"/>
                <w:b w:val="0"/>
                <w:sz w:val="16"/>
                <w:szCs w:val="16"/>
                <w:shd w:val="clear" w:color="auto" w:fill="FFFFFF"/>
              </w:rPr>
              <w:t>–</w:t>
            </w:r>
            <w:r w:rsidR="00F12F56" w:rsidRPr="007A751D">
              <w:rPr>
                <w:rStyle w:val="typography-modulelvnit"/>
                <w:rFonts w:asciiTheme="majorBidi" w:eastAsia="Calibri" w:hAnsiTheme="majorBidi" w:cstheme="majorBidi"/>
                <w:b w:val="0"/>
                <w:sz w:val="16"/>
                <w:szCs w:val="16"/>
                <w:shd w:val="clear" w:color="auto" w:fill="FFFFFF"/>
              </w:rPr>
              <w:t xml:space="preserve"> 258</w:t>
            </w:r>
            <w:r>
              <w:rPr>
                <w:rStyle w:val="typography-modulelvnit"/>
                <w:rFonts w:asciiTheme="majorBidi" w:eastAsia="Calibri" w:hAnsiTheme="majorBidi" w:cstheme="majorBidi"/>
                <w:b w:val="0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655F70" w:rsidRPr="007A751D" w:rsidTr="00F12F56">
        <w:trPr>
          <w:trHeight w:val="427"/>
        </w:trPr>
        <w:tc>
          <w:tcPr>
            <w:tcW w:w="709" w:type="dxa"/>
            <w:vAlign w:val="center"/>
          </w:tcPr>
          <w:p w:rsidR="00655F70" w:rsidRPr="007A751D" w:rsidRDefault="00655F70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655F70" w:rsidRPr="007A751D" w:rsidRDefault="002A44C2" w:rsidP="002A44C2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Altenburger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R,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16"/>
                <w:szCs w:val="16"/>
              </w:rPr>
              <w:t>Teodorović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 I</w:t>
            </w:r>
            <w:proofErr w:type="gramEnd"/>
            <w:r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BF4A5A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Krauss M (2019) </w:t>
            </w:r>
            <w:r w:rsidR="00BF4A5A" w:rsidRPr="007A751D">
              <w:rPr>
                <w:rFonts w:asciiTheme="majorBidi" w:hAnsiTheme="majorBidi" w:cstheme="majorBidi"/>
                <w:iCs/>
                <w:sz w:val="16"/>
                <w:szCs w:val="16"/>
              </w:rPr>
              <w:t xml:space="preserve">Future water quality monitoring: improving the balance between exposure and toxicity assessments of real-world pollutant mixtures. </w:t>
            </w:r>
            <w:r w:rsidR="00BF4A5A" w:rsidRPr="007A751D">
              <w:rPr>
                <w:rFonts w:asciiTheme="majorBidi" w:hAnsiTheme="majorBidi" w:cstheme="majorBidi"/>
                <w:sz w:val="16"/>
                <w:szCs w:val="16"/>
              </w:rPr>
              <w:t>Environ Sci Europe</w:t>
            </w:r>
            <w:r w:rsidR="00BF4A5A" w:rsidRPr="007A751D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="00BF4A5A" w:rsidRPr="007A751D">
              <w:rPr>
                <w:rFonts w:asciiTheme="majorBidi" w:hAnsiTheme="majorBidi" w:cstheme="majorBidi"/>
                <w:sz w:val="16"/>
                <w:szCs w:val="16"/>
              </w:rPr>
              <w:t>31:12.</w:t>
            </w:r>
          </w:p>
        </w:tc>
      </w:tr>
      <w:tr w:rsidR="00F12F56" w:rsidRPr="007A751D" w:rsidTr="00F12F56">
        <w:trPr>
          <w:trHeight w:val="427"/>
        </w:trPr>
        <w:tc>
          <w:tcPr>
            <w:tcW w:w="709" w:type="dxa"/>
            <w:vAlign w:val="center"/>
          </w:tcPr>
          <w:p w:rsidR="00F12F56" w:rsidRPr="007A751D" w:rsidRDefault="00F12F56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F12F56" w:rsidRPr="007A751D" w:rsidRDefault="002A44C2" w:rsidP="00F12F56">
            <w:pPr>
              <w:shd w:val="clear" w:color="auto" w:fill="FFFFFF"/>
              <w:outlineLvl w:val="1"/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  <w:t xml:space="preserve">Backhaus, T., </w:t>
            </w:r>
            <w:proofErr w:type="spellStart"/>
            <w:r w:rsidR="00F12F56" w:rsidRPr="007A751D"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  <w:t>Teodorovic</w:t>
            </w:r>
            <w:proofErr w:type="spellEnd"/>
            <w:r w:rsidR="00F12F56" w:rsidRPr="007A751D"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  <w:t xml:space="preserve"> I, </w:t>
            </w:r>
            <w:proofErr w:type="spellStart"/>
            <w:r w:rsidR="00F12F56" w:rsidRPr="007A751D"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  <w:t>Focks</w:t>
            </w:r>
            <w:proofErr w:type="spellEnd"/>
            <w:r w:rsidR="00F12F56" w:rsidRPr="007A751D">
              <w:rPr>
                <w:rFonts w:asciiTheme="majorBidi" w:eastAsia="Times New Roman" w:hAnsiTheme="majorBidi" w:cstheme="majorBidi"/>
                <w:bCs/>
                <w:sz w:val="16"/>
                <w:szCs w:val="16"/>
              </w:rPr>
              <w:t xml:space="preserve"> A. (2019) Assessing the ecological impact of chemical pollution on aquatic ecosystems requires the systematic exploration and evaluation of four lines of evidence. </w:t>
            </w:r>
            <w:r w:rsidR="00F12F56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Environ </w:t>
            </w:r>
            <w:proofErr w:type="spellStart"/>
            <w:r w:rsidR="00F12F56" w:rsidRPr="007A751D">
              <w:rPr>
                <w:rFonts w:asciiTheme="majorBidi" w:hAnsiTheme="majorBidi" w:cstheme="majorBidi"/>
                <w:sz w:val="16"/>
                <w:szCs w:val="16"/>
              </w:rPr>
              <w:t>Sci</w:t>
            </w:r>
            <w:proofErr w:type="spellEnd"/>
            <w:r w:rsidR="00F12F56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Europe 31,1,98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  <w:tr w:rsidR="00655F70" w:rsidRPr="007A751D" w:rsidTr="00F12F56">
        <w:trPr>
          <w:trHeight w:val="427"/>
        </w:trPr>
        <w:tc>
          <w:tcPr>
            <w:tcW w:w="709" w:type="dxa"/>
            <w:vAlign w:val="center"/>
          </w:tcPr>
          <w:p w:rsidR="00655F70" w:rsidRPr="007A751D" w:rsidRDefault="00655F70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655F70" w:rsidRPr="007A751D" w:rsidRDefault="002A44C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Ockleford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C,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</w:rPr>
              <w:t>Adriaanse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</w:rPr>
              <w:t xml:space="preserve"> P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and </w:t>
            </w:r>
            <w:proofErr w:type="spellStart"/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t>Teodorovic</w:t>
            </w:r>
            <w:proofErr w:type="spellEnd"/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I, 2018. Scientific Opinion on the state of the art of Toxicokinetic/Toxicodynamic (TKTD) effect models for regulatory risk assessment of pesticides for aquatic organisms.</w:t>
            </w:r>
            <w:r w:rsidR="007409F2" w:rsidRPr="007A751D">
              <w:rPr>
                <w:rFonts w:asciiTheme="majorBidi" w:eastAsia="AdvTT62f2e734" w:hAnsiTheme="majorBidi" w:cstheme="majorBidi"/>
                <w:sz w:val="16"/>
                <w:szCs w:val="16"/>
              </w:rPr>
              <w:t xml:space="preserve"> EFSA Journal 16(8):5377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</w:t>
            </w:r>
            <w:r w:rsidR="000F5859" w:rsidRPr="007A751D">
              <w:rPr>
                <w:rFonts w:asciiTheme="majorBidi" w:hAnsiTheme="majorBidi" w:cstheme="majorBidi"/>
                <w:sz w:val="16"/>
                <w:szCs w:val="16"/>
              </w:rPr>
              <w:fldChar w:fldCharType="begin"/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instrText xml:space="preserve"> NUMPAGES  \# "0"  \* MERGEFORMAT </w:instrText>
            </w:r>
            <w:r w:rsidR="000F5859" w:rsidRPr="007A751D">
              <w:rPr>
                <w:rFonts w:asciiTheme="majorBidi" w:hAnsiTheme="majorBidi" w:cstheme="majorBidi"/>
                <w:noProof/>
                <w:sz w:val="16"/>
                <w:szCs w:val="16"/>
              </w:rPr>
              <w:fldChar w:fldCharType="separate"/>
            </w:r>
            <w:r w:rsidR="007409F2" w:rsidRPr="007A751D">
              <w:rPr>
                <w:rFonts w:asciiTheme="majorBidi" w:hAnsiTheme="majorBidi" w:cstheme="majorBidi"/>
                <w:noProof/>
                <w:sz w:val="16"/>
                <w:szCs w:val="16"/>
              </w:rPr>
              <w:t>187</w:t>
            </w:r>
            <w:r w:rsidR="000F5859" w:rsidRPr="007A751D">
              <w:rPr>
                <w:rFonts w:asciiTheme="majorBidi" w:hAnsiTheme="majorBidi" w:cstheme="majorBidi"/>
                <w:sz w:val="16"/>
                <w:szCs w:val="16"/>
              </w:rPr>
              <w:fldChar w:fldCharType="end"/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pp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  <w:tr w:rsidR="00655F70" w:rsidRPr="007A751D" w:rsidTr="00F12F56">
        <w:trPr>
          <w:trHeight w:val="427"/>
        </w:trPr>
        <w:tc>
          <w:tcPr>
            <w:tcW w:w="709" w:type="dxa"/>
            <w:vAlign w:val="center"/>
          </w:tcPr>
          <w:p w:rsidR="00655F70" w:rsidRPr="007A751D" w:rsidRDefault="00655F70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655F70" w:rsidRPr="007A751D" w:rsidRDefault="007409F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Ockleford</w:t>
            </w:r>
            <w:proofErr w:type="spellEnd"/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C, </w:t>
            </w:r>
            <w:proofErr w:type="spellStart"/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Adriaanse</w:t>
            </w:r>
            <w:proofErr w:type="spellEnd"/>
            <w:r w:rsidR="002A44C2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P, </w:t>
            </w:r>
            <w:proofErr w:type="spellStart"/>
            <w:r w:rsidR="002A44C2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Teodorovic</w:t>
            </w:r>
            <w:proofErr w:type="spellEnd"/>
            <w:r w:rsidR="002A44C2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I 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and Smith</w:t>
            </w:r>
            <w:r w:rsidR="002A44C2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,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RH, 2018. Scientific Opinion on the state of the science on pesticide risk assessment for amphibians and reptiles. EFSA Journal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, 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16 (2): 5125, 301 pp. </w:t>
            </w:r>
          </w:p>
        </w:tc>
      </w:tr>
      <w:tr w:rsidR="00655F70" w:rsidRPr="007A751D" w:rsidTr="00F12F56">
        <w:trPr>
          <w:trHeight w:val="427"/>
        </w:trPr>
        <w:tc>
          <w:tcPr>
            <w:tcW w:w="709" w:type="dxa"/>
            <w:vAlign w:val="center"/>
          </w:tcPr>
          <w:p w:rsidR="00655F70" w:rsidRPr="007A751D" w:rsidRDefault="00655F70" w:rsidP="00F12F5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  <w:tc>
          <w:tcPr>
            <w:tcW w:w="8426" w:type="dxa"/>
            <w:gridSpan w:val="13"/>
            <w:shd w:val="clear" w:color="auto" w:fill="auto"/>
            <w:vAlign w:val="center"/>
          </w:tcPr>
          <w:p w:rsidR="00655F70" w:rsidRPr="007A751D" w:rsidRDefault="002A44C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Ockleford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C,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Adriaanse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P, </w:t>
            </w:r>
            <w:proofErr w:type="spellStart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Teodorovic</w:t>
            </w:r>
            <w:proofErr w:type="spellEnd"/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I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and </w:t>
            </w:r>
            <w:r w:rsidR="00F12F56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Smith</w:t>
            </w:r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,</w:t>
            </w:r>
            <w:r w:rsidR="00F12F56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RH.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 2017. Scientific Opinion addressing the state of the science on risk assessment of plant protection products for in-soil organisms. EFSA Journal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 xml:space="preserve">, 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15 (2): 4690, 225 pp</w:t>
            </w:r>
            <w:r>
              <w:rPr>
                <w:rFonts w:asciiTheme="majorBidi" w:hAnsiTheme="majorBidi" w:cstheme="majorBidi"/>
                <w:sz w:val="16"/>
                <w:szCs w:val="16"/>
                <w:lang w:eastAsia="en-GB"/>
              </w:rPr>
              <w:t>.</w:t>
            </w:r>
          </w:p>
        </w:tc>
      </w:tr>
      <w:tr w:rsidR="00655F70" w:rsidRPr="007A751D" w:rsidTr="008C3517">
        <w:trPr>
          <w:trHeight w:val="427"/>
        </w:trPr>
        <w:tc>
          <w:tcPr>
            <w:tcW w:w="9135" w:type="dxa"/>
            <w:gridSpan w:val="1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7A751D" w:rsidTr="002A44C2">
        <w:trPr>
          <w:trHeight w:val="251"/>
        </w:trPr>
        <w:tc>
          <w:tcPr>
            <w:tcW w:w="4154" w:type="dxa"/>
            <w:gridSpan w:val="6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4981" w:type="dxa"/>
            <w:gridSpan w:val="8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1712 (</w:t>
            </w:r>
            <w:r w:rsidR="002A44C2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број хетероцитат</w:t>
            </w:r>
            <w:r w:rsidR="002A44C2">
              <w:rPr>
                <w:rFonts w:asciiTheme="majorBidi" w:hAnsiTheme="majorBidi" w:cstheme="majorBidi"/>
                <w:sz w:val="16"/>
                <w:szCs w:val="16"/>
                <w:lang/>
              </w:rPr>
              <w:t>а</w:t>
            </w: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 </w:t>
            </w:r>
            <w:r w:rsidR="00BF4A5A" w:rsidRPr="007A751D">
              <w:rPr>
                <w:rFonts w:asciiTheme="majorBidi" w:hAnsiTheme="majorBidi" w:cstheme="majorBidi"/>
                <w:sz w:val="16"/>
                <w:szCs w:val="16"/>
              </w:rPr>
              <w:t>1197) SCOPUS 11.07.2023.</w:t>
            </w:r>
          </w:p>
        </w:tc>
      </w:tr>
      <w:tr w:rsidR="00655F70" w:rsidRPr="007A751D" w:rsidTr="002A44C2">
        <w:trPr>
          <w:trHeight w:val="260"/>
        </w:trPr>
        <w:tc>
          <w:tcPr>
            <w:tcW w:w="4154" w:type="dxa"/>
            <w:gridSpan w:val="6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4981" w:type="dxa"/>
            <w:gridSpan w:val="8"/>
            <w:vAlign w:val="center"/>
          </w:tcPr>
          <w:p w:rsidR="00655F70" w:rsidRPr="007A751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6</w:t>
            </w:r>
            <w:r w:rsidR="007A47C3"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6</w:t>
            </w:r>
          </w:p>
        </w:tc>
      </w:tr>
      <w:tr w:rsidR="00655F70" w:rsidRPr="007A751D" w:rsidTr="002A44C2">
        <w:trPr>
          <w:trHeight w:val="179"/>
        </w:trPr>
        <w:tc>
          <w:tcPr>
            <w:tcW w:w="4154" w:type="dxa"/>
            <w:gridSpan w:val="6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729" w:type="dxa"/>
            <w:gridSpan w:val="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Домаћи</w:t>
            </w:r>
            <w:r w:rsidR="00BF4A5A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="00F12F56" w:rsidRPr="007A751D">
              <w:rPr>
                <w:rFonts w:asciiTheme="majorBidi" w:hAnsiTheme="majorBidi" w:cstheme="majorBidi"/>
                <w:sz w:val="16"/>
                <w:szCs w:val="16"/>
              </w:rPr>
              <w:t>0 (Програм)</w:t>
            </w:r>
          </w:p>
        </w:tc>
        <w:tc>
          <w:tcPr>
            <w:tcW w:w="3252" w:type="dxa"/>
            <w:gridSpan w:val="4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Међународни</w:t>
            </w:r>
          </w:p>
        </w:tc>
      </w:tr>
      <w:tr w:rsidR="00655F70" w:rsidRPr="007A751D" w:rsidTr="002A44C2">
        <w:trPr>
          <w:trHeight w:val="197"/>
        </w:trPr>
        <w:tc>
          <w:tcPr>
            <w:tcW w:w="2207" w:type="dxa"/>
            <w:gridSpan w:val="5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6928" w:type="dxa"/>
            <w:gridSpan w:val="9"/>
            <w:vAlign w:val="center"/>
          </w:tcPr>
          <w:p w:rsidR="00655F70" w:rsidRPr="007A751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 w:val="sr-Cyrl-CS"/>
              </w:rPr>
            </w:pPr>
          </w:p>
        </w:tc>
      </w:tr>
      <w:tr w:rsidR="00655F70" w:rsidRPr="007A751D" w:rsidTr="008C3517">
        <w:trPr>
          <w:trHeight w:val="427"/>
        </w:trPr>
        <w:tc>
          <w:tcPr>
            <w:tcW w:w="9135" w:type="dxa"/>
            <w:gridSpan w:val="14"/>
            <w:vAlign w:val="center"/>
          </w:tcPr>
          <w:p w:rsidR="00655F70" w:rsidRPr="002A44C2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6"/>
                <w:szCs w:val="16"/>
                <w:lang/>
              </w:rPr>
            </w:pPr>
            <w:r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Други подаци које сматрате релевантним</w:t>
            </w:r>
            <w:r w:rsidR="002A44C2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:</w:t>
            </w:r>
            <w:r w:rsidR="00524BE7"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 xml:space="preserve"> Експерт Европске агенције за бе</w:t>
            </w:r>
            <w:r w:rsidR="007409F2"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з</w:t>
            </w:r>
            <w:r w:rsidR="00524BE7" w:rsidRPr="007A751D">
              <w:rPr>
                <w:rFonts w:asciiTheme="majorBidi" w:hAnsiTheme="majorBidi" w:cstheme="majorBidi"/>
                <w:sz w:val="16"/>
                <w:szCs w:val="16"/>
                <w:lang w:val="sr-Cyrl-CS"/>
              </w:rPr>
              <w:t>бедност хране (</w:t>
            </w:r>
            <w:r w:rsidR="00524BE7" w:rsidRPr="007A751D">
              <w:rPr>
                <w:rFonts w:asciiTheme="majorBidi" w:hAnsiTheme="majorBidi" w:cstheme="majorBidi"/>
                <w:sz w:val="16"/>
                <w:szCs w:val="16"/>
              </w:rPr>
              <w:t>EFSA)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Уредник </w:t>
            </w:r>
            <w:r w:rsidR="00321B6E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часописа 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>Water Science and Technology</w:t>
            </w:r>
            <w:r w:rsidR="00321B6E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 (М23)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, </w:t>
            </w:r>
            <w:r w:rsidR="00321B6E" w:rsidRPr="007A751D">
              <w:rPr>
                <w:rFonts w:asciiTheme="majorBidi" w:hAnsiTheme="majorBidi" w:cstheme="majorBidi"/>
                <w:sz w:val="16"/>
                <w:szCs w:val="16"/>
              </w:rPr>
              <w:t>Е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валуатор пројеката </w:t>
            </w:r>
            <w:r w:rsidR="007A47C3" w:rsidRPr="007A751D">
              <w:rPr>
                <w:rFonts w:asciiTheme="majorBidi" w:hAnsiTheme="majorBidi" w:cstheme="majorBidi"/>
                <w:sz w:val="16"/>
                <w:szCs w:val="16"/>
              </w:rPr>
              <w:t>з</w:t>
            </w:r>
            <w:r w:rsidR="00504C1D" w:rsidRPr="007A751D">
              <w:rPr>
                <w:rFonts w:asciiTheme="majorBidi" w:hAnsiTheme="majorBidi" w:cstheme="majorBidi"/>
                <w:sz w:val="16"/>
                <w:szCs w:val="16"/>
              </w:rPr>
              <w:t xml:space="preserve">а REA (EU), FORMAS (Шведска), </w:t>
            </w:r>
            <w:r w:rsidR="00321B6E" w:rsidRPr="007A751D">
              <w:rPr>
                <w:rFonts w:asciiTheme="majorBidi" w:hAnsiTheme="majorBidi" w:cstheme="majorBidi"/>
                <w:sz w:val="16"/>
                <w:szCs w:val="16"/>
              </w:rPr>
              <w:t>FCT (Португал</w:t>
            </w:r>
            <w:r w:rsidR="007A47C3" w:rsidRPr="007A751D">
              <w:rPr>
                <w:rFonts w:asciiTheme="majorBidi" w:hAnsiTheme="majorBidi" w:cstheme="majorBidi"/>
                <w:sz w:val="16"/>
                <w:szCs w:val="16"/>
              </w:rPr>
              <w:t>).</w:t>
            </w:r>
          </w:p>
        </w:tc>
      </w:tr>
    </w:tbl>
    <w:p w:rsidR="00187D86" w:rsidRPr="007A751D" w:rsidRDefault="00187D86" w:rsidP="00CC30B3">
      <w:pPr>
        <w:rPr>
          <w:rFonts w:asciiTheme="majorBidi" w:hAnsiTheme="majorBidi" w:cstheme="majorBidi"/>
        </w:rPr>
      </w:pPr>
    </w:p>
    <w:sectPr w:rsidR="00187D86" w:rsidRPr="007A751D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62f2e734">
    <w:altName w:val="Arial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4AF2"/>
    <w:rsid w:val="000F5859"/>
    <w:rsid w:val="00187D86"/>
    <w:rsid w:val="00244676"/>
    <w:rsid w:val="002A44C2"/>
    <w:rsid w:val="00321B6E"/>
    <w:rsid w:val="00504C1D"/>
    <w:rsid w:val="00524BE7"/>
    <w:rsid w:val="00655F70"/>
    <w:rsid w:val="007409F2"/>
    <w:rsid w:val="007A47C3"/>
    <w:rsid w:val="007A751D"/>
    <w:rsid w:val="008C3517"/>
    <w:rsid w:val="00BF4A5A"/>
    <w:rsid w:val="00CC30B3"/>
    <w:rsid w:val="00D40282"/>
    <w:rsid w:val="00F12F56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F12F5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typography-modulelvnit">
    <w:name w:val="typography-module__lvnit"/>
    <w:basedOn w:val="DefaultParagraphFont"/>
    <w:rsid w:val="00D40282"/>
  </w:style>
  <w:style w:type="character" w:styleId="Emphasis">
    <w:name w:val="Emphasis"/>
    <w:basedOn w:val="DefaultParagraphFont"/>
    <w:uiPriority w:val="20"/>
    <w:qFormat/>
    <w:rsid w:val="00D40282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12F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ighlight-moduleako5d">
    <w:name w:val="highlight-module__ako5d"/>
    <w:basedOn w:val="DefaultParagraphFont"/>
    <w:rsid w:val="00F12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Tutanj</cp:lastModifiedBy>
  <cp:revision>9</cp:revision>
  <dcterms:created xsi:type="dcterms:W3CDTF">2023-06-14T10:27:00Z</dcterms:created>
  <dcterms:modified xsi:type="dcterms:W3CDTF">2023-07-12T12:35:00Z</dcterms:modified>
</cp:coreProperties>
</file>