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500"/>
        <w:gridCol w:w="287"/>
        <w:gridCol w:w="1187"/>
        <w:gridCol w:w="470"/>
        <w:gridCol w:w="313"/>
        <w:gridCol w:w="54"/>
        <w:gridCol w:w="65"/>
        <w:gridCol w:w="1247"/>
        <w:gridCol w:w="170"/>
        <w:gridCol w:w="1518"/>
        <w:gridCol w:w="1507"/>
      </w:tblGrid>
      <w:tr w:rsidR="00655F70" w:rsidRPr="00491993" w14:paraId="791F7774" w14:textId="77777777" w:rsidTr="00506415">
        <w:trPr>
          <w:cantSplit/>
        </w:trPr>
        <w:tc>
          <w:tcPr>
            <w:tcW w:w="4488" w:type="dxa"/>
            <w:gridSpan w:val="6"/>
            <w:vAlign w:val="center"/>
          </w:tcPr>
          <w:p w14:paraId="0EDAAFDD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47" w:type="dxa"/>
            <w:gridSpan w:val="6"/>
            <w:vAlign w:val="center"/>
          </w:tcPr>
          <w:p w14:paraId="76997B63" w14:textId="77777777" w:rsidR="00655F70" w:rsidRPr="00491993" w:rsidRDefault="0081259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Снежана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Орчић</w:t>
            </w:r>
            <w:proofErr w:type="spellEnd"/>
          </w:p>
        </w:tc>
      </w:tr>
      <w:tr w:rsidR="00655F70" w:rsidRPr="00491993" w14:paraId="3EBAF834" w14:textId="77777777" w:rsidTr="00506415">
        <w:trPr>
          <w:cantSplit/>
        </w:trPr>
        <w:tc>
          <w:tcPr>
            <w:tcW w:w="4488" w:type="dxa"/>
            <w:gridSpan w:val="6"/>
            <w:vAlign w:val="center"/>
          </w:tcPr>
          <w:p w14:paraId="47368BF6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47" w:type="dxa"/>
            <w:gridSpan w:val="6"/>
            <w:vAlign w:val="center"/>
          </w:tcPr>
          <w:p w14:paraId="12A428B9" w14:textId="3BA99F26" w:rsidR="00655F70" w:rsidRPr="002A5106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Start"/>
            <w:r w:rsidR="002A5106">
              <w:rPr>
                <w:rFonts w:ascii="Times New Roman" w:hAnsi="Times New Roman"/>
                <w:sz w:val="20"/>
                <w:szCs w:val="20"/>
                <w:lang w:val="sr-Cyrl-RS"/>
              </w:rPr>
              <w:t>оцент</w:t>
            </w:r>
            <w:proofErr w:type="spellEnd"/>
          </w:p>
        </w:tc>
      </w:tr>
      <w:tr w:rsidR="00655F70" w:rsidRPr="00491993" w14:paraId="1A3C748D" w14:textId="77777777" w:rsidTr="00506415">
        <w:trPr>
          <w:cantSplit/>
        </w:trPr>
        <w:tc>
          <w:tcPr>
            <w:tcW w:w="4488" w:type="dxa"/>
            <w:gridSpan w:val="6"/>
            <w:vAlign w:val="center"/>
          </w:tcPr>
          <w:p w14:paraId="25D0C92B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47" w:type="dxa"/>
            <w:gridSpan w:val="6"/>
            <w:vAlign w:val="center"/>
          </w:tcPr>
          <w:p w14:paraId="55C24E23" w14:textId="77777777" w:rsidR="00655F70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Универзитета у Новом Саду од 2012. године, са пуним радним временом.</w:t>
            </w:r>
          </w:p>
        </w:tc>
      </w:tr>
      <w:tr w:rsidR="00655F70" w:rsidRPr="00491993" w14:paraId="5E9D6498" w14:textId="77777777" w:rsidTr="00506415">
        <w:trPr>
          <w:cantSplit/>
        </w:trPr>
        <w:tc>
          <w:tcPr>
            <w:tcW w:w="4488" w:type="dxa"/>
            <w:gridSpan w:val="6"/>
            <w:vAlign w:val="center"/>
          </w:tcPr>
          <w:p w14:paraId="1C5004EA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47" w:type="dxa"/>
            <w:gridSpan w:val="6"/>
            <w:vAlign w:val="center"/>
          </w:tcPr>
          <w:p w14:paraId="44D9479E" w14:textId="77777777" w:rsidR="00655F70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Биохемија </w:t>
            </w:r>
          </w:p>
        </w:tc>
      </w:tr>
      <w:tr w:rsidR="00655F70" w:rsidRPr="00491993" w14:paraId="5AF77EFB" w14:textId="77777777" w:rsidTr="00506415">
        <w:trPr>
          <w:cantSplit/>
        </w:trPr>
        <w:tc>
          <w:tcPr>
            <w:tcW w:w="9135" w:type="dxa"/>
            <w:gridSpan w:val="12"/>
            <w:vAlign w:val="center"/>
          </w:tcPr>
          <w:p w14:paraId="57290025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777BE141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63CF4078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20E91AE8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99" w:type="dxa"/>
            <w:gridSpan w:val="3"/>
            <w:shd w:val="clear" w:color="auto" w:fill="auto"/>
            <w:vAlign w:val="center"/>
          </w:tcPr>
          <w:p w14:paraId="29B9EB8F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C8E860B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62B93D91" w14:textId="77777777" w:rsidR="00655F70" w:rsidRPr="00AC0E94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797576" w:rsidRPr="00491993" w14:paraId="3F4F7EF7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667D64EF" w14:textId="77777777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Доцент</w:t>
            </w:r>
          </w:p>
        </w:tc>
        <w:tc>
          <w:tcPr>
            <w:tcW w:w="837" w:type="dxa"/>
            <w:gridSpan w:val="3"/>
            <w:vAlign w:val="center"/>
          </w:tcPr>
          <w:p w14:paraId="73961B6F" w14:textId="77777777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499" w:type="dxa"/>
            <w:gridSpan w:val="3"/>
            <w:shd w:val="clear" w:color="auto" w:fill="auto"/>
            <w:vAlign w:val="center"/>
          </w:tcPr>
          <w:p w14:paraId="60A75FC4" w14:textId="20E4229E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</w:t>
            </w:r>
            <w:r w:rsidR="00E65543">
              <w:rPr>
                <w:rFonts w:ascii="Times New Roman" w:hAnsi="Times New Roman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011D885" w14:textId="77777777" w:rsidR="00797576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7AC1287" w14:textId="77777777" w:rsidR="00797576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797576" w:rsidRPr="00491993" w14:paraId="5E936A84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67C68CDD" w14:textId="77777777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Избор у звање Асистент са докторатом </w:t>
            </w:r>
          </w:p>
        </w:tc>
        <w:tc>
          <w:tcPr>
            <w:tcW w:w="837" w:type="dxa"/>
            <w:gridSpan w:val="3"/>
            <w:vAlign w:val="center"/>
          </w:tcPr>
          <w:p w14:paraId="4716F0E6" w14:textId="77777777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1499" w:type="dxa"/>
            <w:gridSpan w:val="3"/>
            <w:shd w:val="clear" w:color="auto" w:fill="auto"/>
            <w:vAlign w:val="center"/>
          </w:tcPr>
          <w:p w14:paraId="56246FA2" w14:textId="7CF8A88E" w:rsidR="00797576" w:rsidRPr="00491993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</w:t>
            </w:r>
            <w:r w:rsidR="00E65543">
              <w:rPr>
                <w:rFonts w:ascii="Times New Roman" w:hAnsi="Times New Roman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EDB9003" w14:textId="77777777" w:rsidR="00797576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830AE16" w14:textId="77777777" w:rsidR="00797576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E65543" w:rsidRPr="00491993" w14:paraId="50604552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586A32B4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3"/>
            <w:vAlign w:val="center"/>
          </w:tcPr>
          <w:p w14:paraId="7D27FAAE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01C8D682" w14:textId="73C28DB5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B7C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0D9DEEB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1499EDD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E65543" w:rsidRPr="00491993" w14:paraId="1481DD40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18504E1B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Избор у звање Асистент </w:t>
            </w:r>
          </w:p>
        </w:tc>
        <w:tc>
          <w:tcPr>
            <w:tcW w:w="837" w:type="dxa"/>
            <w:gridSpan w:val="3"/>
            <w:vAlign w:val="center"/>
          </w:tcPr>
          <w:p w14:paraId="5BD12A30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024C5F1D" w14:textId="25248D2B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B7C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6E98FAF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93A169B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E65543" w:rsidRPr="00491993" w14:paraId="21CCA0C8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5511A8C8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 Истраживач сарадник</w:t>
            </w:r>
          </w:p>
        </w:tc>
        <w:tc>
          <w:tcPr>
            <w:tcW w:w="837" w:type="dxa"/>
            <w:gridSpan w:val="3"/>
            <w:vAlign w:val="center"/>
          </w:tcPr>
          <w:p w14:paraId="2184D3E7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7FC21730" w14:textId="2414B6D0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B7C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4007736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30EA2650" w14:textId="77777777" w:rsidR="00E6554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E65543" w:rsidRPr="00491993" w14:paraId="0D588A50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4240EAB4" w14:textId="77777777" w:rsidR="00E65543" w:rsidRPr="00AC0E94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37" w:type="dxa"/>
            <w:gridSpan w:val="3"/>
            <w:vAlign w:val="center"/>
          </w:tcPr>
          <w:p w14:paraId="4F78D142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6900B0F5" w14:textId="6856FC2B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B7C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A919AFE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EF3E302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E65543" w:rsidRPr="00491993" w14:paraId="4046BD9A" w14:textId="77777777" w:rsidTr="00506415">
        <w:trPr>
          <w:cantSplit/>
        </w:trPr>
        <w:tc>
          <w:tcPr>
            <w:tcW w:w="3705" w:type="dxa"/>
            <w:gridSpan w:val="4"/>
            <w:vAlign w:val="center"/>
          </w:tcPr>
          <w:p w14:paraId="18BED696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3"/>
            <w:vAlign w:val="center"/>
          </w:tcPr>
          <w:p w14:paraId="6C3B02D2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2EE81353" w14:textId="7C1DFC09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B7C">
              <w:rPr>
                <w:rFonts w:ascii="Times New Roman" w:hAnsi="Times New Roman"/>
                <w:sz w:val="20"/>
                <w:szCs w:val="20"/>
                <w:lang w:val="sr-Cyrl-CS"/>
              </w:rPr>
              <w:t>ПМФ, УНС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83A1353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704052A" w14:textId="77777777" w:rsidR="00E65543" w:rsidRPr="00491993" w:rsidRDefault="00E65543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655F70" w:rsidRPr="00491993" w14:paraId="7F7F59F0" w14:textId="77777777" w:rsidTr="00506415">
        <w:trPr>
          <w:cantSplit/>
        </w:trPr>
        <w:tc>
          <w:tcPr>
            <w:tcW w:w="9135" w:type="dxa"/>
            <w:gridSpan w:val="12"/>
            <w:vAlign w:val="center"/>
          </w:tcPr>
          <w:p w14:paraId="74E49043" w14:textId="77777777" w:rsidR="00655F70" w:rsidRPr="00AC0E94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79757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14:paraId="64183C89" w14:textId="77777777" w:rsidTr="00506415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53AA5947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492FD3D5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ADE6074" w14:textId="77777777" w:rsidR="00655F70" w:rsidRPr="00AC0E94" w:rsidRDefault="00797576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</w:t>
            </w:r>
            <w:r w:rsidR="00655F70">
              <w:rPr>
                <w:rFonts w:ascii="Times New Roman" w:hAnsi="Times New Roman"/>
                <w:sz w:val="20"/>
                <w:szCs w:val="20"/>
              </w:rPr>
              <w:t>нака</w:t>
            </w:r>
            <w:proofErr w:type="spellEnd"/>
            <w:r w:rsidR="00655F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55F70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96" w:type="dxa"/>
            <w:gridSpan w:val="6"/>
            <w:shd w:val="clear" w:color="auto" w:fill="auto"/>
            <w:vAlign w:val="center"/>
          </w:tcPr>
          <w:p w14:paraId="50272652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14:paraId="08F5EC03" w14:textId="77777777" w:rsidR="00655F70" w:rsidRPr="00AC0E94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53" w:type="dxa"/>
            <w:shd w:val="clear" w:color="auto" w:fill="auto"/>
            <w:vAlign w:val="center"/>
          </w:tcPr>
          <w:p w14:paraId="5D6BE8DC" w14:textId="77777777" w:rsidR="00655F70" w:rsidRPr="00AC0E94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0FD11B7D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14:paraId="106C257D" w14:textId="77777777" w:rsidTr="00506415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0D74178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2CF74913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96" w:type="dxa"/>
            <w:gridSpan w:val="6"/>
            <w:shd w:val="clear" w:color="auto" w:fill="auto"/>
            <w:vAlign w:val="center"/>
          </w:tcPr>
          <w:p w14:paraId="25BB2563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14:paraId="17960562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1593FD7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07F300A3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79865DD9" w14:textId="77777777" w:rsidTr="00506415">
        <w:trPr>
          <w:cantSplit/>
        </w:trPr>
        <w:tc>
          <w:tcPr>
            <w:tcW w:w="9135" w:type="dxa"/>
            <w:gridSpan w:val="12"/>
            <w:vAlign w:val="center"/>
          </w:tcPr>
          <w:p w14:paraId="1FE6EFB3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14:paraId="3C56EEE1" w14:textId="77777777" w:rsidTr="00506415">
        <w:trPr>
          <w:cantSplit/>
        </w:trPr>
        <w:tc>
          <w:tcPr>
            <w:tcW w:w="567" w:type="dxa"/>
            <w:vAlign w:val="center"/>
          </w:tcPr>
          <w:p w14:paraId="32CB3409" w14:textId="77777777" w:rsidR="00655F70" w:rsidRPr="00491993" w:rsidRDefault="00655F70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38980DD1" w14:textId="5DFE94BB" w:rsidR="00655F70" w:rsidRPr="00CD6CAC" w:rsidRDefault="00CD6CAC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Čelić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T.V., Vukašinović E.L., Kojić D.K., </w:t>
            </w:r>
            <w:proofErr w:type="spellStart"/>
            <w:r w:rsidRPr="00CD6CAC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Orčić</w:t>
            </w:r>
            <w:proofErr w:type="spellEnd"/>
            <w:r w:rsidRPr="00CD6CAC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S.M.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Milić S.B., Vasin J.R.,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Purać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J.S.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Exposure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to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High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Concentrations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Cadmium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Which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Delay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Development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Ostrinia</w:t>
            </w:r>
            <w:proofErr w:type="spellEnd"/>
            <w:r w:rsidRPr="00CD6CAC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Nubilalis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Hbn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Larvae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Affected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the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Balance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CD6CAC">
              <w:rPr>
                <w:rFonts w:ascii="Times New Roman" w:hAnsi="Times New Roman"/>
                <w:sz w:val="20"/>
                <w:szCs w:val="20"/>
                <w:lang w:val="sr-Latn-RS"/>
              </w:rPr>
              <w:t>Bioelements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Archives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of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Environmental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Contamination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a</w:t>
            </w:r>
            <w:r w:rsidR="00185438" w:rsidRPr="00185438">
              <w:rPr>
                <w:rFonts w:ascii="Times New Roman" w:hAnsi="Times New Roman"/>
                <w:sz w:val="20"/>
                <w:szCs w:val="20"/>
                <w:lang w:val="sr-Latn-RS"/>
              </w:rPr>
              <w:t>nd</w:t>
            </w:r>
            <w:proofErr w:type="spellEnd"/>
            <w:r w:rsidR="00185438" w:rsidRP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="00185438" w:rsidRPr="00185438">
              <w:rPr>
                <w:rFonts w:ascii="Times New Roman" w:hAnsi="Times New Roman"/>
                <w:sz w:val="20"/>
                <w:szCs w:val="20"/>
                <w:lang w:val="sr-Latn-RS"/>
              </w:rPr>
              <w:t>Toxicology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83, 2022. </w:t>
            </w:r>
          </w:p>
        </w:tc>
      </w:tr>
      <w:tr w:rsidR="00655F70" w:rsidRPr="00491993" w14:paraId="61631ECD" w14:textId="77777777" w:rsidTr="00506415">
        <w:trPr>
          <w:cantSplit/>
        </w:trPr>
        <w:tc>
          <w:tcPr>
            <w:tcW w:w="567" w:type="dxa"/>
            <w:vAlign w:val="center"/>
          </w:tcPr>
          <w:p w14:paraId="6E17136A" w14:textId="77777777" w:rsidR="00655F70" w:rsidRPr="00491993" w:rsidRDefault="00655F70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0650B602" w14:textId="25AA8851" w:rsidR="00655F70" w:rsidRPr="00CD6CAC" w:rsidRDefault="00CD6CAC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proofErr w:type="spellStart"/>
            <w:r w:rsidRPr="00CD6CAC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Orčić</w:t>
            </w:r>
            <w:proofErr w:type="spellEnd"/>
            <w:r w:rsidRPr="00CD6CAC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S.M.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Čelić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T.V.,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Purać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J.S., Vukašinović E.L., Kojić D.K.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Acute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toxicity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sublethal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concentrations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thiacloprid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clothianidin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to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immune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response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oxidative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status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honey</w:t>
            </w:r>
            <w:proofErr w:type="spellEnd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EF710C">
              <w:rPr>
                <w:rFonts w:ascii="Times New Roman" w:hAnsi="Times New Roman"/>
                <w:sz w:val="20"/>
                <w:szCs w:val="20"/>
                <w:lang w:val="sr-Cyrl-CS"/>
              </w:rPr>
              <w:t>bees</w:t>
            </w:r>
            <w:proofErr w:type="spellEnd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="00185438">
              <w:rPr>
                <w:rFonts w:ascii="Times New Roman" w:hAnsi="Times New Roman"/>
                <w:sz w:val="20"/>
                <w:szCs w:val="20"/>
                <w:lang w:val="sr-Latn-RS"/>
              </w:rPr>
              <w:t>Apidologie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53(4), 2022.</w:t>
            </w:r>
          </w:p>
        </w:tc>
      </w:tr>
      <w:tr w:rsidR="00655F70" w:rsidRPr="00491993" w14:paraId="1BF3F43E" w14:textId="77777777" w:rsidTr="00506415">
        <w:trPr>
          <w:cantSplit/>
        </w:trPr>
        <w:tc>
          <w:tcPr>
            <w:tcW w:w="567" w:type="dxa"/>
            <w:vAlign w:val="center"/>
          </w:tcPr>
          <w:p w14:paraId="32A18187" w14:textId="77777777" w:rsidR="00655F70" w:rsidRPr="00491993" w:rsidRDefault="00655F70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78F2F6D3" w14:textId="1147F6A7" w:rsidR="00655F70" w:rsidRPr="00491993" w:rsidRDefault="00185438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lijević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Vujanović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D., </w:t>
            </w:r>
            <w:proofErr w:type="spellStart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S.M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Purać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J.S.,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Kojić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D.K.,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Zarić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N.M.,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Gržetić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I.A.,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Blagojević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D.P.,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Čelić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T.V.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Anthropogenic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influence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seasonal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spatial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variation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bioelements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non-essential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elements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honeybees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their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hemolymph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Comparative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Biochemistry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Physiol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ogy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Toxicology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Pharmacology</w:t>
            </w:r>
            <w:proofErr w:type="spellEnd"/>
            <w:r w:rsidR="00C036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239 (108852),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2021.</w:t>
            </w:r>
          </w:p>
        </w:tc>
      </w:tr>
      <w:tr w:rsidR="00C03655" w:rsidRPr="00491993" w14:paraId="30B53CB6" w14:textId="77777777" w:rsidTr="00506415">
        <w:trPr>
          <w:cantSplit/>
        </w:trPr>
        <w:tc>
          <w:tcPr>
            <w:tcW w:w="567" w:type="dxa"/>
            <w:vAlign w:val="center"/>
          </w:tcPr>
          <w:p w14:paraId="78ED9E1A" w14:textId="77777777" w:rsidR="00C03655" w:rsidRPr="00491993" w:rsidRDefault="00C03655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4ED73265" w14:textId="05F064A9" w:rsidR="00C03655" w:rsidRPr="00491993" w:rsidRDefault="00C03655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Kojić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D.K.,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Purać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J.S.,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Nikolić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T.V., </w:t>
            </w:r>
            <w:proofErr w:type="spellStart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S.M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Vujanović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Ilijević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Vukašinović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E.L.,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Blagojević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D.P.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Oxidative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stress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activity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antioxidative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defense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enzymes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overwintering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ho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bees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Entomologia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Generalis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39 (1), 33-44, 2019.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03655" w:rsidRPr="00491993" w14:paraId="4225F847" w14:textId="77777777" w:rsidTr="00506415">
        <w:trPr>
          <w:cantSplit/>
        </w:trPr>
        <w:tc>
          <w:tcPr>
            <w:tcW w:w="567" w:type="dxa"/>
            <w:vAlign w:val="center"/>
          </w:tcPr>
          <w:p w14:paraId="33E6DACC" w14:textId="77777777" w:rsidR="00C03655" w:rsidRPr="00491993" w:rsidRDefault="00C03655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3A64A54B" w14:textId="5C7D8E4B" w:rsidR="00C03655" w:rsidRPr="00491993" w:rsidRDefault="00C03655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Nikolić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T.V.,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Kojić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D., </w:t>
            </w:r>
            <w:proofErr w:type="spellStart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S.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Vukašinović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E.L.,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Blagojević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D.P.,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Purać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Laboratory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bioassays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response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honey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bee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Apis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mellifera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L.)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glutathione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C03655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S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transferase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acetylcholinesterase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to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oral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exposure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to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copper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cadmium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lead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Environmental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Science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Pollution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Research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26(7), 6890-6897, 2019.</w:t>
            </w:r>
          </w:p>
        </w:tc>
      </w:tr>
      <w:tr w:rsidR="00C03655" w:rsidRPr="00491993" w14:paraId="5178793F" w14:textId="77777777" w:rsidTr="00506415">
        <w:trPr>
          <w:cantSplit/>
        </w:trPr>
        <w:tc>
          <w:tcPr>
            <w:tcW w:w="567" w:type="dxa"/>
            <w:vAlign w:val="center"/>
          </w:tcPr>
          <w:p w14:paraId="45B280F4" w14:textId="77777777" w:rsidR="00C03655" w:rsidRPr="00491993" w:rsidRDefault="00C03655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6C09DD37" w14:textId="57D6AC81" w:rsidR="00C03655" w:rsidRPr="00491993" w:rsidRDefault="00C03655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Kojić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Popović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Ž.D.,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D.Z.,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Purać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S.J., </w:t>
            </w:r>
            <w:proofErr w:type="spellStart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S.M.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Vukašinović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E.L.,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Nikolić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T.V.,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Blagojević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D.P.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influence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low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temperature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diapause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phase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sugar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polyol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content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European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corn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borer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Ostrinia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nubilalis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Hbn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.).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Journal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of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Insect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Physiology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, 109, 107-113, 2018.</w:t>
            </w:r>
          </w:p>
        </w:tc>
      </w:tr>
      <w:tr w:rsidR="00655F70" w:rsidRPr="00491993" w14:paraId="3FB5BBB2" w14:textId="77777777" w:rsidTr="00506415">
        <w:trPr>
          <w:cantSplit/>
        </w:trPr>
        <w:tc>
          <w:tcPr>
            <w:tcW w:w="567" w:type="dxa"/>
            <w:vAlign w:val="center"/>
          </w:tcPr>
          <w:p w14:paraId="15D03FE1" w14:textId="77777777" w:rsidR="00655F70" w:rsidRPr="00491993" w:rsidRDefault="00655F70" w:rsidP="001745C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68" w:type="dxa"/>
            <w:gridSpan w:val="11"/>
            <w:shd w:val="clear" w:color="auto" w:fill="auto"/>
            <w:vAlign w:val="center"/>
          </w:tcPr>
          <w:p w14:paraId="712F53FB" w14:textId="6D66F260" w:rsidR="00655F70" w:rsidRPr="00491993" w:rsidRDefault="00C03655" w:rsidP="001745C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Orčić</w:t>
            </w:r>
            <w:proofErr w:type="spellEnd"/>
            <w:r w:rsidRPr="00A7581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S.</w:t>
            </w:r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Nikolić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Purać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Šikoparija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Blagojević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D.P.,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Vukašinović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Plavša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N.,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Stevanović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J.,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Kojić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D.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Seasonal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variation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the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activity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selected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antioxidant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enzymes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and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malondialdehyde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level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>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worker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honey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bees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Entomologia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Experimentalis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Applicata</w:t>
            </w:r>
            <w:proofErr w:type="spellEnd"/>
            <w:r w:rsidRPr="00A758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165(2-3), 120-128, 2017.</w:t>
            </w:r>
          </w:p>
        </w:tc>
      </w:tr>
      <w:tr w:rsidR="00655F70" w:rsidRPr="00491993" w14:paraId="2621DB4C" w14:textId="77777777" w:rsidTr="00506415">
        <w:trPr>
          <w:cantSplit/>
        </w:trPr>
        <w:tc>
          <w:tcPr>
            <w:tcW w:w="9135" w:type="dxa"/>
            <w:gridSpan w:val="12"/>
            <w:vAlign w:val="center"/>
          </w:tcPr>
          <w:p w14:paraId="4B6CC080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491993" w14:paraId="6F7A60BF" w14:textId="77777777" w:rsidTr="00506415">
        <w:trPr>
          <w:cantSplit/>
        </w:trPr>
        <w:tc>
          <w:tcPr>
            <w:tcW w:w="4175" w:type="dxa"/>
            <w:gridSpan w:val="5"/>
            <w:vAlign w:val="center"/>
          </w:tcPr>
          <w:p w14:paraId="7BE6C28E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60" w:type="dxa"/>
            <w:gridSpan w:val="7"/>
            <w:vAlign w:val="center"/>
          </w:tcPr>
          <w:p w14:paraId="5EC2BA85" w14:textId="31E3FC31" w:rsidR="00655F70" w:rsidRPr="0095004D" w:rsidRDefault="0095004D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276</w:t>
            </w:r>
          </w:p>
        </w:tc>
      </w:tr>
      <w:tr w:rsidR="00655F70" w:rsidRPr="00491993" w14:paraId="6B398FF7" w14:textId="77777777" w:rsidTr="00506415">
        <w:trPr>
          <w:cantSplit/>
        </w:trPr>
        <w:tc>
          <w:tcPr>
            <w:tcW w:w="4175" w:type="dxa"/>
            <w:gridSpan w:val="5"/>
            <w:vAlign w:val="center"/>
          </w:tcPr>
          <w:p w14:paraId="44DE76D3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60" w:type="dxa"/>
            <w:gridSpan w:val="7"/>
            <w:vAlign w:val="center"/>
          </w:tcPr>
          <w:p w14:paraId="258144CF" w14:textId="3ACCC67E" w:rsidR="00655F70" w:rsidRPr="00491993" w:rsidRDefault="00EF710C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</w:tr>
      <w:tr w:rsidR="00655F70" w:rsidRPr="00491993" w14:paraId="09424BA1" w14:textId="77777777" w:rsidTr="00506415">
        <w:trPr>
          <w:cantSplit/>
        </w:trPr>
        <w:tc>
          <w:tcPr>
            <w:tcW w:w="4175" w:type="dxa"/>
            <w:gridSpan w:val="5"/>
            <w:vAlign w:val="center"/>
          </w:tcPr>
          <w:p w14:paraId="1A54DD9C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91" w:type="dxa"/>
            <w:gridSpan w:val="4"/>
            <w:vAlign w:val="center"/>
          </w:tcPr>
          <w:p w14:paraId="44C66C48" w14:textId="6E7801FE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B964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269" w:type="dxa"/>
            <w:gridSpan w:val="3"/>
            <w:vAlign w:val="center"/>
          </w:tcPr>
          <w:p w14:paraId="0B34F25B" w14:textId="4F29BB53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4E30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55F70" w:rsidRPr="00491993" w14:paraId="4BECE449" w14:textId="77777777" w:rsidTr="00506415">
        <w:trPr>
          <w:cantSplit/>
        </w:trPr>
        <w:tc>
          <w:tcPr>
            <w:tcW w:w="2420" w:type="dxa"/>
            <w:gridSpan w:val="3"/>
            <w:vAlign w:val="center"/>
          </w:tcPr>
          <w:p w14:paraId="4F5C064D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15" w:type="dxa"/>
            <w:gridSpan w:val="9"/>
            <w:vAlign w:val="center"/>
          </w:tcPr>
          <w:p w14:paraId="186A9543" w14:textId="2894B82D" w:rsidR="00655F70" w:rsidRPr="00491993" w:rsidRDefault="00677674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тудијски боравак „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Training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Course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of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Biotechnology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Application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on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Food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Industries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for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Developing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Countries</w:t>
            </w:r>
            <w:proofErr w:type="spellEnd"/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“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К</w:t>
            </w:r>
            <w:r w:rsidRPr="009D431E">
              <w:rPr>
                <w:rFonts w:ascii="Times New Roman" w:hAnsi="Times New Roman"/>
                <w:sz w:val="20"/>
                <w:szCs w:val="20"/>
                <w:lang w:val="sr-Cyrl-CS"/>
              </w:rPr>
              <w:t>инески национални научни институт за храну и ферментацију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="00BD3161">
              <w:rPr>
                <w:rFonts w:ascii="Times New Roman" w:hAnsi="Times New Roman"/>
                <w:sz w:val="20"/>
                <w:szCs w:val="20"/>
                <w:lang w:val="sr-Cyrl-C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-јун 2014., Пекинг, Кина. </w:t>
            </w:r>
          </w:p>
        </w:tc>
      </w:tr>
      <w:tr w:rsidR="00655F70" w:rsidRPr="00491993" w14:paraId="1852FDFE" w14:textId="77777777" w:rsidTr="00506415">
        <w:trPr>
          <w:cantSplit/>
        </w:trPr>
        <w:tc>
          <w:tcPr>
            <w:tcW w:w="9135" w:type="dxa"/>
            <w:gridSpan w:val="12"/>
            <w:vAlign w:val="center"/>
          </w:tcPr>
          <w:p w14:paraId="59FEA028" w14:textId="77777777" w:rsidR="00655F70" w:rsidRPr="00491993" w:rsidRDefault="00655F70" w:rsidP="001745C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37ECCAA" w14:textId="77777777" w:rsidR="00187D86" w:rsidRDefault="00187D86" w:rsidP="00E65543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139408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70"/>
    <w:rsid w:val="00075B56"/>
    <w:rsid w:val="001745CC"/>
    <w:rsid w:val="00185438"/>
    <w:rsid w:val="00187D86"/>
    <w:rsid w:val="00296AFB"/>
    <w:rsid w:val="002A5106"/>
    <w:rsid w:val="004B053C"/>
    <w:rsid w:val="004E30AF"/>
    <w:rsid w:val="00506415"/>
    <w:rsid w:val="00597ED5"/>
    <w:rsid w:val="00655F70"/>
    <w:rsid w:val="00677674"/>
    <w:rsid w:val="00797576"/>
    <w:rsid w:val="00812590"/>
    <w:rsid w:val="0095004D"/>
    <w:rsid w:val="00B96436"/>
    <w:rsid w:val="00BD3161"/>
    <w:rsid w:val="00C03655"/>
    <w:rsid w:val="00CB77BB"/>
    <w:rsid w:val="00CD6CAC"/>
    <w:rsid w:val="00D52651"/>
    <w:rsid w:val="00E65543"/>
    <w:rsid w:val="00EF710C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1235E"/>
  <w15:docId w15:val="{93FAE677-7850-442F-BEA8-F28E8665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AB10A5-9CBD-41BD-8D30-A0198C5063C7}"/>
</file>

<file path=customXml/itemProps2.xml><?xml version="1.0" encoding="utf-8"?>
<ds:datastoreItem xmlns:ds="http://schemas.openxmlformats.org/officeDocument/2006/customXml" ds:itemID="{3A05A095-4937-4BF4-BDD6-D65EFAF04798}"/>
</file>

<file path=customXml/itemProps3.xml><?xml version="1.0" encoding="utf-8"?>
<ds:datastoreItem xmlns:ds="http://schemas.openxmlformats.org/officeDocument/2006/customXml" ds:itemID="{3EADD208-C390-43F0-97CB-86DF36641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Snezana Orcic</cp:lastModifiedBy>
  <cp:revision>19</cp:revision>
  <dcterms:created xsi:type="dcterms:W3CDTF">2023-06-14T10:27:00Z</dcterms:created>
  <dcterms:modified xsi:type="dcterms:W3CDTF">2023-07-10T16:09:00Z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