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16.000000000002" w:type="dxa"/>
        <w:jc w:val="left"/>
        <w:tblInd w:w="-115.0" w:type="dxa"/>
        <w:tblLayout w:type="fixed"/>
        <w:tblLook w:val="0000"/>
      </w:tblPr>
      <w:tblGrid>
        <w:gridCol w:w="1950"/>
        <w:gridCol w:w="1091"/>
        <w:gridCol w:w="423"/>
        <w:gridCol w:w="707"/>
        <w:gridCol w:w="654"/>
        <w:gridCol w:w="617"/>
        <w:gridCol w:w="500"/>
        <w:gridCol w:w="500"/>
        <w:gridCol w:w="1212"/>
        <w:gridCol w:w="1549"/>
        <w:gridCol w:w="1813"/>
        <w:tblGridChange w:id="0">
          <w:tblGrid>
            <w:gridCol w:w="1950"/>
            <w:gridCol w:w="1091"/>
            <w:gridCol w:w="423"/>
            <w:gridCol w:w="707"/>
            <w:gridCol w:w="654"/>
            <w:gridCol w:w="617"/>
            <w:gridCol w:w="500"/>
            <w:gridCol w:w="500"/>
            <w:gridCol w:w="1212"/>
            <w:gridCol w:w="1549"/>
            <w:gridCol w:w="1813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Татјана Костић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Универзитетa у Новом Саду, од 1991. године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</w:t>
            </w:r>
          </w:p>
        </w:tc>
      </w:tr>
      <w:tr>
        <w:trPr>
          <w:cantSplit w:val="0"/>
          <w:trHeight w:val="1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1997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</w:t>
            </w:r>
          </w:p>
        </w:tc>
      </w:tr>
      <w:tr>
        <w:trPr>
          <w:cantSplit w:val="0"/>
          <w:trHeight w:val="14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1994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Центар за мултидидциплинарне науке, Београд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Мултидисциплинарне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Неуронауке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1990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Хистологија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4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ОБ019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 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Механизми ћелијске комуникације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ОБ056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и ћелијска имунологија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ОБ056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и ћелијска имунологија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ОБ045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Ендокринологија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ОБ062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Имунобиологија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МБ48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Хронобиологија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МБ46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Неуроендокринологија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МБ43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Репродуктивна биологија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МБ41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Експериментална физиологија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tabs>
                <w:tab w:val="left" w:leader="none" w:pos="567"/>
              </w:tabs>
              <w:spacing w:line="18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Travicic, D., Pavlovic, M., Medar, M., Becin, A., Cetnik, M., Lalosevic, D., Andric, S.,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Kostic, 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2023.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Circadian desynchrony disturbs the function of rat spermatozoa.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Eur J Cell Biol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102, 151323. doi: 10.1016/j.ejcb.2023.151323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B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Pavlovic, M., Marinkovic, D., Andric, S.,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Kostic,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2022.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sz w:val="20"/>
                  <w:szCs w:val="20"/>
                  <w:rtl w:val="0"/>
                </w:rPr>
                <w:t xml:space="preserve">The cost of the circadian desynchrony on the Leydig cell function.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Sci Rep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12, 15520. doi: 10.1038/s41598-022-19889-9.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Medar, M., Andric, S.,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Kostic, 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Stress-induced glucocorticoids alter the Leydig cells' timing and steroidogenesis-related systems.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Mol Cell Endocrinol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538, 111469. doi: 10.1016/j.mce.2021.111469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Marinkovic, D., Medar, M., Becin, A., Andric, S.,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Kostic, 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Growing Up Under Constant Light: A Challenge to the Endocrine Function of the Leydig Cells.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Front Endocrinol (Lausanne),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16(12), 653602. doi: 10.3389/fendo.2021.653602. eCollection 2021.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20"/>
                <w:szCs w:val="20"/>
                <w:rtl w:val="0"/>
              </w:rPr>
              <w:t xml:space="preserve">Medar, M., Marinkovic, D., Kojic, Z., Becin, A., Starovlah, I., Kravic-Stevovic, T., Andric, S.,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Kostic,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20"/>
                <w:szCs w:val="20"/>
                <w:rtl w:val="0"/>
              </w:rPr>
              <w:t xml:space="preserve">. 2020. Dependence of Leydig Cell's Mitochondrial Physiology on Luteinizing Hormone Signaling.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Life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(Basel), 11(1), 19. doi: 10.3390/life11010019.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Radovic Pletikosic, S., Starovlah, I., Miljkovic, D., Bajic, D., Capo, I., Nef,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Kostic,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Andric, S. 2021. Deficiency in insulin-like growth factors signaling in mouse Leydig cells increase conversion of testosterone to estradiol due to feminization.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Acta Physiol (Oxf)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231(3),  e13563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doi: 10.1111/apha.13563.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Sokanovic, S., Baburski, A., Kojic, Z., Medar, M., Andric, S.,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Kostic,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2021. Aging-related increase of cGMP disrupts mitochondrial homeostasis in Leydig cells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 J Gerontol A Biol Sci Med Sci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76(2), pp. 177-186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doi: 10.1093/gerona/glaa132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D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Baburski, A., Andric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Kostic,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2019. Luteinizing hormone signaling is involved in synchronization of Leydig cell clock and is crucial for rhythm robustness of testosterone production.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Biol Reprod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100(5), pp. 1406-1415.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doi: 10.1093/biolre/ioz020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Sokanovic,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Capo, I., Medar,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Andric,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Kostic, 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Long-term inhibition of PDE5 ameliorates aging-induced changes in rat testis.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Exp Gerontol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pp.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139-148.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widowControl w:val="0"/>
              <w:tabs>
                <w:tab w:val="left" w:leader="none" w:pos="567"/>
              </w:tabs>
              <w:spacing w:line="22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Baburski, A., Sokanovic, S., Radovic, S., Bjelic, M., Andric,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Kostic,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2016. Circadian rhythm of the Leydig cells endocrine function is attenuated during aging.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Exp Gerontol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73, pp. 5-13.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1465 (1196)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widowControl w:val="0"/>
              <w:tabs>
                <w:tab w:val="left" w:leader="none" w:pos="567"/>
              </w:tabs>
              <w:spacing w:line="20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2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2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widowControl w:val="0"/>
              <w:tabs>
                <w:tab w:val="left" w:leader="none" w:pos="567"/>
              </w:tabs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spacing w:line="22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1999–2002.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Visiting fellow 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National Institutes of Health, NICHD (USA).</w:t>
            </w:r>
          </w:p>
        </w:tc>
      </w:tr>
    </w:tbl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0" w:footer="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7:22:39Z"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Писало теоријска; заменила са предавања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A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607C"/>
    <w:rPr>
      <w:rFonts w:cs="Times New Roma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qFormat w:val="1"/>
    <w:rsid w:val="00E14461"/>
    <w:rPr>
      <w:rFonts w:ascii="Segoe UI" w:cs="Segoe UI" w:eastAsia="Calibri" w:hAnsi="Segoe UI"/>
      <w:sz w:val="18"/>
      <w:szCs w:val="18"/>
    </w:rPr>
  </w:style>
  <w:style w:type="character" w:styleId="Hyperlink">
    <w:name w:val="Hyperlink"/>
    <w:basedOn w:val="DefaultParagraphFont"/>
    <w:rsid w:val="00074BEA"/>
    <w:rPr>
      <w:color w:val="0000ff"/>
      <w:u w:val="single"/>
    </w:rPr>
  </w:style>
  <w:style w:type="character" w:styleId="nlmarticle-title" w:customStyle="1">
    <w:name w:val="nlm_article-title"/>
    <w:basedOn w:val="DefaultParagraphFont"/>
    <w:qFormat w:val="1"/>
    <w:rsid w:val="00160C21"/>
  </w:style>
  <w:style w:type="paragraph" w:styleId="Heading" w:customStyle="1">
    <w:name w:val="Heading"/>
    <w:basedOn w:val="Normal"/>
    <w:next w:val="BodyText"/>
    <w:qFormat w:val="1"/>
    <w:rsid w:val="00D50F3B"/>
    <w:pPr>
      <w:keepNext w:val="1"/>
      <w:spacing w:after="120" w:before="240"/>
    </w:pPr>
    <w:rPr>
      <w:rFonts w:ascii="Carlito" w:cs="Noto Sans Devanagari" w:eastAsia="Noto Sans SC Regular" w:hAnsi="Carlito"/>
      <w:sz w:val="28"/>
      <w:szCs w:val="28"/>
    </w:rPr>
  </w:style>
  <w:style w:type="paragraph" w:styleId="BodyText">
    <w:name w:val="Body Text"/>
    <w:basedOn w:val="Normal"/>
    <w:rsid w:val="00D50F3B"/>
    <w:pPr>
      <w:spacing w:after="140" w:line="276" w:lineRule="auto"/>
    </w:pPr>
  </w:style>
  <w:style w:type="paragraph" w:styleId="List">
    <w:name w:val="List"/>
    <w:basedOn w:val="BodyText"/>
    <w:rsid w:val="00D50F3B"/>
    <w:rPr>
      <w:rFonts w:cs="Noto Sans Devanagari"/>
    </w:rPr>
  </w:style>
  <w:style w:type="paragraph" w:styleId="Caption">
    <w:name w:val="caption"/>
    <w:basedOn w:val="Normal"/>
    <w:qFormat w:val="1"/>
    <w:rsid w:val="00D50F3B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Index" w:customStyle="1">
    <w:name w:val="Index"/>
    <w:basedOn w:val="Normal"/>
    <w:qFormat w:val="1"/>
    <w:rsid w:val="00D50F3B"/>
    <w:pPr>
      <w:suppressLineNumbers w:val="1"/>
    </w:pPr>
    <w:rPr>
      <w:rFonts w:cs="Noto Sans Devanagari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qFormat w:val="1"/>
    <w:rsid w:val="00E14461"/>
    <w:rPr>
      <w:rFonts w:ascii="Segoe UI" w:cs="Segoe UI" w:hAnsi="Segoe UI"/>
      <w:sz w:val="18"/>
      <w:szCs w:val="18"/>
    </w:rPr>
  </w:style>
  <w:style w:type="character" w:styleId="docsum-authors" w:customStyle="1">
    <w:name w:val="docsum-authors"/>
    <w:basedOn w:val="DefaultParagraphFont"/>
    <w:rsid w:val="00F17908"/>
  </w:style>
  <w:style w:type="character" w:styleId="docsum-journal-citation" w:customStyle="1">
    <w:name w:val="docsum-journal-citation"/>
    <w:basedOn w:val="DefaultParagraphFont"/>
    <w:rsid w:val="00F17908"/>
  </w:style>
  <w:style w:type="character" w:styleId="jrnl" w:customStyle="1">
    <w:name w:val="jrnl"/>
    <w:basedOn w:val="DefaultParagraphFont"/>
    <w:rsid w:val="00F17908"/>
  </w:style>
  <w:style w:type="character" w:styleId="apple-converted-space" w:customStyle="1">
    <w:name w:val="apple-converted-space"/>
    <w:basedOn w:val="DefaultParagraphFont"/>
    <w:rsid w:val="00F1790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0" Type="http://schemas.openxmlformats.org/officeDocument/2006/relationships/hyperlink" Target="https://pubmed.ncbi.nlm.nih.gov/36109553/" TargetMode="External"/><Relationship Id="rId9" Type="http://schemas.openxmlformats.org/officeDocument/2006/relationships/hyperlink" Target="https://pubmed.ncbi.nlm.nih.gov/37201364/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aIufZowodp7v9Djfwuw3I0PXzA==">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2023-07-12T13:53:00Z</dcterms:created>
  <dc:creator>Vera Zupanec</dc:creator>
</cp:coreProperties>
</file>