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95.0" w:type="dxa"/>
        <w:jc w:val="left"/>
        <w:tblInd w:w="-115.0" w:type="dxa"/>
        <w:tblLayout w:type="fixed"/>
        <w:tblLook w:val="0000"/>
      </w:tblPr>
      <w:tblGrid>
        <w:gridCol w:w="556"/>
        <w:gridCol w:w="1649"/>
        <w:gridCol w:w="262"/>
        <w:gridCol w:w="1029"/>
        <w:gridCol w:w="648"/>
        <w:gridCol w:w="150"/>
        <w:gridCol w:w="272"/>
        <w:gridCol w:w="1083"/>
        <w:gridCol w:w="168"/>
        <w:gridCol w:w="232"/>
        <w:gridCol w:w="1459"/>
        <w:gridCol w:w="866"/>
        <w:gridCol w:w="1621"/>
        <w:tblGridChange w:id="0">
          <w:tblGrid>
            <w:gridCol w:w="556"/>
            <w:gridCol w:w="1649"/>
            <w:gridCol w:w="262"/>
            <w:gridCol w:w="1029"/>
            <w:gridCol w:w="648"/>
            <w:gridCol w:w="150"/>
            <w:gridCol w:w="272"/>
            <w:gridCol w:w="1083"/>
            <w:gridCol w:w="168"/>
            <w:gridCol w:w="232"/>
            <w:gridCol w:w="1459"/>
            <w:gridCol w:w="866"/>
            <w:gridCol w:w="1621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Загорка Лозанов Црвенковић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математички факултет Универзитета у Новом Саду, од 1980.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1983.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1979.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математички факултет,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9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P116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 из примењене статистике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IH052, OM0019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Статистика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Основне академске студије-Хемија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DD0031</w:t>
            </w:r>
          </w:p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IM0026, M319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Статистика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 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MN0008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Статистичко моделирање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математике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Milovanćev, A., Miljković, T., Petrović, M., Kovačević, M., Ilić, A., Bjelobrk, M.,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Lozanov-Crvenković, Z.,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Stojšić-Milosavljević, A., Tadić, S. and Bulatović, T. 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Impact of the COVID-19 Pandemic on Cardiology Emergency Department Visits.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Heart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63(4), pp. 749-754;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DOI: 10.1536/ihj.21-750;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Medić, S., Anastassopoulou, C.,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Vuković, V., Dragnić, N., Petrović, V., Ristić,  M., Pustahija, T., Gojković, Z., Tsakris, A., Ioannidis, J.P.A. 2022. Risk and severity of SARS-CoV-2 reinfections during2020−2022 in Vojvodina, Serbia: A population-levelobservational study.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The Lancet Regional Health -Europe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20, 100453, M23;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DOI: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10.1016/j.lanepe.2022.100453;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M53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Gvozdenac, S.M, Milovac, Ž., Vidal,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Lozanov-Crvenković, Z.,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Franeta, F., Štajner-Papuga, I., Ovuka, J.S, Cvejić, S. 2022. Comparison of Chemical and Biological Wireworm Control Options in Serbian Sunflower Fields and a Proposition for a Refined Wireworm Damage Assessment.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Agronomy-Basel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12(4), pp. 758-779;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DOI: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rtl w:val="0"/>
                </w:rPr>
                <w:t xml:space="preserve">10.3390/agronomy12040758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Iilć, M.,  Grujičić, M.,  Novaković, B., Vrkatić, A.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Lozanov-Crvenković, Z.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Cigarette Smoking among Medical Students from the Western Balkan. International Journal of Environmental Research and Public Health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19(5), pp. 3055-3071;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DOI: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10.3390/ijerph19053055;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Medić S., Petrović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, Lozanov-Crvenković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Brkić S., Andrews N., de Ory F., Anastassopoulou C. 2018. Seroepidemiology of varicella zoster virusinfection in Vojvodina,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Epidemiology and Infection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146(12), pp. 1593-1601;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DOI: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10.1017/S0950268818001619;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Medić, S., Katsilieris,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., Lozanov-Crvenković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Siettos, C., Petrović, V., Milošević, V., Brkić, S., Andews, N., Ubavić, M. and Anastassopoulou, C. 2018. Varicella zoster virus transmission dynamics in Vojvodina,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Plos 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13(3), pp. 1-13;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doi: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10.1371/journal.pone.0193838;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Grujić, G.,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Lozanov-Crvenković, Z.,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Štajnet-Papuga, I. 2017. General fuzzy integral as a base for estimation of fuzzy quantities.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Fuzzy Sets and Systems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326, pp. 69-80.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https://doi.org/10.1016/j.fss.2017.05.026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M21a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Jakovljević,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Lozanov-Crvenković, Z.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2015. Water quality changes after Kraljevo earthquake in 2010. Natural Hazards, 79(3), pp. 2033-2053;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DOI: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10.1007/s11069-015-1943-z;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widowControl w:val="0"/>
              <w:tabs>
                <w:tab w:val="left" w:leader="none" w:pos="567"/>
              </w:tabs>
              <w:spacing w:after="60" w:before="240" w:line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Jakovljević, A., Bogavac,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Lozanov-Crvenković Z.,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Milišević-Tomić, M., Nikolić, A., Mitić, G. 2017. Early pregnancy angiogenic proteins levels and pregnancy related hypertensive disorders.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Journal of Maternal-Fetal and Neonatal Medicine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30 (5), pp. 534-539   DOI: 10.1080/14767058.2016.1177814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178 (144)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</w:t>
            </w:r>
          </w:p>
        </w:tc>
      </w:tr>
    </w:tbl>
    <w:p w:rsidR="00000000" w:rsidDel="00000000" w:rsidP="00000000" w:rsidRDefault="00000000" w:rsidRPr="00000000" w14:paraId="00000189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7:55:13Z"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недостаје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653D"/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</w:rPr>
  </w:style>
  <w:style w:type="character" w:styleId="id-label" w:customStyle="1">
    <w:name w:val="id-label"/>
    <w:basedOn w:val="DefaultParagraphFont"/>
    <w:qFormat w:val="1"/>
    <w:rsid w:val="008E41A8"/>
  </w:style>
  <w:style w:type="character" w:styleId="cit" w:customStyle="1">
    <w:name w:val="cit"/>
    <w:basedOn w:val="DefaultParagraphFont"/>
    <w:qFormat w:val="1"/>
    <w:rsid w:val="008E41A8"/>
  </w:style>
  <w:style w:type="character" w:styleId="doi" w:customStyle="1">
    <w:name w:val="doi"/>
    <w:basedOn w:val="DefaultParagraphFont"/>
    <w:qFormat w:val="1"/>
    <w:rsid w:val="008E41A8"/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qFormat w:val="1"/>
    <w:rsid w:val="00E45D4B"/>
    <w:rPr>
      <w:color w:val="605e5c"/>
      <w:shd w:color="auto" w:fill="e1dfdd" w:val="clear"/>
    </w:rPr>
  </w:style>
  <w:style w:type="character" w:styleId="identifier" w:customStyle="1">
    <w:name w:val="identifier"/>
    <w:basedOn w:val="DefaultParagraphFont"/>
    <w:qFormat w:val="1"/>
    <w:rsid w:val="00AE5272"/>
  </w:style>
  <w:style w:type="character" w:styleId="ng-binding" w:customStyle="1">
    <w:name w:val="ng-binding"/>
    <w:basedOn w:val="DefaultParagraphFont"/>
    <w:qFormat w:val="1"/>
    <w:rsid w:val="00F666C4"/>
  </w:style>
  <w:style w:type="paragraph" w:styleId="Heading" w:customStyle="1">
    <w:name w:val="Heading"/>
    <w:basedOn w:val="Normal"/>
    <w:next w:val="BodyText"/>
    <w:qFormat w:val="1"/>
    <w:rsid w:val="00AB6DCA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rsid w:val="00AB6DCA"/>
    <w:pPr>
      <w:spacing w:after="140" w:line="276" w:lineRule="auto"/>
    </w:pPr>
  </w:style>
  <w:style w:type="paragraph" w:styleId="List">
    <w:name w:val="List"/>
    <w:basedOn w:val="BodyText"/>
    <w:rsid w:val="00AB6DCA"/>
    <w:rPr>
      <w:rFonts w:cs="Noto Sans Devanagari"/>
    </w:rPr>
  </w:style>
  <w:style w:type="paragraph" w:styleId="Caption">
    <w:name w:val="caption"/>
    <w:basedOn w:val="Normal"/>
    <w:qFormat w:val="1"/>
    <w:rsid w:val="00AB6DCA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rsid w:val="00AB6DCA"/>
    <w:pPr>
      <w:suppressLineNumbers w:val="1"/>
    </w:pPr>
    <w:rPr>
      <w:rFonts w:cs="Noto Sans Devanagari"/>
    </w:rPr>
  </w:style>
  <w:style w:type="paragraph" w:styleId="HeaderandFooter" w:customStyle="1">
    <w:name w:val="Header and Footer"/>
    <w:basedOn w:val="Normal"/>
    <w:qFormat w:val="1"/>
    <w:rsid w:val="00AB6DCA"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AE527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://dx.doi.org/10.3390/agronomy12040758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dkFHVq9fGAK9qtiM6Epc96aA4A==">CgMxLjAaJwoBMBIiCiAIBCocCgtBQUFCQVZSWktuTRAIGgtBQUFCQVZSWktuTSLGAgoLQUFBQkFWUlpLbk0SlgIKC0FBQUJBVlJaS25NEgtBQUFCQVZSWktuTRofCgl0ZXh0L2h0bWwSEtC90LXQtNC+0YHRgtCw0ZjQtSIgCgp0ZXh0L3BsYWluEhLQvdC10LTQvtGB0YLQsNGY0LUqGyIVMTA0NDQ0MDI4NjUxODE5NTM2NzEyKAA4ADCA/srOvDE4gP7KzrwxSlgKCnRleHQvcGxhaW4SStCj0LbQsCDQvdCw0YPRh9C90LAsINGD0LzQtdGC0L3QuNGH0LrQsCDQuNC70Lgg0YHRgtGA0YPRh9C90LAg0L7QsdC70LDRgdGCWgxoODU1dzA3OHhsdnJyAiAAeACaAQYIABAAGACqARQSEtC90LXQtNC+0YHRgtCw0ZjQtRiA/srOvDEggP7KzrwxQhBraXguZW1hc2p5djRwOGsyOAByITE2dWZlNW16eFJDNUNiOUQ3Z2RiYlZZWGJWOFZWTVdn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2023-07-09T22:05:00Z</dcterms:created>
  <dc:creator>mane</dc:creator>
</cp:coreProperties>
</file>