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72" w:rsidRDefault="00B7597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pPr w:leftFromText="180" w:rightFromText="180" w:vertAnchor="page" w:horzAnchor="margin" w:tblpXSpec="center"/>
        <w:tblW w:w="92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1"/>
        <w:gridCol w:w="759"/>
        <w:gridCol w:w="299"/>
        <w:gridCol w:w="1415"/>
        <w:gridCol w:w="837"/>
        <w:gridCol w:w="443"/>
        <w:gridCol w:w="124"/>
        <w:gridCol w:w="205"/>
        <w:gridCol w:w="748"/>
        <w:gridCol w:w="142"/>
        <w:gridCol w:w="160"/>
        <w:gridCol w:w="1169"/>
        <w:gridCol w:w="1461"/>
        <w:gridCol w:w="850"/>
      </w:tblGrid>
      <w:tr w:rsidR="00B75972">
        <w:trPr>
          <w:trHeight w:val="427"/>
        </w:trPr>
        <w:tc>
          <w:tcPr>
            <w:tcW w:w="4713" w:type="dxa"/>
            <w:gridSpan w:val="8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530" w:type="dxa"/>
            <w:gridSpan w:val="6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Снежана Раденковић</w:t>
            </w:r>
          </w:p>
        </w:tc>
      </w:tr>
      <w:tr w:rsidR="00B75972">
        <w:trPr>
          <w:trHeight w:val="427"/>
        </w:trPr>
        <w:tc>
          <w:tcPr>
            <w:tcW w:w="4713" w:type="dxa"/>
            <w:gridSpan w:val="8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530" w:type="dxa"/>
            <w:gridSpan w:val="6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B75972">
        <w:trPr>
          <w:trHeight w:val="427"/>
        </w:trPr>
        <w:tc>
          <w:tcPr>
            <w:tcW w:w="4713" w:type="dxa"/>
            <w:gridSpan w:val="8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530" w:type="dxa"/>
            <w:gridSpan w:val="6"/>
            <w:vAlign w:val="center"/>
          </w:tcPr>
          <w:p w:rsidR="00B75972" w:rsidRPr="00AC571C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Природно-математички факултет, Универзитета у Новом Саду, од </w:t>
            </w:r>
            <w:sdt>
              <w:sdtPr>
                <w:tag w:val="goog_rdk_0"/>
                <w:id w:val="176633150"/>
              </w:sdtPr>
              <w:sdtContent/>
            </w:sdt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15.10.1996.</w:t>
            </w:r>
          </w:p>
        </w:tc>
      </w:tr>
      <w:tr w:rsidR="00B75972">
        <w:trPr>
          <w:trHeight w:val="427"/>
        </w:trPr>
        <w:tc>
          <w:tcPr>
            <w:tcW w:w="4713" w:type="dxa"/>
            <w:gridSpan w:val="8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530" w:type="dxa"/>
            <w:gridSpan w:val="6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B75972">
        <w:trPr>
          <w:trHeight w:val="427"/>
        </w:trPr>
        <w:tc>
          <w:tcPr>
            <w:tcW w:w="3104" w:type="dxa"/>
            <w:gridSpan w:val="4"/>
            <w:vAlign w:val="center"/>
          </w:tcPr>
          <w:p w:rsidR="00B75972" w:rsidRDefault="00B7597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7" w:type="dxa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20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471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75972">
        <w:trPr>
          <w:trHeight w:val="427"/>
        </w:trPr>
        <w:tc>
          <w:tcPr>
            <w:tcW w:w="3104" w:type="dxa"/>
            <w:gridSpan w:val="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2019.</w:t>
            </w:r>
          </w:p>
        </w:tc>
        <w:tc>
          <w:tcPr>
            <w:tcW w:w="1520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471" w:type="dxa"/>
            <w:gridSpan w:val="3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</w:p>
        </w:tc>
      </w:tr>
      <w:tr w:rsidR="00B75972">
        <w:trPr>
          <w:trHeight w:val="427"/>
        </w:trPr>
        <w:tc>
          <w:tcPr>
            <w:tcW w:w="3104" w:type="dxa"/>
            <w:gridSpan w:val="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1520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471" w:type="dxa"/>
            <w:gridSpan w:val="3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Зоологија</w:t>
            </w:r>
          </w:p>
        </w:tc>
      </w:tr>
      <w:tr w:rsidR="00B75972">
        <w:trPr>
          <w:trHeight w:val="427"/>
        </w:trPr>
        <w:tc>
          <w:tcPr>
            <w:tcW w:w="3104" w:type="dxa"/>
            <w:gridSpan w:val="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1999.</w:t>
            </w:r>
          </w:p>
        </w:tc>
        <w:tc>
          <w:tcPr>
            <w:tcW w:w="1520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471" w:type="dxa"/>
            <w:gridSpan w:val="3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Таксономија</w:t>
            </w:r>
          </w:p>
        </w:tc>
      </w:tr>
      <w:tr w:rsidR="00B75972">
        <w:trPr>
          <w:trHeight w:val="427"/>
        </w:trPr>
        <w:tc>
          <w:tcPr>
            <w:tcW w:w="3104" w:type="dxa"/>
            <w:gridSpan w:val="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1993.</w:t>
            </w:r>
          </w:p>
        </w:tc>
        <w:tc>
          <w:tcPr>
            <w:tcW w:w="1520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471" w:type="dxa"/>
            <w:gridSpan w:val="3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2311" w:type="dxa"/>
            <w:gridSpan w:val="2"/>
            <w:shd w:val="clear" w:color="auto" w:fill="auto"/>
            <w:vAlign w:val="center"/>
          </w:tcPr>
          <w:p w:rsidR="00B75972" w:rsidRDefault="00AC571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ОБ007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Морфологија и систематика бескичмењака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ОБЕ001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Теренска настава 1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Дипломирани биолог, Дипломирани еколог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ОБЕ008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Ентомологија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 биолог, Дипломирани еколог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ОБ053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Увод у конзервациону биологију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Дипломирани биолог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5. 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МБ13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Таксономија животиња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МБ08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Економски значајни инсекти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МБ15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Пчеларство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биолог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75972">
        <w:trPr>
          <w:trHeight w:val="427"/>
        </w:trPr>
        <w:tc>
          <w:tcPr>
            <w:tcW w:w="631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8. </w:t>
            </w:r>
          </w:p>
        </w:tc>
        <w:tc>
          <w:tcPr>
            <w:tcW w:w="1058" w:type="dxa"/>
            <w:gridSpan w:val="2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МЕ06</w:t>
            </w:r>
          </w:p>
        </w:tc>
        <w:tc>
          <w:tcPr>
            <w:tcW w:w="2695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Угроженост бескичмењака и њихова заштита</w:t>
            </w:r>
          </w:p>
        </w:tc>
        <w:tc>
          <w:tcPr>
            <w:tcW w:w="1219" w:type="dxa"/>
            <w:gridSpan w:val="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2790" w:type="dxa"/>
            <w:gridSpan w:val="3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 еколог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shd w:val="clear" w:color="auto" w:fill="auto"/>
            <w:vAlign w:val="center"/>
          </w:tcPr>
          <w:p w:rsidR="00B75972" w:rsidRDefault="00AC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Radenković, S.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Likov, L., Ståhls, G., Rojo, S., Pérez-Bañón, C., Smit, J., Petanidou, T., Steenis, W.V.A.N., Vujić, A. 2022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Three new hoverfly species from Greece (Diptera: Syrphidae).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Zootaxa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4830(1),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pp.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103-124. 10.11646/zootaxa.4830.1.4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shd w:val="clear" w:color="auto" w:fill="auto"/>
            <w:vAlign w:val="center"/>
          </w:tcPr>
          <w:p w:rsidR="00B75972" w:rsidRDefault="00AC57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Radenković, S.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Šašić Zorić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Lj., Djan, M., Obreht Vidaković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D., Ačanski, J., Ståhls, G., Veličković, N., Markov, Z., Petanidou, T., Ko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čiš Tubić, N., Vujić, A. 2018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Cryptic speciation in the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Merodon luteomaculatus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complex (Diptera: Syrphidae) from the eastern Mediterranean.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</w:rPr>
              <w:t>Journal of Zoological Systematics and Evolutionary Research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56(2)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pp.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170-191. DOI: 10.1111/jzs.12193.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Radenković,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Veličković, N., Ssymank, A., Obreht Vidaković, D., Djan, M., Ståhls, G., Veselić, S., Vujić, A. 2018. Close relatives of Mediterranean endemorelict hoverflies (Diptera, Syrphidae) in South Africa: Morphological and molecular evidence in the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Merodon melanocerus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subgroup. PLoS ONE, 13(7), p. e0200805.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shd w:val="clear" w:color="auto" w:fill="auto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Radenković,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Schweiger, O., Milić, D., Harpke, A., Vujić, A. 2017. Living on the edge: Forecasting the trends in abundance and distribution of the largest hoverfly genus (Diptera: Syrphidae) on the Balkan Peninsula under future climate change.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Biological Conservation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212, pp. 216-229.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shd w:val="clear" w:color="auto" w:fill="auto"/>
            <w:vAlign w:val="center"/>
          </w:tcPr>
          <w:p w:rsidR="00B75972" w:rsidRDefault="00AC571C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Radenkovic,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Nedeljkovic, Z., Ricarte, A., Vujic, A., Simic, S. 2013. The saproxylic hoverflies (Diptera: Syrphidae) of Serbia.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Natural History,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47(1-2), pp. 87-127.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 подаци научне, односно уметничке и стручне акти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вности наставника </w:t>
            </w:r>
          </w:p>
        </w:tc>
      </w:tr>
      <w:tr w:rsidR="00B75972">
        <w:trPr>
          <w:trHeight w:val="427"/>
        </w:trPr>
        <w:tc>
          <w:tcPr>
            <w:tcW w:w="4508" w:type="dxa"/>
            <w:gridSpan w:val="7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4735" w:type="dxa"/>
            <w:gridSpan w:val="7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1065/472 (са аутоцитатима/хетероцитати)</w:t>
            </w:r>
          </w:p>
        </w:tc>
      </w:tr>
      <w:tr w:rsidR="00B75972">
        <w:trPr>
          <w:trHeight w:val="427"/>
        </w:trPr>
        <w:tc>
          <w:tcPr>
            <w:tcW w:w="4508" w:type="dxa"/>
            <w:gridSpan w:val="7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4735" w:type="dxa"/>
            <w:gridSpan w:val="7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B75972">
        <w:trPr>
          <w:trHeight w:val="278"/>
        </w:trPr>
        <w:tc>
          <w:tcPr>
            <w:tcW w:w="4508" w:type="dxa"/>
            <w:gridSpan w:val="7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255" w:type="dxa"/>
            <w:gridSpan w:val="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80" w:type="dxa"/>
            <w:gridSpan w:val="3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4</w:t>
            </w:r>
          </w:p>
        </w:tc>
      </w:tr>
      <w:tr w:rsidR="00B75972">
        <w:trPr>
          <w:trHeight w:val="427"/>
        </w:trPr>
        <w:tc>
          <w:tcPr>
            <w:tcW w:w="1390" w:type="dxa"/>
            <w:gridSpan w:val="2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53" w:type="dxa"/>
            <w:gridSpan w:val="12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Природњачки музеји у Скопљу, Сибиу, Паризу, Бечу, Амстердаму, Копенхагену; Универзитети у Минхену, Аликантеу, Митилене,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white"/>
              </w:rPr>
              <w:t>The Helmholtz Centre for Environmental Research- UFZ, Halle; Royal Museum for Central Africa, Tervuren.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vAlign w:val="center"/>
          </w:tcPr>
          <w:p w:rsidR="00B75972" w:rsidRDefault="00AC571C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вантним Чланство: IUCN Hoverfly Specialist Group, Академијски одбор за проучавање фауне Србије при САНУ, Центар за очување биодиверзитета Балканског полуострва, Српско Биолошко друштво, Српско Ентомолошко друштво</w:t>
            </w:r>
          </w:p>
        </w:tc>
      </w:tr>
      <w:tr w:rsidR="00B75972">
        <w:trPr>
          <w:trHeight w:val="427"/>
        </w:trPr>
        <w:tc>
          <w:tcPr>
            <w:tcW w:w="9243" w:type="dxa"/>
            <w:gridSpan w:val="14"/>
            <w:vAlign w:val="center"/>
          </w:tcPr>
          <w:p w:rsidR="00B75972" w:rsidRDefault="00B75972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B75972" w:rsidRDefault="00B75972">
      <w:pPr>
        <w:rPr>
          <w:rFonts w:ascii="Times New Roman" w:eastAsia="Times New Roman" w:hAnsi="Times New Roman"/>
          <w:sz w:val="16"/>
          <w:szCs w:val="16"/>
        </w:rPr>
      </w:pPr>
    </w:p>
    <w:sectPr w:rsidR="00B75972" w:rsidSect="00B75972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D1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75972"/>
    <w:rsid w:val="00AC571C"/>
    <w:rsid w:val="00B75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B7597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7597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7597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7597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7597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7597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75972"/>
  </w:style>
  <w:style w:type="paragraph" w:styleId="Title">
    <w:name w:val="Title"/>
    <w:basedOn w:val="normal0"/>
    <w:next w:val="normal0"/>
    <w:rsid w:val="00B75972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5F28FF"/>
  </w:style>
  <w:style w:type="paragraph" w:styleId="ListParagraph">
    <w:name w:val="List Paragraph"/>
    <w:basedOn w:val="Normal"/>
    <w:uiPriority w:val="34"/>
    <w:qFormat/>
    <w:rsid w:val="005F28FF"/>
    <w:pPr>
      <w:spacing w:after="160" w:line="259" w:lineRule="auto"/>
      <w:ind w:left="720"/>
      <w:contextualSpacing/>
    </w:pPr>
    <w:rPr>
      <w:rFonts w:eastAsiaTheme="minorHAnsi" w:cstheme="minorBidi"/>
      <w:sz w:val="24"/>
      <w:szCs w:val="21"/>
    </w:rPr>
  </w:style>
  <w:style w:type="paragraph" w:styleId="Subtitle">
    <w:name w:val="Subtitle"/>
    <w:basedOn w:val="Normal"/>
    <w:next w:val="Normal"/>
    <w:rsid w:val="00B7597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7597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W6cRzUHr7PPX/kYZwSZWHEaScQ==">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2023-07-17T12:11:00Z</dcterms:created>
  <dcterms:modified xsi:type="dcterms:W3CDTF">2023-11-22T10:05:00Z</dcterms:modified>
</cp:coreProperties>
</file>