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tblW w:w="110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8"/>
        <w:gridCol w:w="1016"/>
        <w:gridCol w:w="280"/>
        <w:gridCol w:w="745"/>
        <w:gridCol w:w="998"/>
        <w:gridCol w:w="685"/>
        <w:gridCol w:w="106"/>
        <w:gridCol w:w="522"/>
        <w:gridCol w:w="1335"/>
        <w:gridCol w:w="126"/>
        <w:gridCol w:w="119"/>
        <w:gridCol w:w="1727"/>
        <w:gridCol w:w="1518"/>
        <w:gridCol w:w="1291"/>
        <w:tblGridChange w:id="0">
          <w:tblGrid>
            <w:gridCol w:w="548"/>
            <w:gridCol w:w="1016"/>
            <w:gridCol w:w="280"/>
            <w:gridCol w:w="745"/>
            <w:gridCol w:w="998"/>
            <w:gridCol w:w="685"/>
            <w:gridCol w:w="106"/>
            <w:gridCol w:w="522"/>
            <w:gridCol w:w="1335"/>
            <w:gridCol w:w="126"/>
            <w:gridCol w:w="119"/>
            <w:gridCol w:w="1727"/>
            <w:gridCol w:w="1518"/>
            <w:gridCol w:w="1291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Наташа Николић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фебруара 1997.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Мастер професор биологије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дрвенастих биљака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Мастер биолог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Механизми еколошких адаптација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Дипломирани еколог/Дипломирани биолог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МЕ33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Физиолошки механизми еколошких адаптација биљака у условима стреса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Мастер еколог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ИБ61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Фитоиндикација и фиторемедијација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Мастер професор биологије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стреса биљака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Мастер професор биологије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 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Pajević S, Arsenov D, Borišev M, Župunski M (2022). Breaking the myth of healthy food production in rural areas: cases studied in Vojvodina Province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Science and Pollution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30(2), 4778–4791.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Pilipović, A., Drekić, M., Stojnić,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Trudić, B., Milović, M., Poljaković-Pajnik, L., Borišev, M., Orlović, S. 2021. Physiological responses of two pedunculate oak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Quercus robur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L.) families to combined stress conditions - drought and herbivore attack.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Sumarski List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144(11-12), pp. 573 – 583.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Arsenov, D., Župunski, M., Pajević, S., Borišev,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Mimica-Dukić, N. 2021. Health assessment of medicinal herbs, celery and parsley related to cadmium soil pollution-potentially toxic elements (PTEs) accumulation, tolerance capacity and antioxidative response.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Geochemistry and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43, pp. 2927–2943.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Župunski, M., Arsenov, D., Borišev,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Pajević, S. 2021. Should I GROW or should I SLOW: A meta-analysis of fast-growing tree-species grown in cadmium perturbed environment.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Physiologia Plantarum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174(1), e13594.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Pilipović, A., Drekić, M., Kojić, D., Poljaković-Pajnik, L., Orlović, S., Arsenov, D. 2019. Physiological responses of pedunculate oak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Quercus robur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L.)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Corythucha arcuata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(Say, 1832) attack.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Archives of Biological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71(1), pp. 167-176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Pilipović, A., Zalesny Jr. R.S., Rončević,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Orlović, S., Beljin, J., Katanić, M. 2019. Growth, physiology, and phytoextraction potential of poplar and willow established in soils amended with heavy-metal contaminated, dredged river sediments.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Environmental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239, pp. 352–365.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Pajevic, S., Arsenov,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Borisev, M., Orcic, D., Zupunski, M., Mimica-Dukic, N. 2018. Heavy metal accumulation in vegetable species and health risk assessment in Serbia. Environmental Monitoring and Assessment, 190(8):459.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Borišev, M., Pajević,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Pilipović, A., Arsenov, D., Župunski, M. 2018. Mine site restoration using sylvicultural approach In: Bio-Geotechnologies for Mine Site Rehabilitation (Prasad, M.N.V., Favas, P.J.C., Maiti, S.K. Eds.). pp. 115-131. Elsevier Publisher, ISBN: 978-0-12-812986-9.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Zorić, L., Cvetković, I., Pajević, S., Borišev, M., Orlović, S., Pilipović, A. 2017. Assessment of cadmium tolerance and phytoextraction ability in young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Populus deltoides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Populus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x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euramericana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plants through morpho-anatomical and physiological responses to growth in cadmium enriched soil.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IForest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Biogeosciences and Forestry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10, pp. 635-644.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Pajević, S., Borišev,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Nikolić,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Arsenov, D., Orlović, S., Župunski, M. 2016. Phytoextraction of Heavy Metals by Fast Growing Trees: A Review. In: Phytoremediation: Management of environmental contaminants, vol. 3 (Abid Ali Ansari, Sarvajeet Singh Gill, Ritu Gill, Guy R. Lanza, Lee Newman, eds.). Springer International Publishing Switzerland, ISBN 978-3-319-40146-1.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657; h-index 15 (Scopus, јул 2022)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 (Scopus)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</w:t>
            </w:r>
          </w:p>
        </w:tc>
      </w:tr>
    </w:tbl>
    <w:p w:rsidR="00000000" w:rsidDel="00000000" w:rsidP="00000000" w:rsidRDefault="00000000" w:rsidRPr="00000000" w14:paraId="000001D0">
      <w:pPr>
        <w:tabs>
          <w:tab w:val="left" w:leader="none" w:pos="567"/>
        </w:tabs>
        <w:spacing w:after="6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</w:rPr>
  </w:style>
  <w:style w:type="character" w:styleId="ng-binding" w:customStyle="1">
    <w:name w:val="ng-binding"/>
    <w:basedOn w:val="DefaultParagraphFont"/>
    <w:rsid w:val="00503E99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xD8bg5vc1ckHbA7b/WITsRq3NQ==">CgMxLjAyCGguZ2pkZ3hzOAByITFkOGdDQU1pRGVnN19mRXRhdEFLY1pqSXhNUWJqYkZnNA==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2023-07-12T09:09:00Z</dcterms:created>
  <dc:creator>Vera Zupanec</dc:creator>
</cp:coreProperties>
</file>