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84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7"/>
        <w:gridCol w:w="753"/>
        <w:gridCol w:w="169"/>
        <w:gridCol w:w="85"/>
        <w:gridCol w:w="583"/>
        <w:gridCol w:w="1297"/>
        <w:gridCol w:w="961"/>
        <w:gridCol w:w="91"/>
        <w:gridCol w:w="308"/>
        <w:gridCol w:w="721"/>
        <w:gridCol w:w="415"/>
        <w:gridCol w:w="168"/>
        <w:gridCol w:w="1370"/>
        <w:gridCol w:w="2260"/>
        <w:tblGridChange w:id="0">
          <w:tblGrid>
            <w:gridCol w:w="667"/>
            <w:gridCol w:w="753"/>
            <w:gridCol w:w="169"/>
            <w:gridCol w:w="85"/>
            <w:gridCol w:w="583"/>
            <w:gridCol w:w="1297"/>
            <w:gridCol w:w="961"/>
            <w:gridCol w:w="91"/>
            <w:gridCol w:w="308"/>
            <w:gridCol w:w="721"/>
            <w:gridCol w:w="415"/>
            <w:gridCol w:w="168"/>
            <w:gridCol w:w="1370"/>
            <w:gridCol w:w="2260"/>
          </w:tblGrid>
        </w:tblGridChange>
      </w:tblGrid>
      <w:tr>
        <w:trPr>
          <w:cantSplit w:val="0"/>
          <w:trHeight w:val="332" w:hRule="atLeast"/>
          <w:tblHeader w:val="0"/>
        </w:trPr>
        <w:tc>
          <w:tcPr>
            <w:gridSpan w:val="9"/>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Име и презиме </w:t>
            </w:r>
          </w:p>
        </w:tc>
        <w:tc>
          <w:tcPr>
            <w:gridSpan w:val="5"/>
            <w:vAlign w:val="center"/>
          </w:tcPr>
          <w:p w:rsidR="00000000" w:rsidDel="00000000" w:rsidP="00000000" w:rsidRDefault="00000000" w:rsidRPr="00000000" w14:paraId="0000000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Петар Кнежевић</w:t>
            </w:r>
            <w:r w:rsidDel="00000000" w:rsidR="00000000" w:rsidRPr="00000000">
              <w:rPr>
                <w:rtl w:val="0"/>
              </w:rPr>
            </w:r>
          </w:p>
        </w:tc>
      </w:tr>
      <w:tr>
        <w:trPr>
          <w:cantSplit w:val="0"/>
          <w:trHeight w:val="341" w:hRule="atLeast"/>
          <w:tblHeader w:val="0"/>
        </w:trPr>
        <w:tc>
          <w:tcPr>
            <w:gridSpan w:val="9"/>
            <w:vAlign w:val="center"/>
          </w:tcPr>
          <w:p w:rsidR="00000000" w:rsidDel="00000000" w:rsidP="00000000" w:rsidRDefault="00000000" w:rsidRPr="00000000" w14:paraId="00000010">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Звање</w:t>
            </w:r>
          </w:p>
        </w:tc>
        <w:tc>
          <w:tcPr>
            <w:gridSpan w:val="5"/>
            <w:vAlign w:val="center"/>
          </w:tcPr>
          <w:p w:rsidR="00000000" w:rsidDel="00000000" w:rsidP="00000000" w:rsidRDefault="00000000" w:rsidRPr="00000000" w14:paraId="0000001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Редовни професор</w:t>
            </w:r>
          </w:p>
        </w:tc>
      </w:tr>
      <w:tr>
        <w:trPr>
          <w:cantSplit w:val="0"/>
          <w:trHeight w:val="558" w:hRule="atLeast"/>
          <w:tblHeader w:val="0"/>
        </w:trPr>
        <w:tc>
          <w:tcPr>
            <w:gridSpan w:val="9"/>
            <w:vAlign w:val="center"/>
          </w:tcPr>
          <w:p w:rsidR="00000000" w:rsidDel="00000000" w:rsidP="00000000" w:rsidRDefault="00000000" w:rsidRPr="00000000" w14:paraId="0000001E">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p>
        </w:tc>
        <w:tc>
          <w:tcPr>
            <w:gridSpan w:val="5"/>
            <w:vAlign w:val="center"/>
          </w:tcPr>
          <w:p w:rsidR="00000000" w:rsidDel="00000000" w:rsidP="00000000" w:rsidRDefault="00000000" w:rsidRPr="00000000" w14:paraId="0000002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Универзитета у Новом Саду, од. 2005.</w:t>
            </w:r>
          </w:p>
        </w:tc>
      </w:tr>
      <w:tr>
        <w:trPr>
          <w:cantSplit w:val="0"/>
          <w:trHeight w:val="368" w:hRule="atLeast"/>
          <w:tblHeader w:val="0"/>
        </w:trPr>
        <w:tc>
          <w:tcPr>
            <w:gridSpan w:val="9"/>
            <w:vAlign w:val="center"/>
          </w:tcPr>
          <w:p w:rsidR="00000000" w:rsidDel="00000000" w:rsidP="00000000" w:rsidRDefault="00000000" w:rsidRPr="00000000" w14:paraId="0000002C">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Ужа научна односно уметничка област</w:t>
            </w:r>
          </w:p>
        </w:tc>
        <w:tc>
          <w:tcPr>
            <w:gridSpan w:val="5"/>
            <w:vAlign w:val="center"/>
          </w:tcPr>
          <w:p w:rsidR="00000000" w:rsidDel="00000000" w:rsidP="00000000" w:rsidRDefault="00000000" w:rsidRPr="00000000" w14:paraId="0000003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Микробиологија</w:t>
            </w:r>
          </w:p>
        </w:tc>
      </w:tr>
      <w:tr>
        <w:trPr>
          <w:cantSplit w:val="0"/>
          <w:trHeight w:val="323" w:hRule="atLeast"/>
          <w:tblHeader w:val="0"/>
        </w:trPr>
        <w:tc>
          <w:tcPr>
            <w:gridSpan w:val="14"/>
            <w:vAlign w:val="center"/>
          </w:tcPr>
          <w:p w:rsidR="00000000" w:rsidDel="00000000" w:rsidP="00000000" w:rsidRDefault="00000000" w:rsidRPr="00000000" w14:paraId="0000003A">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Академска каријера</w:t>
            </w:r>
          </w:p>
        </w:tc>
      </w:tr>
      <w:tr>
        <w:trPr>
          <w:cantSplit w:val="0"/>
          <w:trHeight w:val="277" w:hRule="atLeast"/>
          <w:tblHeader w:val="0"/>
        </w:trPr>
        <w:tc>
          <w:tcPr>
            <w:gridSpan w:val="2"/>
            <w:vAlign w:val="center"/>
          </w:tcPr>
          <w:p w:rsidR="00000000" w:rsidDel="00000000" w:rsidP="00000000" w:rsidRDefault="00000000" w:rsidRPr="00000000" w14:paraId="00000048">
            <w:pPr>
              <w:tabs>
                <w:tab w:val="left" w:leader="none" w:pos="567"/>
              </w:tabs>
              <w:rPr>
                <w:rFonts w:ascii="Times New Roman" w:cs="Times New Roman" w:eastAsia="Times New Roman" w:hAnsi="Times New Roman"/>
                <w:sz w:val="20"/>
                <w:szCs w:val="20"/>
              </w:rPr>
            </w:pPr>
            <w:r w:rsidDel="00000000" w:rsidR="00000000" w:rsidRPr="00000000">
              <w:rPr>
                <w:rtl w:val="0"/>
              </w:rPr>
            </w:r>
          </w:p>
        </w:tc>
        <w:tc>
          <w:tcPr>
            <w:gridSpan w:val="3"/>
            <w:vAlign w:val="center"/>
          </w:tcPr>
          <w:p w:rsidR="00000000" w:rsidDel="00000000" w:rsidP="00000000" w:rsidRDefault="00000000" w:rsidRPr="00000000" w14:paraId="0000004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Година </w:t>
            </w:r>
          </w:p>
        </w:tc>
        <w:tc>
          <w:tcPr>
            <w:shd w:fill="auto" w:val="clear"/>
            <w:vAlign w:val="center"/>
          </w:tcPr>
          <w:p w:rsidR="00000000" w:rsidDel="00000000" w:rsidP="00000000" w:rsidRDefault="00000000" w:rsidRPr="00000000" w14:paraId="0000004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Институција </w:t>
            </w:r>
          </w:p>
        </w:tc>
        <w:tc>
          <w:tcPr>
            <w:gridSpan w:val="6"/>
            <w:shd w:fill="auto" w:val="clear"/>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Научна или уметничка област </w:t>
            </w:r>
          </w:p>
        </w:tc>
        <w:tc>
          <w:tcPr>
            <w:gridSpan w:val="2"/>
            <w:shd w:fill="auto" w:val="clear"/>
            <w:vAlign w:val="center"/>
          </w:tcPr>
          <w:p w:rsidR="00000000" w:rsidDel="00000000" w:rsidP="00000000" w:rsidRDefault="00000000" w:rsidRPr="00000000" w14:paraId="0000005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Ужа научна, уметничка или стручна област</w:t>
            </w:r>
          </w:p>
        </w:tc>
      </w:tr>
      <w:tr>
        <w:trPr>
          <w:cantSplit w:val="0"/>
          <w:trHeight w:val="269" w:hRule="atLeast"/>
          <w:tblHeader w:val="0"/>
        </w:trPr>
        <w:tc>
          <w:tcPr>
            <w:gridSpan w:val="2"/>
            <w:vAlign w:val="center"/>
          </w:tcPr>
          <w:p w:rsidR="00000000" w:rsidDel="00000000" w:rsidP="00000000" w:rsidRDefault="00000000" w:rsidRPr="00000000" w14:paraId="0000005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Избор у звање</w:t>
            </w:r>
          </w:p>
        </w:tc>
        <w:tc>
          <w:tcPr>
            <w:gridSpan w:val="3"/>
            <w:vAlign w:val="center"/>
          </w:tcPr>
          <w:p w:rsidR="00000000" w:rsidDel="00000000" w:rsidP="00000000" w:rsidRDefault="00000000" w:rsidRPr="00000000" w14:paraId="0000005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2020.</w:t>
            </w:r>
          </w:p>
        </w:tc>
        <w:tc>
          <w:tcPr>
            <w:shd w:fill="auto" w:val="clear"/>
          </w:tcPr>
          <w:p w:rsidR="00000000" w:rsidDel="00000000" w:rsidP="00000000" w:rsidRDefault="00000000" w:rsidRPr="00000000" w14:paraId="0000005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6"/>
            <w:shd w:fill="auto" w:val="clear"/>
          </w:tcPr>
          <w:p w:rsidR="00000000" w:rsidDel="00000000" w:rsidP="00000000" w:rsidRDefault="00000000" w:rsidRPr="00000000" w14:paraId="0000005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 </w:t>
            </w:r>
          </w:p>
        </w:tc>
        <w:tc>
          <w:tcPr>
            <w:gridSpan w:val="2"/>
            <w:shd w:fill="auto" w:val="clear"/>
          </w:tcPr>
          <w:p w:rsidR="00000000" w:rsidDel="00000000" w:rsidP="00000000" w:rsidRDefault="00000000" w:rsidRPr="00000000" w14:paraId="0000006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Микробиологија</w:t>
            </w:r>
          </w:p>
        </w:tc>
      </w:tr>
      <w:tr>
        <w:trPr>
          <w:cantSplit w:val="0"/>
          <w:trHeight w:val="260" w:hRule="atLeast"/>
          <w:tblHeader w:val="0"/>
        </w:trPr>
        <w:tc>
          <w:tcPr>
            <w:gridSpan w:val="2"/>
            <w:vAlign w:val="center"/>
          </w:tcPr>
          <w:p w:rsidR="00000000" w:rsidDel="00000000" w:rsidP="00000000" w:rsidRDefault="00000000" w:rsidRPr="00000000" w14:paraId="0000006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Докторат</w:t>
            </w:r>
          </w:p>
        </w:tc>
        <w:tc>
          <w:tcPr>
            <w:gridSpan w:val="3"/>
            <w:vAlign w:val="center"/>
          </w:tcPr>
          <w:p w:rsidR="00000000" w:rsidDel="00000000" w:rsidP="00000000" w:rsidRDefault="00000000" w:rsidRPr="00000000" w14:paraId="0000006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2009.</w:t>
            </w:r>
          </w:p>
        </w:tc>
        <w:tc>
          <w:tcPr>
            <w:shd w:fill="auto" w:val="clear"/>
          </w:tcPr>
          <w:p w:rsidR="00000000" w:rsidDel="00000000" w:rsidP="00000000" w:rsidRDefault="00000000" w:rsidRPr="00000000" w14:paraId="0000006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6"/>
            <w:shd w:fill="auto" w:val="clear"/>
          </w:tcPr>
          <w:p w:rsidR="00000000" w:rsidDel="00000000" w:rsidP="00000000" w:rsidRDefault="00000000" w:rsidRPr="00000000" w14:paraId="0000006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 </w:t>
            </w:r>
          </w:p>
        </w:tc>
        <w:tc>
          <w:tcPr>
            <w:gridSpan w:val="2"/>
            <w:shd w:fill="auto" w:val="clear"/>
          </w:tcPr>
          <w:p w:rsidR="00000000" w:rsidDel="00000000" w:rsidP="00000000" w:rsidRDefault="00000000" w:rsidRPr="00000000" w14:paraId="0000007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Микробиологија</w:t>
            </w:r>
          </w:p>
        </w:tc>
      </w:tr>
      <w:tr>
        <w:trPr>
          <w:cantSplit w:val="0"/>
          <w:trHeight w:val="269" w:hRule="atLeast"/>
          <w:tblHeader w:val="0"/>
        </w:trPr>
        <w:tc>
          <w:tcPr>
            <w:gridSpan w:val="2"/>
            <w:vAlign w:val="center"/>
          </w:tcPr>
          <w:p w:rsidR="00000000" w:rsidDel="00000000" w:rsidP="00000000" w:rsidRDefault="00000000" w:rsidRPr="00000000" w14:paraId="0000007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Магистратура</w:t>
            </w:r>
          </w:p>
        </w:tc>
        <w:tc>
          <w:tcPr>
            <w:gridSpan w:val="3"/>
            <w:vAlign w:val="center"/>
          </w:tcPr>
          <w:p w:rsidR="00000000" w:rsidDel="00000000" w:rsidP="00000000" w:rsidRDefault="00000000" w:rsidRPr="00000000" w14:paraId="0000007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2005.</w:t>
            </w:r>
          </w:p>
        </w:tc>
        <w:tc>
          <w:tcPr>
            <w:shd w:fill="auto" w:val="clear"/>
          </w:tcPr>
          <w:p w:rsidR="00000000" w:rsidDel="00000000" w:rsidP="00000000" w:rsidRDefault="00000000" w:rsidRPr="00000000" w14:paraId="0000007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6"/>
            <w:shd w:fill="auto" w:val="clear"/>
          </w:tcPr>
          <w:p w:rsidR="00000000" w:rsidDel="00000000" w:rsidP="00000000" w:rsidRDefault="00000000" w:rsidRPr="00000000" w14:paraId="0000007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 </w:t>
            </w:r>
          </w:p>
        </w:tc>
        <w:tc>
          <w:tcPr>
            <w:gridSpan w:val="2"/>
            <w:shd w:fill="auto" w:val="clear"/>
          </w:tcPr>
          <w:p w:rsidR="00000000" w:rsidDel="00000000" w:rsidP="00000000" w:rsidRDefault="00000000" w:rsidRPr="00000000" w14:paraId="0000007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Микробиологија</w:t>
            </w:r>
          </w:p>
        </w:tc>
      </w:tr>
      <w:tr>
        <w:trPr>
          <w:cantSplit w:val="0"/>
          <w:trHeight w:val="242" w:hRule="atLeast"/>
          <w:tblHeader w:val="0"/>
        </w:trPr>
        <w:tc>
          <w:tcPr>
            <w:gridSpan w:val="2"/>
            <w:vAlign w:val="center"/>
          </w:tcPr>
          <w:p w:rsidR="00000000" w:rsidDel="00000000" w:rsidP="00000000" w:rsidRDefault="00000000" w:rsidRPr="00000000" w14:paraId="0000008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Диплома</w:t>
            </w:r>
          </w:p>
        </w:tc>
        <w:tc>
          <w:tcPr>
            <w:gridSpan w:val="3"/>
            <w:vAlign w:val="center"/>
          </w:tcPr>
          <w:p w:rsidR="00000000" w:rsidDel="00000000" w:rsidP="00000000" w:rsidRDefault="00000000" w:rsidRPr="00000000" w14:paraId="0000008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2002.</w:t>
            </w:r>
          </w:p>
        </w:tc>
        <w:tc>
          <w:tcPr>
            <w:shd w:fill="auto" w:val="clear"/>
          </w:tcPr>
          <w:p w:rsidR="00000000" w:rsidDel="00000000" w:rsidP="00000000" w:rsidRDefault="00000000" w:rsidRPr="00000000" w14:paraId="0000008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 Нови Сад</w:t>
            </w:r>
          </w:p>
        </w:tc>
        <w:tc>
          <w:tcPr>
            <w:gridSpan w:val="6"/>
            <w:shd w:fill="auto" w:val="clear"/>
          </w:tcPr>
          <w:p w:rsidR="00000000" w:rsidDel="00000000" w:rsidP="00000000" w:rsidRDefault="00000000" w:rsidRPr="00000000" w14:paraId="0000008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 </w:t>
            </w:r>
          </w:p>
        </w:tc>
        <w:tc>
          <w:tcPr>
            <w:gridSpan w:val="2"/>
            <w:shd w:fill="auto" w:val="clear"/>
          </w:tcPr>
          <w:p w:rsidR="00000000" w:rsidDel="00000000" w:rsidP="00000000" w:rsidRDefault="00000000" w:rsidRPr="00000000" w14:paraId="0000008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Микробиологија</w:t>
            </w:r>
          </w:p>
        </w:tc>
      </w:tr>
      <w:tr>
        <w:trPr>
          <w:cantSplit w:val="0"/>
          <w:trHeight w:val="427" w:hRule="atLeast"/>
          <w:tblHeader w:val="0"/>
        </w:trPr>
        <w:tc>
          <w:tcPr>
            <w:gridSpan w:val="14"/>
            <w:vAlign w:val="center"/>
          </w:tcPr>
          <w:p w:rsidR="00000000" w:rsidDel="00000000" w:rsidP="00000000" w:rsidRDefault="00000000" w:rsidRPr="00000000" w14:paraId="0000008E">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p>
        </w:tc>
      </w:tr>
      <w:tr>
        <w:trPr>
          <w:cantSplit w:val="0"/>
          <w:trHeight w:val="629" w:hRule="atLeast"/>
          <w:tblHeader w:val="0"/>
        </w:trPr>
        <w:tc>
          <w:tcPr>
            <w:shd w:fill="auto" w:val="clear"/>
            <w:vAlign w:val="center"/>
          </w:tcPr>
          <w:p w:rsidR="00000000" w:rsidDel="00000000" w:rsidP="00000000" w:rsidRDefault="00000000" w:rsidRPr="00000000" w14:paraId="0000009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Р.Б.</w:t>
            </w:r>
          </w:p>
        </w:tc>
        <w:tc>
          <w:tcPr>
            <w:gridSpan w:val="3"/>
            <w:shd w:fill="auto" w:val="clear"/>
            <w:vAlign w:val="center"/>
          </w:tcPr>
          <w:p w:rsidR="00000000" w:rsidDel="00000000" w:rsidP="00000000" w:rsidRDefault="00000000" w:rsidRPr="00000000" w14:paraId="0000009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Ознака предмета</w:t>
            </w:r>
          </w:p>
        </w:tc>
        <w:tc>
          <w:tcPr>
            <w:gridSpan w:val="3"/>
            <w:shd w:fill="auto" w:val="clear"/>
            <w:vAlign w:val="center"/>
          </w:tcPr>
          <w:p w:rsidR="00000000" w:rsidDel="00000000" w:rsidP="00000000" w:rsidRDefault="00000000" w:rsidRPr="00000000" w14:paraId="000000A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предмета     </w:t>
            </w:r>
          </w:p>
        </w:tc>
        <w:tc>
          <w:tcPr>
            <w:gridSpan w:val="3"/>
            <w:shd w:fill="auto" w:val="clear"/>
            <w:vAlign w:val="center"/>
          </w:tcPr>
          <w:p w:rsidR="00000000" w:rsidDel="00000000" w:rsidP="00000000" w:rsidRDefault="00000000" w:rsidRPr="00000000" w14:paraId="000000A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 наставе</w:t>
            </w:r>
          </w:p>
        </w:tc>
        <w:tc>
          <w:tcPr>
            <w:gridSpan w:val="3"/>
            <w:shd w:fill="auto" w:val="clear"/>
            <w:vAlign w:val="center"/>
          </w:tcPr>
          <w:p w:rsidR="00000000" w:rsidDel="00000000" w:rsidP="00000000" w:rsidRDefault="00000000" w:rsidRPr="00000000" w14:paraId="000000A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Назив студијског програма </w:t>
            </w:r>
          </w:p>
        </w:tc>
        <w:tc>
          <w:tcPr>
            <w:shd w:fill="auto" w:val="clear"/>
            <w:vAlign w:val="center"/>
          </w:tcPr>
          <w:p w:rsidR="00000000" w:rsidDel="00000000" w:rsidP="00000000" w:rsidRDefault="00000000" w:rsidRPr="00000000" w14:paraId="000000A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Врста студија (ОСС, ССС, ОАС, МСС, МАС, САС)</w:t>
            </w:r>
          </w:p>
        </w:tc>
      </w:tr>
      <w:tr>
        <w:trPr>
          <w:cantSplit w:val="0"/>
          <w:trHeight w:val="215" w:hRule="atLeast"/>
          <w:tblHeader w:val="0"/>
        </w:trPr>
        <w:tc>
          <w:tcPr>
            <w:shd w:fill="auto" w:val="clear"/>
            <w:vAlign w:val="center"/>
          </w:tcPr>
          <w:p w:rsidR="00000000" w:rsidDel="00000000" w:rsidP="00000000" w:rsidRDefault="00000000" w:rsidRPr="00000000" w14:paraId="000000A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gridSpan w:val="3"/>
            <w:shd w:fill="auto" w:val="clear"/>
            <w:vAlign w:val="center"/>
          </w:tcPr>
          <w:p w:rsidR="00000000" w:rsidDel="00000000" w:rsidP="00000000" w:rsidRDefault="00000000" w:rsidRPr="00000000" w14:paraId="000000A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ОБ013</w:t>
            </w:r>
          </w:p>
        </w:tc>
        <w:tc>
          <w:tcPr>
            <w:gridSpan w:val="3"/>
            <w:shd w:fill="auto" w:val="clear"/>
            <w:vAlign w:val="center"/>
          </w:tcPr>
          <w:p w:rsidR="00000000" w:rsidDel="00000000" w:rsidP="00000000" w:rsidRDefault="00000000" w:rsidRPr="00000000" w14:paraId="000000A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Основе микробиологије</w:t>
            </w:r>
          </w:p>
        </w:tc>
        <w:tc>
          <w:tcPr>
            <w:gridSpan w:val="3"/>
            <w:shd w:fill="auto" w:val="clear"/>
            <w:vAlign w:val="center"/>
          </w:tcPr>
          <w:p w:rsidR="00000000" w:rsidDel="00000000" w:rsidP="00000000" w:rsidRDefault="00000000" w:rsidRPr="00000000" w14:paraId="000000B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B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vAlign w:val="center"/>
          </w:tcPr>
          <w:p w:rsidR="00000000" w:rsidDel="00000000" w:rsidP="00000000" w:rsidRDefault="00000000" w:rsidRPr="00000000" w14:paraId="000000B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ОAС</w:t>
            </w:r>
          </w:p>
        </w:tc>
      </w:tr>
      <w:tr>
        <w:trPr>
          <w:cantSplit w:val="0"/>
          <w:trHeight w:val="260" w:hRule="atLeast"/>
          <w:tblHeader w:val="0"/>
        </w:trPr>
        <w:tc>
          <w:tcPr>
            <w:shd w:fill="auto" w:val="clear"/>
            <w:vAlign w:val="center"/>
          </w:tcPr>
          <w:p w:rsidR="00000000" w:rsidDel="00000000" w:rsidP="00000000" w:rsidRDefault="00000000" w:rsidRPr="00000000" w14:paraId="000000B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gridSpan w:val="3"/>
            <w:shd w:fill="auto" w:val="clear"/>
            <w:vAlign w:val="center"/>
          </w:tcPr>
          <w:p w:rsidR="00000000" w:rsidDel="00000000" w:rsidP="00000000" w:rsidRDefault="00000000" w:rsidRPr="00000000" w14:paraId="000000B9">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ОБ024</w:t>
            </w:r>
          </w:p>
        </w:tc>
        <w:tc>
          <w:tcPr>
            <w:gridSpan w:val="3"/>
            <w:shd w:fill="auto" w:val="clear"/>
            <w:vAlign w:val="center"/>
          </w:tcPr>
          <w:p w:rsidR="00000000" w:rsidDel="00000000" w:rsidP="00000000" w:rsidRDefault="00000000" w:rsidRPr="00000000" w14:paraId="000000B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Молекуларна вирусологија</w:t>
            </w:r>
          </w:p>
        </w:tc>
        <w:tc>
          <w:tcPr>
            <w:gridSpan w:val="3"/>
            <w:shd w:fill="auto" w:val="clear"/>
          </w:tcPr>
          <w:p w:rsidR="00000000" w:rsidDel="00000000" w:rsidP="00000000" w:rsidRDefault="00000000" w:rsidRPr="00000000" w14:paraId="000000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C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tcPr>
          <w:p w:rsidR="00000000" w:rsidDel="00000000" w:rsidP="00000000" w:rsidRDefault="00000000" w:rsidRPr="00000000" w14:paraId="000000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ОAС</w:t>
            </w:r>
          </w:p>
        </w:tc>
      </w:tr>
      <w:tr>
        <w:trPr>
          <w:cantSplit w:val="0"/>
          <w:trHeight w:val="251" w:hRule="atLeast"/>
          <w:tblHeader w:val="0"/>
        </w:trPr>
        <w:tc>
          <w:tcPr>
            <w:shd w:fill="auto" w:val="clear"/>
            <w:vAlign w:val="center"/>
          </w:tcPr>
          <w:p w:rsidR="00000000" w:rsidDel="00000000" w:rsidP="00000000" w:rsidRDefault="00000000" w:rsidRPr="00000000" w14:paraId="000000C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gridSpan w:val="3"/>
            <w:shd w:fill="auto" w:val="clear"/>
            <w:vAlign w:val="center"/>
          </w:tcPr>
          <w:p w:rsidR="00000000" w:rsidDel="00000000" w:rsidP="00000000" w:rsidRDefault="00000000" w:rsidRPr="00000000" w14:paraId="000000C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33333"/>
                <w:sz w:val="20"/>
                <w:szCs w:val="20"/>
                <w:shd w:fill="f6f6f6" w:val="clear"/>
                <w:rtl w:val="0"/>
              </w:rPr>
              <w:t xml:space="preserve">ОБ051</w:t>
            </w:r>
            <w:r w:rsidDel="00000000" w:rsidR="00000000" w:rsidRPr="00000000">
              <w:rPr>
                <w:rtl w:val="0"/>
              </w:rPr>
            </w:r>
          </w:p>
        </w:tc>
        <w:tc>
          <w:tcPr>
            <w:gridSpan w:val="3"/>
            <w:shd w:fill="auto" w:val="clear"/>
            <w:vAlign w:val="center"/>
          </w:tcPr>
          <w:p w:rsidR="00000000" w:rsidDel="00000000" w:rsidP="00000000" w:rsidRDefault="00000000" w:rsidRPr="00000000" w14:paraId="000000C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Бактериологија</w:t>
            </w:r>
          </w:p>
        </w:tc>
        <w:tc>
          <w:tcPr>
            <w:gridSpan w:val="3"/>
            <w:shd w:fill="auto" w:val="clear"/>
          </w:tcPr>
          <w:p w:rsidR="00000000" w:rsidDel="00000000" w:rsidP="00000000" w:rsidRDefault="00000000" w:rsidRPr="00000000" w14:paraId="000000C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D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Дипломирани биолог</w:t>
            </w:r>
          </w:p>
        </w:tc>
        <w:tc>
          <w:tcPr>
            <w:shd w:fill="auto" w:val="clear"/>
            <w:vAlign w:val="center"/>
          </w:tcPr>
          <w:p w:rsidR="00000000" w:rsidDel="00000000" w:rsidP="00000000" w:rsidRDefault="00000000" w:rsidRPr="00000000" w14:paraId="000000D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60" w:hRule="atLeast"/>
          <w:tblHeader w:val="0"/>
        </w:trPr>
        <w:tc>
          <w:tcPr>
            <w:shd w:fill="auto" w:val="clear"/>
            <w:vAlign w:val="center"/>
          </w:tcPr>
          <w:p w:rsidR="00000000" w:rsidDel="00000000" w:rsidP="00000000" w:rsidRDefault="00000000" w:rsidRPr="00000000" w14:paraId="000000D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gridSpan w:val="3"/>
            <w:shd w:fill="auto" w:val="clear"/>
            <w:vAlign w:val="center"/>
          </w:tcPr>
          <w:p w:rsidR="00000000" w:rsidDel="00000000" w:rsidP="00000000" w:rsidRDefault="00000000" w:rsidRPr="00000000" w14:paraId="000000D5">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МБ22</w:t>
            </w:r>
          </w:p>
        </w:tc>
        <w:tc>
          <w:tcPr>
            <w:gridSpan w:val="3"/>
            <w:shd w:fill="auto" w:val="clear"/>
            <w:vAlign w:val="center"/>
          </w:tcPr>
          <w:p w:rsidR="00000000" w:rsidDel="00000000" w:rsidP="00000000" w:rsidRDefault="00000000" w:rsidRPr="00000000" w14:paraId="000000D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Биофилмови</w:t>
            </w:r>
          </w:p>
        </w:tc>
        <w:tc>
          <w:tcPr>
            <w:gridSpan w:val="3"/>
            <w:shd w:fill="auto" w:val="clear"/>
          </w:tcPr>
          <w:p w:rsidR="00000000" w:rsidDel="00000000" w:rsidP="00000000" w:rsidRDefault="00000000" w:rsidRPr="00000000" w14:paraId="000000D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D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биолог</w:t>
            </w:r>
          </w:p>
        </w:tc>
        <w:tc>
          <w:tcPr>
            <w:shd w:fill="auto" w:val="clear"/>
          </w:tcPr>
          <w:p w:rsidR="00000000" w:rsidDel="00000000" w:rsidP="00000000" w:rsidRDefault="00000000" w:rsidRPr="00000000" w14:paraId="000000E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МAС</w:t>
            </w:r>
          </w:p>
        </w:tc>
      </w:tr>
      <w:tr>
        <w:trPr>
          <w:cantSplit w:val="0"/>
          <w:trHeight w:val="206" w:hRule="atLeast"/>
          <w:tblHeader w:val="0"/>
        </w:trPr>
        <w:tc>
          <w:tcPr>
            <w:shd w:fill="auto" w:val="clear"/>
            <w:vAlign w:val="center"/>
          </w:tcPr>
          <w:p w:rsidR="00000000" w:rsidDel="00000000" w:rsidP="00000000" w:rsidRDefault="00000000" w:rsidRPr="00000000" w14:paraId="000000E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gridSpan w:val="3"/>
            <w:shd w:fill="auto" w:val="clear"/>
            <w:vAlign w:val="center"/>
          </w:tcPr>
          <w:p w:rsidR="00000000" w:rsidDel="00000000" w:rsidP="00000000" w:rsidRDefault="00000000" w:rsidRPr="00000000" w14:paraId="000000E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МБ16</w:t>
            </w:r>
          </w:p>
        </w:tc>
        <w:tc>
          <w:tcPr>
            <w:gridSpan w:val="3"/>
            <w:shd w:fill="auto" w:val="clear"/>
            <w:vAlign w:val="center"/>
          </w:tcPr>
          <w:p w:rsidR="00000000" w:rsidDel="00000000" w:rsidP="00000000" w:rsidRDefault="00000000" w:rsidRPr="00000000" w14:paraId="000000E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Патогени микроорганизми</w:t>
            </w:r>
          </w:p>
        </w:tc>
        <w:tc>
          <w:tcPr>
            <w:gridSpan w:val="3"/>
            <w:shd w:fill="auto" w:val="clear"/>
          </w:tcPr>
          <w:p w:rsidR="00000000" w:rsidDel="00000000" w:rsidP="00000000" w:rsidRDefault="00000000" w:rsidRPr="00000000" w14:paraId="000000E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E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биолог</w:t>
            </w:r>
          </w:p>
        </w:tc>
        <w:tc>
          <w:tcPr>
            <w:shd w:fill="auto" w:val="clear"/>
            <w:vAlign w:val="center"/>
          </w:tcPr>
          <w:p w:rsidR="00000000" w:rsidDel="00000000" w:rsidP="00000000" w:rsidRDefault="00000000" w:rsidRPr="00000000" w14:paraId="000000EF">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w:t>
            </w:r>
          </w:p>
        </w:tc>
      </w:tr>
      <w:tr>
        <w:trPr>
          <w:cantSplit w:val="0"/>
          <w:trHeight w:val="260" w:hRule="atLeast"/>
          <w:tblHeader w:val="0"/>
        </w:trPr>
        <w:tc>
          <w:tcPr>
            <w:shd w:fill="auto" w:val="clear"/>
            <w:vAlign w:val="center"/>
          </w:tcPr>
          <w:p w:rsidR="00000000" w:rsidDel="00000000" w:rsidP="00000000" w:rsidRDefault="00000000" w:rsidRPr="00000000" w14:paraId="000000F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w:t>
            </w:r>
          </w:p>
        </w:tc>
        <w:tc>
          <w:tcPr>
            <w:gridSpan w:val="3"/>
            <w:shd w:fill="auto" w:val="clear"/>
            <w:vAlign w:val="center"/>
          </w:tcPr>
          <w:p w:rsidR="00000000" w:rsidDel="00000000" w:rsidP="00000000" w:rsidRDefault="00000000" w:rsidRPr="00000000" w14:paraId="000000F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МБ25</w:t>
            </w:r>
          </w:p>
        </w:tc>
        <w:tc>
          <w:tcPr>
            <w:gridSpan w:val="3"/>
            <w:shd w:fill="auto" w:val="clear"/>
            <w:vAlign w:val="center"/>
          </w:tcPr>
          <w:p w:rsidR="00000000" w:rsidDel="00000000" w:rsidP="00000000" w:rsidRDefault="00000000" w:rsidRPr="00000000" w14:paraId="000000F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Биологија бактериофага</w:t>
            </w:r>
          </w:p>
        </w:tc>
        <w:tc>
          <w:tcPr>
            <w:gridSpan w:val="3"/>
            <w:shd w:fill="auto" w:val="clear"/>
          </w:tcPr>
          <w:p w:rsidR="00000000" w:rsidDel="00000000" w:rsidP="00000000" w:rsidRDefault="00000000" w:rsidRPr="00000000" w14:paraId="000000F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предавања</w:t>
            </w:r>
          </w:p>
        </w:tc>
        <w:tc>
          <w:tcPr>
            <w:gridSpan w:val="3"/>
            <w:shd w:fill="auto" w:val="clear"/>
            <w:vAlign w:val="center"/>
          </w:tcPr>
          <w:p w:rsidR="00000000" w:rsidDel="00000000" w:rsidP="00000000" w:rsidRDefault="00000000" w:rsidRPr="00000000" w14:paraId="000000F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Мастер биолог</w:t>
            </w:r>
          </w:p>
        </w:tc>
        <w:tc>
          <w:tcPr>
            <w:shd w:fill="auto" w:val="clear"/>
            <w:vAlign w:val="center"/>
          </w:tcPr>
          <w:p w:rsidR="00000000" w:rsidDel="00000000" w:rsidP="00000000" w:rsidRDefault="00000000" w:rsidRPr="00000000" w14:paraId="000000F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w:t>
            </w:r>
          </w:p>
        </w:tc>
      </w:tr>
      <w:tr>
        <w:trPr>
          <w:cantSplit w:val="0"/>
          <w:trHeight w:val="427" w:hRule="atLeast"/>
          <w:tblHeader w:val="0"/>
        </w:trPr>
        <w:tc>
          <w:tcPr>
            <w:gridSpan w:val="14"/>
            <w:vAlign w:val="center"/>
          </w:tcPr>
          <w:p w:rsidR="00000000" w:rsidDel="00000000" w:rsidP="00000000" w:rsidRDefault="00000000" w:rsidRPr="00000000" w14:paraId="000000FE">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 (минимално 5 не више од 10)</w:t>
            </w:r>
          </w:p>
        </w:tc>
      </w:tr>
      <w:tr>
        <w:trPr>
          <w:cantSplit w:val="0"/>
          <w:trHeight w:val="427" w:hRule="atLeast"/>
          <w:tblHeader w:val="0"/>
        </w:trPr>
        <w:tc>
          <w:tcPr>
            <w:vAlign w:val="center"/>
          </w:tcPr>
          <w:p w:rsidR="00000000" w:rsidDel="00000000" w:rsidP="00000000" w:rsidRDefault="00000000" w:rsidRPr="00000000" w14:paraId="0000010C">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Gavric, D.</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hyperlink r:id="rId8">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Knezevic, P.</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2022. Filamentous Pseudomonas Phage Pf4 in the Context of Therapy-Inducibility, Infectivity, Lysogenic Conversion, and Potential Application.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Viruses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14(6), </w:t>
            </w:r>
            <w:r w:rsidDel="00000000" w:rsidR="00000000" w:rsidRPr="00000000">
              <w:rPr>
                <w:rFonts w:ascii="Times New Roman" w:cs="Times New Roman" w:eastAsia="Times New Roman" w:hAnsi="Times New Roman"/>
                <w:sz w:val="20"/>
                <w:szCs w:val="20"/>
                <w:rtl w:val="0"/>
              </w:rPr>
              <w:t xml:space="preserve">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1261.</w:t>
            </w:r>
          </w:p>
        </w:tc>
      </w:tr>
      <w:tr>
        <w:trPr>
          <w:cantSplit w:val="0"/>
          <w:trHeight w:val="427" w:hRule="atLeast"/>
          <w:tblHeader w:val="0"/>
        </w:trPr>
        <w:tc>
          <w:tcPr>
            <w:vAlign w:val="center"/>
          </w:tcPr>
          <w:p w:rsidR="00000000" w:rsidDel="00000000" w:rsidP="00000000" w:rsidRDefault="00000000" w:rsidRPr="00000000" w14:paraId="0000011A">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Łusiak-Szelachowska, M., Międzybrodzki, R., Drulis-Kawa, Z., Cater, K.,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Knežević, P.,</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Winogradow, C., Amaro, K., Jończyk-Matysiak, E., Weber-Dąbrowska, B., Rękas, J., Górski, A. 2022</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Bacteriophages and antibiotic interactions in clinical practice: what we have learned so far. </w:t>
            </w:r>
            <w:r w:rsidDel="00000000" w:rsidR="00000000" w:rsidRPr="00000000">
              <w:rPr>
                <w:rFonts w:ascii="Times New Roman" w:cs="Times New Roman" w:eastAsia="Times New Roman" w:hAnsi="Times New Roman"/>
                <w:i w:val="1"/>
                <w:sz w:val="20"/>
                <w:szCs w:val="20"/>
                <w:rtl w:val="0"/>
              </w:rPr>
              <w:t xml:space="preserve">Journal of Biomedical Science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29(1): p. 23.</w:t>
            </w:r>
          </w:p>
        </w:tc>
      </w:tr>
      <w:tr>
        <w:trPr>
          <w:cantSplit w:val="0"/>
          <w:trHeight w:val="296" w:hRule="atLeast"/>
          <w:tblHeader w:val="0"/>
        </w:trPr>
        <w:tc>
          <w:tcPr>
            <w:vAlign w:val="center"/>
          </w:tcPr>
          <w:p w:rsidR="00000000" w:rsidDel="00000000" w:rsidP="00000000" w:rsidRDefault="00000000" w:rsidRPr="00000000" w14:paraId="00000128">
            <w:pPr>
              <w:numPr>
                <w:ilvl w:val="0"/>
                <w:numId w:val="1"/>
              </w:numPr>
              <w:tabs>
                <w:tab w:val="left" w:leader="none" w:pos="567"/>
              </w:tabs>
              <w:spacing w:line="240" w:lineRule="auto"/>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29">
            <w:pPr>
              <w:widowControl w:val="0"/>
              <w:spacing w:before="24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Knezevic, P.</w:t>
            </w:r>
            <w:r w:rsidDel="00000000" w:rsidR="00000000" w:rsidRPr="00000000">
              <w:rPr>
                <w:rFonts w:ascii="Times New Roman" w:cs="Times New Roman" w:eastAsia="Times New Roman" w:hAnsi="Times New Roman"/>
                <w:sz w:val="20"/>
                <w:szCs w:val="20"/>
                <w:rtl w:val="0"/>
              </w:rPr>
              <w:t xml:space="preserve">, Adriaenssens,  E. 2021. ICTV Virus Taxonomy Profile: </w:t>
            </w:r>
            <w:r w:rsidDel="00000000" w:rsidR="00000000" w:rsidRPr="00000000">
              <w:rPr>
                <w:rFonts w:ascii="Times New Roman" w:cs="Times New Roman" w:eastAsia="Times New Roman" w:hAnsi="Times New Roman"/>
                <w:i w:val="1"/>
                <w:sz w:val="20"/>
                <w:szCs w:val="20"/>
                <w:rtl w:val="0"/>
              </w:rPr>
              <w:t xml:space="preserve">Inoviridae</w:t>
            </w:r>
            <w:r w:rsidDel="00000000" w:rsidR="00000000" w:rsidRPr="00000000">
              <w:rPr>
                <w:rFonts w:ascii="Times New Roman" w:cs="Times New Roman" w:eastAsia="Times New Roman" w:hAnsi="Times New Roman"/>
                <w:sz w:val="20"/>
                <w:szCs w:val="20"/>
                <w:rtl w:val="0"/>
              </w:rPr>
              <w:t xml:space="preserve">. Journal of General Virology, 102(7), p. 001614.</w:t>
            </w:r>
            <w:r w:rsidDel="00000000" w:rsidR="00000000" w:rsidRPr="00000000">
              <w:rPr>
                <w:rtl w:val="0"/>
              </w:rPr>
            </w:r>
          </w:p>
        </w:tc>
      </w:tr>
      <w:tr>
        <w:trPr>
          <w:cantSplit w:val="0"/>
          <w:trHeight w:val="427" w:hRule="atLeast"/>
          <w:tblHeader w:val="0"/>
        </w:trPr>
        <w:tc>
          <w:tcPr>
            <w:vAlign w:val="center"/>
          </w:tcPr>
          <w:p w:rsidR="00000000" w:rsidDel="00000000" w:rsidP="00000000" w:rsidRDefault="00000000" w:rsidRPr="00000000" w14:paraId="00000136">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Gavrić, D.,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Knežević, 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2022</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Optimized Method for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Pseudomonas aeruginosa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Integrative Filamentous Bacteriophage Propagation.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Frontiers in Microbiol</w:t>
            </w:r>
            <w:r w:rsidDel="00000000" w:rsidR="00000000" w:rsidRPr="00000000">
              <w:rPr>
                <w:rFonts w:ascii="Times New Roman" w:cs="Times New Roman" w:eastAsia="Times New Roman" w:hAnsi="Times New Roman"/>
                <w:i w:val="1"/>
                <w:sz w:val="20"/>
                <w:szCs w:val="20"/>
                <w:rtl w:val="0"/>
              </w:rPr>
              <w:t xml:space="preserve">ogy</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12</w:t>
            </w:r>
            <w:r w:rsidDel="00000000" w:rsidR="00000000" w:rsidRPr="00000000">
              <w:rPr>
                <w:rFonts w:ascii="Times New Roman" w:cs="Times New Roman" w:eastAsia="Times New Roman" w:hAnsi="Times New Roman"/>
                <w:sz w:val="20"/>
                <w:szCs w:val="20"/>
                <w:rtl w:val="0"/>
              </w:rPr>
              <w:t xml:space="preserve">, 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707815.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https://doi.org/10.3389/fmicb.2021.707815</w:t>
            </w:r>
            <w:r w:rsidDel="00000000" w:rsidR="00000000" w:rsidRPr="00000000">
              <w:rPr>
                <w:rtl w:val="0"/>
              </w:rPr>
            </w:r>
          </w:p>
        </w:tc>
      </w:tr>
      <w:tr>
        <w:trPr>
          <w:cantSplit w:val="0"/>
          <w:trHeight w:val="427" w:hRule="atLeast"/>
          <w:tblHeader w:val="0"/>
        </w:trPr>
        <w:tc>
          <w:tcPr>
            <w:vAlign w:val="center"/>
          </w:tcPr>
          <w:p w:rsidR="00000000" w:rsidDel="00000000" w:rsidP="00000000" w:rsidRDefault="00000000" w:rsidRPr="00000000" w14:paraId="00000144">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Knezevic, P.</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Petrovic Fabijan, A.</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Gavric, D.</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Pejic, J.</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Doffkay, Z.</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Rakhely, G. 2021. Phages from Genus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Bruynoghevirus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and Phage Therapy: Pseudomonas Phage Delta Case.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Viruses</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 p.</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1965.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https://doi.org/10.3390/v13101965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cantSplit w:val="0"/>
          <w:trHeight w:val="427" w:hRule="atLeast"/>
          <w:tblHeader w:val="0"/>
        </w:trPr>
        <w:tc>
          <w:tcPr>
            <w:vAlign w:val="center"/>
          </w:tcPr>
          <w:p w:rsidR="00000000" w:rsidDel="00000000" w:rsidP="00000000" w:rsidRDefault="00000000" w:rsidRPr="00000000" w14:paraId="00000152">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Petrovic Fabijan, A., Aleksic Sabo, V.</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Gavric, D.</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Doffkay, Z.</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Rakhely, G.</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Knezevic, P.</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2021</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Are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Bordetella bronchiseptica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Siphoviruses (Genus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Vojvodinavirus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Appropriate for Phage Therapy—Bacterial Allies or Foes?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Viruses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13, p. 1732.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https://doi.org/10.3390/v13091732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cantSplit w:val="0"/>
          <w:trHeight w:val="427" w:hRule="atLeast"/>
          <w:tblHeader w:val="0"/>
        </w:trPr>
        <w:tc>
          <w:tcPr>
            <w:vAlign w:val="center"/>
          </w:tcPr>
          <w:p w:rsidR="00000000" w:rsidDel="00000000" w:rsidP="00000000" w:rsidRDefault="00000000" w:rsidRPr="00000000" w14:paraId="00000160">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Aleksic Sabo, V., </w:t>
            </w:r>
            <w:r w:rsidDel="00000000" w:rsidR="00000000" w:rsidRPr="00000000">
              <w:rPr>
                <w:rFonts w:ascii="Times New Roman" w:cs="Times New Roman" w:eastAsia="Times New Roman" w:hAnsi="Times New Roman"/>
                <w:b w:val="1"/>
                <w:i w:val="0"/>
                <w:smallCaps w:val="0"/>
                <w:strike w:val="0"/>
                <w:color w:val="000000"/>
                <w:sz w:val="20"/>
                <w:szCs w:val="20"/>
                <w:shd w:fill="auto" w:val="clear"/>
                <w:vertAlign w:val="baseline"/>
                <w:rtl w:val="0"/>
              </w:rPr>
              <w:t xml:space="preserve">Knezevic, 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2019</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Antimicrobial activity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Eucalyptus camaldulensis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Dehn. plant extracts and essential oils: A review.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Industrial Crops and Products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132:, p</w:t>
            </w:r>
            <w:r w:rsidDel="00000000" w:rsidR="00000000" w:rsidRPr="00000000">
              <w:rPr>
                <w:rFonts w:ascii="Times New Roman" w:cs="Times New Roman" w:eastAsia="Times New Roman" w:hAnsi="Times New Roman"/>
                <w:sz w:val="20"/>
                <w:szCs w:val="20"/>
                <w:rtl w:val="0"/>
              </w:rPr>
              <w:t xml:space="preserve">p.</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413-429.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https://doi.org/10.1016/j.indcrop.2019.02.051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cantSplit w:val="0"/>
          <w:trHeight w:val="427" w:hRule="atLeast"/>
          <w:tblHeader w:val="0"/>
        </w:trPr>
        <w:tc>
          <w:tcPr>
            <w:vAlign w:val="center"/>
          </w:tcPr>
          <w:p w:rsidR="00000000" w:rsidDel="00000000" w:rsidP="00000000" w:rsidRDefault="00000000" w:rsidRPr="00000000" w14:paraId="0000016E">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shd w:fill="auto" w:val="clear"/>
                <w:vertAlign w:val="baseline"/>
                <w:rtl w:val="0"/>
              </w:rPr>
              <w:t xml:space="preserve">Barylski, J., Enault, F., Dutilh Bas, E., Schuller, BP M., Edwards Robert, A., Gillis, A., Klumpp, J., </w:t>
            </w:r>
            <w:r w:rsidDel="00000000" w:rsidR="00000000" w:rsidRPr="00000000">
              <w:rPr>
                <w:rFonts w:ascii="Times New Roman" w:cs="Times New Roman" w:eastAsia="Times New Roman" w:hAnsi="Times New Roman"/>
                <w:b w:val="1"/>
                <w:i w:val="0"/>
                <w:smallCaps w:val="0"/>
                <w:strike w:val="0"/>
                <w:color w:val="000000"/>
                <w:sz w:val="20"/>
                <w:szCs w:val="20"/>
                <w:shd w:fill="auto" w:val="clear"/>
                <w:vertAlign w:val="baseline"/>
                <w:rtl w:val="0"/>
              </w:rPr>
              <w:t xml:space="preserve">Knezevic, P.</w:t>
            </w:r>
            <w:r w:rsidDel="00000000" w:rsidR="00000000" w:rsidRPr="00000000">
              <w:rPr>
                <w:rFonts w:ascii="Times New Roman" w:cs="Times New Roman" w:eastAsia="Times New Roman" w:hAnsi="Times New Roman"/>
                <w:b w:val="0"/>
                <w:i w:val="0"/>
                <w:smallCaps w:val="0"/>
                <w:strike w:val="0"/>
                <w:color w:val="000000"/>
                <w:sz w:val="20"/>
                <w:szCs w:val="20"/>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Krupovic, M., Kuhn Jens, H., Lavigne, R., Oksanen Hanna, M., Sullivan Matthew, B., Jang, H. B., Simmonds, P., Aiewsakun, P., Wittmann, J., Tolstoy, I., Brister, J. R., Kropinski Andrew, M., Adriaenssens, E. 2019: Analysis of Spounaviruses as a Case Study for the Overdue Reclassification of Tailed Phages.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Systematic Biology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69(1)</w:t>
            </w:r>
            <w:r w:rsidDel="00000000" w:rsidR="00000000" w:rsidRPr="00000000">
              <w:rPr>
                <w:rFonts w:ascii="Times New Roman" w:cs="Times New Roman" w:eastAsia="Times New Roman" w:hAnsi="Times New Roman"/>
                <w:sz w:val="20"/>
                <w:szCs w:val="20"/>
                <w:rtl w:val="0"/>
              </w:rPr>
              <w:t xml:space="preserve">, pp.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110-123.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https://doi.org/10.1093/sysbio/syz036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cantSplit w:val="0"/>
          <w:trHeight w:val="427" w:hRule="atLeast"/>
          <w:tblHeader w:val="0"/>
        </w:trPr>
        <w:tc>
          <w:tcPr>
            <w:vAlign w:val="center"/>
          </w:tcPr>
          <w:p w:rsidR="00000000" w:rsidDel="00000000" w:rsidP="00000000" w:rsidRDefault="00000000" w:rsidRPr="00000000" w14:paraId="0000017C">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shd w:fill="auto" w:val="clear"/>
                <w:vertAlign w:val="baseline"/>
                <w:rtl w:val="0"/>
              </w:rPr>
              <w:t xml:space="preserve">Knezevic, P.</w:t>
            </w:r>
            <w:r w:rsidDel="00000000" w:rsidR="00000000" w:rsidRPr="00000000">
              <w:rPr>
                <w:rFonts w:ascii="Times New Roman" w:cs="Times New Roman" w:eastAsia="Times New Roman" w:hAnsi="Times New Roman"/>
                <w:b w:val="0"/>
                <w:i w:val="0"/>
                <w:smallCaps w:val="0"/>
                <w:strike w:val="0"/>
                <w:color w:val="000000"/>
                <w:sz w:val="20"/>
                <w:szCs w:val="20"/>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Aleksic Sabo, V., Simin, N., Lesjak, M., Mimica-Dukic, N.</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2018</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colorimetric broth microdilution method for assessment of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Helicobacter pylori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sensitivity to antimicrobial agents.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Jounal of Pharmaceutical and Biomedical Analyses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152</w:t>
            </w:r>
            <w:r w:rsidDel="00000000" w:rsidR="00000000" w:rsidRPr="00000000">
              <w:rPr>
                <w:rFonts w:ascii="Times New Roman" w:cs="Times New Roman" w:eastAsia="Times New Roman" w:hAnsi="Times New Roman"/>
                <w:sz w:val="20"/>
                <w:szCs w:val="20"/>
                <w:rtl w:val="0"/>
              </w:rPr>
              <w:t xml:space="preserve">, pp.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271-278.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https://doi.org/10.1016/j.jpba.2018.02.003</w:t>
            </w:r>
            <w:r w:rsidDel="00000000" w:rsidR="00000000" w:rsidRPr="00000000">
              <w:rPr>
                <w:rtl w:val="0"/>
              </w:rPr>
            </w:r>
          </w:p>
        </w:tc>
      </w:tr>
      <w:tr>
        <w:trPr>
          <w:cantSplit w:val="0"/>
          <w:trHeight w:val="427" w:hRule="atLeast"/>
          <w:tblHeader w:val="0"/>
        </w:trPr>
        <w:tc>
          <w:tcPr>
            <w:vAlign w:val="center"/>
          </w:tcPr>
          <w:p w:rsidR="00000000" w:rsidDel="00000000" w:rsidP="00000000" w:rsidRDefault="00000000" w:rsidRPr="00000000" w14:paraId="0000018A">
            <w:pPr>
              <w:numPr>
                <w:ilvl w:val="0"/>
                <w:numId w:val="1"/>
              </w:numPr>
              <w:tabs>
                <w:tab w:val="left" w:leader="none" w:pos="567"/>
              </w:tabs>
              <w:ind w:left="720" w:hanging="360"/>
              <w:jc w:val="both"/>
              <w:rPr>
                <w:rFonts w:ascii="Times New Roman" w:cs="Times New Roman" w:eastAsia="Times New Roman" w:hAnsi="Times New Roman"/>
                <w:sz w:val="20"/>
                <w:szCs w:val="20"/>
              </w:rPr>
            </w:pPr>
            <w:r w:rsidDel="00000000" w:rsidR="00000000" w:rsidRPr="00000000">
              <w:rPr>
                <w:rtl w:val="0"/>
              </w:rPr>
            </w:r>
          </w:p>
        </w:tc>
        <w:tc>
          <w:tcPr>
            <w:gridSpan w:val="13"/>
            <w:shd w:fill="auto" w:val="clea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Petrovic Fabijan, A., Kostanjsek, R., Rakhely, G., </w:t>
            </w:r>
            <w:r w:rsidDel="00000000" w:rsidR="00000000" w:rsidRPr="00000000">
              <w:rPr>
                <w:rFonts w:ascii="Times New Roman" w:cs="Times New Roman" w:eastAsia="Times New Roman" w:hAnsi="Times New Roman"/>
                <w:b w:val="1"/>
                <w:i w:val="0"/>
                <w:smallCaps w:val="0"/>
                <w:strike w:val="0"/>
                <w:color w:val="000000"/>
                <w:sz w:val="20"/>
                <w:szCs w:val="20"/>
                <w:shd w:fill="auto" w:val="clear"/>
                <w:vertAlign w:val="baseline"/>
                <w:rtl w:val="0"/>
              </w:rPr>
              <w:t xml:space="preserve">Knezevic, 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2016</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First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Siphoviridae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Family Bacteriophages Infecting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Bordetella bronchiseptica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Isolated from Environment.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Microbial Ecology</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73(2)</w:t>
            </w:r>
            <w:r w:rsidDel="00000000" w:rsidR="00000000" w:rsidRPr="00000000">
              <w:rPr>
                <w:rFonts w:ascii="Times New Roman" w:cs="Times New Roman" w:eastAsia="Times New Roman" w:hAnsi="Times New Roman"/>
                <w:sz w:val="20"/>
                <w:szCs w:val="20"/>
                <w:rtl w:val="0"/>
              </w:rPr>
              <w:t xml:space="preserve">, pp.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368-377. </w:t>
            </w:r>
            <w:r w:rsidDel="00000000" w:rsidR="00000000" w:rsidRPr="00000000">
              <w:rPr>
                <w:rFonts w:ascii="Times New Roman" w:cs="Times New Roman" w:eastAsia="Times New Roman" w:hAnsi="Times New Roman"/>
                <w:b w:val="0"/>
                <w:i w:val="0"/>
                <w:smallCaps w:val="0"/>
                <w:strike w:val="0"/>
                <w:sz w:val="20"/>
                <w:szCs w:val="20"/>
                <w:shd w:fill="auto" w:val="clear"/>
                <w:vertAlign w:val="baseline"/>
                <w:rtl w:val="0"/>
              </w:rPr>
              <w:t xml:space="preserve">https://doi.org/10.1007/s00248-016-0847-0</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tc>
      </w:tr>
      <w:tr>
        <w:trPr>
          <w:cantSplit w:val="0"/>
          <w:trHeight w:val="290" w:hRule="atLeast"/>
          <w:tblHeader w:val="0"/>
        </w:trPr>
        <w:tc>
          <w:tcPr>
            <w:gridSpan w:val="14"/>
            <w:vAlign w:val="center"/>
          </w:tcPr>
          <w:p w:rsidR="00000000" w:rsidDel="00000000" w:rsidP="00000000" w:rsidRDefault="00000000" w:rsidRPr="00000000" w14:paraId="00000198">
            <w:pPr>
              <w:tabs>
                <w:tab w:val="left" w:leader="none" w:pos="567"/>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 </w:t>
            </w:r>
          </w:p>
        </w:tc>
      </w:tr>
      <w:tr>
        <w:trPr>
          <w:cantSplit w:val="0"/>
          <w:trHeight w:val="314" w:hRule="atLeast"/>
          <w:tblHeader w:val="0"/>
        </w:trPr>
        <w:tc>
          <w:tcPr>
            <w:gridSpan w:val="8"/>
            <w:vAlign w:val="center"/>
          </w:tcPr>
          <w:p w:rsidR="00000000" w:rsidDel="00000000" w:rsidP="00000000" w:rsidRDefault="00000000" w:rsidRPr="00000000" w14:paraId="000001A6">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6"/>
            <w:vAlign w:val="center"/>
          </w:tcPr>
          <w:p w:rsidR="00000000" w:rsidDel="00000000" w:rsidP="00000000" w:rsidRDefault="00000000" w:rsidRPr="00000000" w14:paraId="000001A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1452 (Scopus)</w:t>
            </w:r>
          </w:p>
        </w:tc>
      </w:tr>
      <w:tr>
        <w:trPr>
          <w:cantSplit w:val="0"/>
          <w:trHeight w:val="269" w:hRule="atLeast"/>
          <w:tblHeader w:val="0"/>
        </w:trPr>
        <w:tc>
          <w:tcPr>
            <w:gridSpan w:val="8"/>
            <w:vAlign w:val="center"/>
          </w:tcPr>
          <w:p w:rsidR="00000000" w:rsidDel="00000000" w:rsidP="00000000" w:rsidRDefault="00000000" w:rsidRPr="00000000" w14:paraId="000001B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w:t>
            </w:r>
          </w:p>
        </w:tc>
        <w:tc>
          <w:tcPr>
            <w:gridSpan w:val="6"/>
            <w:vAlign w:val="center"/>
          </w:tcPr>
          <w:p w:rsidR="00000000" w:rsidDel="00000000" w:rsidP="00000000" w:rsidRDefault="00000000" w:rsidRPr="00000000" w14:paraId="000001BC">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 (Scopus)</w:t>
            </w:r>
          </w:p>
        </w:tc>
      </w:tr>
      <w:tr>
        <w:trPr>
          <w:cantSplit w:val="0"/>
          <w:trHeight w:val="278" w:hRule="atLeast"/>
          <w:tblHeader w:val="0"/>
        </w:trPr>
        <w:tc>
          <w:tcPr>
            <w:gridSpan w:val="8"/>
            <w:vAlign w:val="center"/>
          </w:tcPr>
          <w:p w:rsidR="00000000" w:rsidDel="00000000" w:rsidP="00000000" w:rsidRDefault="00000000" w:rsidRPr="00000000" w14:paraId="000001C2">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p>
        </w:tc>
        <w:tc>
          <w:tcPr>
            <w:gridSpan w:val="3"/>
            <w:vAlign w:val="center"/>
          </w:tcPr>
          <w:p w:rsidR="00000000" w:rsidDel="00000000" w:rsidP="00000000" w:rsidRDefault="00000000" w:rsidRPr="00000000" w14:paraId="000001CA">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7</w:t>
            </w:r>
          </w:p>
        </w:tc>
        <w:tc>
          <w:tcPr>
            <w:gridSpan w:val="3"/>
            <w:vAlign w:val="center"/>
          </w:tcPr>
          <w:p w:rsidR="00000000" w:rsidDel="00000000" w:rsidP="00000000" w:rsidRDefault="00000000" w:rsidRPr="00000000" w14:paraId="000001CD">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 5</w:t>
            </w:r>
          </w:p>
        </w:tc>
      </w:tr>
      <w:tr>
        <w:trPr>
          <w:cantSplit w:val="0"/>
          <w:trHeight w:val="274" w:hRule="atLeast"/>
          <w:tblHeader w:val="0"/>
        </w:trPr>
        <w:tc>
          <w:tcPr>
            <w:gridSpan w:val="3"/>
            <w:vAlign w:val="center"/>
          </w:tcPr>
          <w:p w:rsidR="00000000" w:rsidDel="00000000" w:rsidP="00000000" w:rsidRDefault="00000000" w:rsidRPr="00000000" w14:paraId="000001D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Усавршавања </w:t>
            </w:r>
          </w:p>
        </w:tc>
        <w:tc>
          <w:tcPr>
            <w:gridSpan w:val="11"/>
            <w:vAlign w:val="center"/>
          </w:tcPr>
          <w:p w:rsidR="00000000" w:rsidDel="00000000" w:rsidP="00000000" w:rsidRDefault="00000000" w:rsidRPr="00000000" w14:paraId="000001D3">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2013. Лабораторија за технологију гена, КУ Леувен, Белгија јун-август 2013. Лабораторија за технологију гена, КУ Леувен, Белгија</w:t>
            </w:r>
          </w:p>
        </w:tc>
      </w:tr>
      <w:tr>
        <w:trPr>
          <w:cantSplit w:val="0"/>
          <w:trHeight w:val="427" w:hRule="atLeast"/>
          <w:tblHeader w:val="0"/>
        </w:trPr>
        <w:tc>
          <w:tcPr>
            <w:gridSpan w:val="3"/>
            <w:vAlign w:val="center"/>
          </w:tcPr>
          <w:p w:rsidR="00000000" w:rsidDel="00000000" w:rsidP="00000000" w:rsidRDefault="00000000" w:rsidRPr="00000000" w14:paraId="000001DE">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Други подаци које сматрате релевантним</w:t>
            </w:r>
          </w:p>
        </w:tc>
        <w:tc>
          <w:tcPr>
            <w:gridSpan w:val="11"/>
            <w:vAlign w:val="center"/>
          </w:tcPr>
          <w:p w:rsidR="00000000" w:rsidDel="00000000" w:rsidP="00000000" w:rsidRDefault="00000000" w:rsidRPr="00000000" w14:paraId="000001E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Члан Међународног комитета за таксономију вируса (The International Committee on Taxonomy of Viruses; ICTV) и председавајући за ред </w:t>
            </w:r>
            <w:r w:rsidDel="00000000" w:rsidR="00000000" w:rsidRPr="00000000">
              <w:rPr>
                <w:rFonts w:ascii="Times New Roman" w:cs="Times New Roman" w:eastAsia="Times New Roman" w:hAnsi="Times New Roman"/>
                <w:i w:val="1"/>
                <w:sz w:val="20"/>
                <w:szCs w:val="20"/>
                <w:rtl w:val="0"/>
              </w:rPr>
              <w:t xml:space="preserve">Tubulavirales</w:t>
            </w:r>
            <w:r w:rsidDel="00000000" w:rsidR="00000000" w:rsidRPr="00000000">
              <w:rPr>
                <w:rtl w:val="0"/>
              </w:rPr>
            </w:r>
          </w:p>
        </w:tc>
      </w:tr>
    </w:tbl>
    <w:p w:rsidR="00000000" w:rsidDel="00000000" w:rsidP="00000000" w:rsidRDefault="00000000" w:rsidRPr="00000000" w14:paraId="000001EC">
      <w:pPr>
        <w:rPr>
          <w:rFonts w:ascii="Times New Roman" w:cs="Times New Roman" w:eastAsia="Times New Roman" w:hAnsi="Times New Roman"/>
          <w:sz w:val="20"/>
          <w:szCs w:val="20"/>
        </w:rPr>
      </w:pPr>
      <w:r w:rsidDel="00000000" w:rsidR="00000000" w:rsidRPr="00000000">
        <w:rPr>
          <w:rtl w:val="0"/>
        </w:rPr>
      </w:r>
    </w:p>
    <w:sectPr>
      <w:pgSz w:h="16840" w:w="11900"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rPr>
      <w:rFonts w:ascii="Times New Roman" w:cs="Times New Roman" w:eastAsia="Times New Roman" w:hAnsi="Times New Roman"/>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F78F4"/>
    <w:rPr>
      <w:rFonts w:ascii="Calibri" w:eastAsia="Calibri" w:hAnsi="Calibri"/>
      <w:color w:val="auto"/>
    </w:rPr>
  </w:style>
  <w:style w:type="paragraph" w:styleId="Heading4">
    <w:name w:val="heading 4"/>
    <w:basedOn w:val="Normal"/>
    <w:link w:val="Heading4Char"/>
    <w:uiPriority w:val="9"/>
    <w:qFormat w:val="1"/>
    <w:rsid w:val="00023E14"/>
    <w:pPr>
      <w:spacing w:after="100" w:afterAutospacing="1" w:before="100" w:beforeAutospacing="1"/>
      <w:outlineLvl w:val="3"/>
    </w:pPr>
    <w:rPr>
      <w:rFonts w:ascii="Times New Roman" w:eastAsia="Times New Roman" w:hAnsi="Times New Roman"/>
      <w:b w:val="1"/>
      <w:bCs w:val="1"/>
      <w:sz w:val="24"/>
      <w:szCs w:val="24"/>
      <w:lang w:eastAsia="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CommentReference">
    <w:name w:val="annotation reference"/>
    <w:basedOn w:val="DefaultParagraphFont"/>
    <w:uiPriority w:val="99"/>
    <w:semiHidden w:val="1"/>
    <w:unhideWhenUsed w:val="1"/>
    <w:rsid w:val="000F78F4"/>
    <w:rPr>
      <w:sz w:val="16"/>
      <w:szCs w:val="16"/>
    </w:rPr>
  </w:style>
  <w:style w:type="paragraph" w:styleId="CommentText">
    <w:name w:val="annotation text"/>
    <w:basedOn w:val="Normal"/>
    <w:link w:val="CommentTextChar"/>
    <w:uiPriority w:val="99"/>
    <w:semiHidden w:val="1"/>
    <w:unhideWhenUsed w:val="1"/>
    <w:rsid w:val="000F78F4"/>
    <w:rPr>
      <w:sz w:val="20"/>
      <w:szCs w:val="20"/>
    </w:rPr>
  </w:style>
  <w:style w:type="character" w:styleId="CommentTextChar" w:customStyle="1">
    <w:name w:val="Comment Text Char"/>
    <w:basedOn w:val="DefaultParagraphFont"/>
    <w:link w:val="CommentText"/>
    <w:uiPriority w:val="99"/>
    <w:semiHidden w:val="1"/>
    <w:rsid w:val="000F78F4"/>
    <w:rPr>
      <w:rFonts w:ascii="Calibri" w:eastAsia="Calibri" w:hAnsi="Calibri"/>
      <w:color w:val="auto"/>
      <w:sz w:val="20"/>
      <w:szCs w:val="20"/>
    </w:rPr>
  </w:style>
  <w:style w:type="character" w:styleId="articlecitationvolume" w:customStyle="1">
    <w:name w:val="articlecitation_volume"/>
    <w:basedOn w:val="DefaultParagraphFont"/>
    <w:rsid w:val="00AB0C5B"/>
  </w:style>
  <w:style w:type="character" w:styleId="articlecitationpages" w:customStyle="1">
    <w:name w:val="articlecitation_pages"/>
    <w:basedOn w:val="DefaultParagraphFont"/>
    <w:rsid w:val="00AB0C5B"/>
  </w:style>
  <w:style w:type="paragraph" w:styleId="BodyText2">
    <w:name w:val="Body Text 2"/>
    <w:basedOn w:val="Normal"/>
    <w:link w:val="BodyText2Char"/>
    <w:rsid w:val="00AB0C5B"/>
    <w:rPr>
      <w:rFonts w:ascii="Times New Roman" w:eastAsia="Times New Roman" w:hAnsi="Times New Roman"/>
      <w:szCs w:val="24"/>
    </w:rPr>
  </w:style>
  <w:style w:type="character" w:styleId="BodyText2Char" w:customStyle="1">
    <w:name w:val="Body Text 2 Char"/>
    <w:basedOn w:val="DefaultParagraphFont"/>
    <w:link w:val="BodyText2"/>
    <w:rsid w:val="00AB0C5B"/>
    <w:rPr>
      <w:rFonts w:eastAsia="Times New Roman"/>
      <w:color w:val="auto"/>
      <w:szCs w:val="24"/>
    </w:rPr>
  </w:style>
  <w:style w:type="paragraph" w:styleId="ListParagraph">
    <w:name w:val="List Paragraph"/>
    <w:basedOn w:val="Normal"/>
    <w:uiPriority w:val="34"/>
    <w:qFormat w:val="1"/>
    <w:rsid w:val="005B37C9"/>
    <w:pPr>
      <w:spacing w:after="200" w:line="276" w:lineRule="auto"/>
      <w:ind w:left="720"/>
      <w:contextualSpacing w:val="1"/>
    </w:pPr>
    <w:rPr>
      <w:rFonts w:asciiTheme="minorHAnsi" w:cstheme="minorBidi" w:eastAsiaTheme="minorHAnsi" w:hAnsiTheme="minorHAnsi"/>
    </w:rPr>
  </w:style>
  <w:style w:type="paragraph" w:styleId="TableParagraph" w:customStyle="1">
    <w:name w:val="Table Paragraph"/>
    <w:basedOn w:val="Normal"/>
    <w:uiPriority w:val="1"/>
    <w:qFormat w:val="1"/>
    <w:rsid w:val="006236AC"/>
    <w:pPr>
      <w:widowControl w:val="0"/>
      <w:autoSpaceDE w:val="0"/>
      <w:autoSpaceDN w:val="0"/>
      <w:adjustRightInd w:val="0"/>
    </w:pPr>
    <w:rPr>
      <w:rFonts w:cs="Calibri" w:eastAsiaTheme="minorEastAsia"/>
      <w:sz w:val="24"/>
      <w:szCs w:val="24"/>
    </w:rPr>
  </w:style>
  <w:style w:type="character" w:styleId="Hyperlink">
    <w:name w:val="Hyperlink"/>
    <w:basedOn w:val="DefaultParagraphFont"/>
    <w:uiPriority w:val="99"/>
    <w:unhideWhenUsed w:val="1"/>
    <w:rsid w:val="009563F0"/>
    <w:rPr>
      <w:color w:val="0563c1" w:themeColor="hyperlink"/>
      <w:u w:val="single"/>
    </w:rPr>
  </w:style>
  <w:style w:type="character" w:styleId="typography-modulelvnit" w:customStyle="1">
    <w:name w:val="typography-module__lvnit"/>
    <w:basedOn w:val="DefaultParagraphFont"/>
    <w:rsid w:val="00023E14"/>
  </w:style>
  <w:style w:type="character" w:styleId="Heading4Char" w:customStyle="1">
    <w:name w:val="Heading 4 Char"/>
    <w:basedOn w:val="DefaultParagraphFont"/>
    <w:link w:val="Heading4"/>
    <w:uiPriority w:val="9"/>
    <w:rsid w:val="00023E14"/>
    <w:rPr>
      <w:rFonts w:eastAsia="Times New Roman"/>
      <w:b w:val="1"/>
      <w:bCs w:val="1"/>
      <w:color w:val="auto"/>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copus.com/authid/detail.uri?authorId=57247270000" TargetMode="External"/><Relationship Id="rId8" Type="http://schemas.openxmlformats.org/officeDocument/2006/relationships/hyperlink" Target="https://www.scopus.com/authid/detail.uri?authorId=23097517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7TB4/idR/oJgqFKGP7Nwtu8aJg==">CgMxLjA4AHIhMVFWakNWYUdfYUUxUWZZQ1Vva0t3WUZrV18zbGY1RlMw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2023-07-11T17:56:00Z</dcterms:created>
  <dc:creator>Nebojša Andrić</dc:creator>
</cp:coreProperties>
</file>