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1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7"/>
        <w:gridCol w:w="277"/>
        <w:gridCol w:w="1308"/>
        <w:gridCol w:w="311"/>
        <w:gridCol w:w="117"/>
        <w:gridCol w:w="994"/>
        <w:gridCol w:w="760"/>
        <w:gridCol w:w="366"/>
        <w:gridCol w:w="322"/>
        <w:gridCol w:w="2029"/>
        <w:gridCol w:w="216"/>
        <w:gridCol w:w="1860"/>
        <w:gridCol w:w="538"/>
        <w:gridCol w:w="1571"/>
        <w:tblGridChange w:id="0">
          <w:tblGrid>
            <w:gridCol w:w="347"/>
            <w:gridCol w:w="277"/>
            <w:gridCol w:w="1308"/>
            <w:gridCol w:w="311"/>
            <w:gridCol w:w="117"/>
            <w:gridCol w:w="994"/>
            <w:gridCol w:w="760"/>
            <w:gridCol w:w="366"/>
            <w:gridCol w:w="322"/>
            <w:gridCol w:w="2029"/>
            <w:gridCol w:w="216"/>
            <w:gridCol w:w="1860"/>
            <w:gridCol w:w="538"/>
            <w:gridCol w:w="1571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Слободанка Пајевић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Универзитетa у Новом Саду, од 1. 5.1986. године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/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/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/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Таксономија, Физиологија биљака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/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Таксономија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(ОАС, МАС)</w:t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ОБ016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ОЕ016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Основи физиологије биљака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ОБ029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Инструменталне методе у биологији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МЕ17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Фитоиндикација и фиторемедијација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ИБ56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стреса биљака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Nikolić,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Pajević,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Arsenov, D., Borišev, M., Župunski, M. 2022. Breaking the myth of healthy food production in rural areas: cases studied in Vojvodina Province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Environmental Science and Pollution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30(2), pp. 4778–4791. M22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Arsenov, D., Župunski,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Pajević,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Borišev, M., Nikolić, N., Mimica-Dukić, N. 2021. Health assessment of medicinal herbs, celery and parsley related to cadmium soil pollution-potentially toxic elements (PTEs) accumulation, tolerance capacity and antioxidative response.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Environmental Geochemistry and Health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43(8), pp. 2927-2943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М21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Arsenov, D., Župunski,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., Pajević,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Nemeš, I., Simin, N. Alnuqaydan A.M., Watson M., Aloliqi, A.A.,Mimica-Dukić, N. 2021. Roots of apium graveolens and petroselinum crispum—Insight into phenolic status against toxicity level of trace elements.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Plants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10(9), p. 1785. М21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Župunski, M., Arsenov, D., Borišev, M., Nikolić,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Pajević,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2021. Should I GROW or should I SLOW: A meta-analysis of fast-growing tree-species grown in cadmium perturbed environment.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Physiologia Plantarum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174(1):e13594.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М21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31413"/>
                <w:sz w:val="20"/>
                <w:szCs w:val="20"/>
                <w:rtl w:val="0"/>
              </w:rPr>
              <w:t xml:space="preserve">Horak, R., Župunski,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31413"/>
                <w:sz w:val="20"/>
                <w:szCs w:val="20"/>
                <w:rtl w:val="0"/>
              </w:rPr>
              <w:t xml:space="preserve">Pajević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31413"/>
                <w:sz w:val="20"/>
                <w:szCs w:val="20"/>
                <w:rtl w:val="0"/>
              </w:rPr>
              <w:t xml:space="preserve">, Borišev, M., Arsenov D., Nikolic, N., Orlović, S., (2019): Carbon assimilation in oak (Quercus spp.) populations under acute and chronic high-temperature stress.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31413"/>
                <w:sz w:val="20"/>
                <w:szCs w:val="20"/>
                <w:rtl w:val="0"/>
              </w:rPr>
              <w:t xml:space="preserve">Photosynthetica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31413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31413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31413"/>
                <w:sz w:val="20"/>
                <w:szCs w:val="20"/>
                <w:rtl w:val="0"/>
              </w:rPr>
              <w:t xml:space="preserve">57(3), pp. 875-889. М22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31413"/>
                <w:sz w:val="20"/>
                <w:szCs w:val="20"/>
                <w:rtl w:val="0"/>
              </w:rPr>
              <w:t xml:space="preserve">Pajevic,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31413"/>
                <w:sz w:val="20"/>
                <w:szCs w:val="20"/>
                <w:rtl w:val="0"/>
              </w:rPr>
              <w:t xml:space="preserve">, Arsenov D., Nikolic, N., Borisev, M., Orcic, D., Zupunski, M., Mimica-Dukic, N. 2018. Heavy metal accumulation in vegetable species and health risk assessment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31413"/>
                <w:sz w:val="20"/>
                <w:szCs w:val="20"/>
                <w:rtl w:val="0"/>
              </w:rPr>
              <w:t xml:space="preserve">Environmental Monitoring and Assessment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31413"/>
                <w:sz w:val="20"/>
                <w:szCs w:val="20"/>
                <w:rtl w:val="0"/>
              </w:rPr>
              <w:t xml:space="preserve">, 190(8), p.459. М22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Borišev,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Pajević,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Nikolić, N., Pilipović, A., Arsenov, D., Župunski, M. 2018. Mine site restoration using sylvicultural approach.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In: Bio-Geotechnologies for Mine Site  rehabilitation, 1st edition (Prasad MNV, Favas PJC, Maiti SK, eds.). Elsevier, Amsterdam, Netherlands. ISBN: 978-0-12-812986-9. pp. 115-130. DOI 10.1016/B978-0-12-812986-9.00013-0. Chapter in International Monograph. М13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Župunski,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Pajević,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Arsenov, D., Nikolić, N., Pilipović, A., Borišev, M. 2018. Insights and lessons learned from the long-term rehabilitation of AMLs - a plant based approach.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In: Bio-Geotechnologies for Mine Site Rehabilitation, 1st edition (Prasad MNV, Favas PJC, Maiti SK, eds.). Elsevier, Amsterdam, Netherlands. ISBN: 978-0-12-812986-9. pp. 215-232. DOI 10.1016/B978-0-12-812986-9.00013-0.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Chapter in International Monograph. М13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Pajević,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Borišev, M., Nikolić, N., Arsenov,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rlović, S., Župunski, M. 2016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Phytoextraction of Heavy Metals by Fast-Growing Trees: A Review. In: Phytoremediation: Managment of environmental contaminants (Abid Ali Ansari, Sarvajeet Singh Gill, Ritu Gill, Guy R. Lanza, Lee Newman, eds.). Springer International Publishing Switzerland, Vol. 3., p.p. 29-64. ISBN 978-3-319-40146-1; DOI 10.1007/978-3-319-40148-5. Chapter in Int. Mon. М13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Borišev, M., Borišev, I., Župunski, M., Arsenov,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Pajević,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Ćurčić, Ž., Vasin, J., Đorđević, A. 2016. Drought Impact Is Alleviated in Sugar Beets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Beta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vulgaris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L.) by Foliar Application of Fullerenol Nanoparticles.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PLoS 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11(11), p. e0166248. М21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723; h-index 15 ( Scopus, јул 2022)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 (Scopus)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Complutense University Madrid, Spain, 2006.</w:t>
            </w:r>
          </w:p>
          <w:p w:rsidR="00000000" w:rsidDel="00000000" w:rsidP="00000000" w:rsidRDefault="00000000" w:rsidRPr="00000000" w14:paraId="000001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Faculty of Science, University of Nice Sophia Antipolis, France, 2009.</w:t>
            </w:r>
          </w:p>
          <w:p w:rsidR="00000000" w:rsidDel="00000000" w:rsidP="00000000" w:rsidRDefault="00000000" w:rsidRPr="00000000" w14:paraId="000001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Eastern Finland (UEF), Finland, 2016.</w:t>
            </w:r>
          </w:p>
          <w:p w:rsidR="00000000" w:rsidDel="00000000" w:rsidP="00000000" w:rsidRDefault="00000000" w:rsidRPr="00000000" w14:paraId="000001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Naples Federico II, Naples, Italy, 2017.</w:t>
            </w:r>
          </w:p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Prince of Songkla University, Hat Yai, Songkla, Thailand, 2018 – гостујући професор.</w:t>
            </w:r>
          </w:p>
        </w:tc>
      </w:tr>
    </w:tbl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607C"/>
    <w:pPr>
      <w:spacing w:after="0" w:line="240" w:lineRule="auto"/>
    </w:pPr>
    <w:rPr>
      <w:rFonts w:ascii="Calibri" w:cs="Times New Roman" w:eastAsia="Calibri" w:hAnsi="Calibri"/>
      <w:lang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461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14461"/>
    <w:rPr>
      <w:rFonts w:ascii="Segoe UI" w:cs="Segoe UI" w:eastAsia="Calibri" w:hAnsi="Segoe UI"/>
      <w:sz w:val="18"/>
      <w:szCs w:val="18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o25hqIwLoX/X7M7AhwvtBWaqpw==">CgMxLjA4AHIhMWZXcGwtb0o2WGg1cWF6Ul85allSejRYa0VuaWZNb01O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2022-03-14T09:25:00Z</dcterms:created>
  <dc:creator>Vera Zupanec</dc:creator>
</cp:coreProperties>
</file>