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3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0"/>
        <w:gridCol w:w="904"/>
        <w:gridCol w:w="120"/>
        <w:gridCol w:w="752"/>
        <w:gridCol w:w="268"/>
        <w:gridCol w:w="1277"/>
        <w:gridCol w:w="1076"/>
        <w:gridCol w:w="484"/>
        <w:gridCol w:w="172"/>
        <w:gridCol w:w="412"/>
        <w:gridCol w:w="1431"/>
        <w:gridCol w:w="238"/>
        <w:gridCol w:w="1529"/>
        <w:tblGridChange w:id="0">
          <w:tblGrid>
            <w:gridCol w:w="580"/>
            <w:gridCol w:w="904"/>
            <w:gridCol w:w="120"/>
            <w:gridCol w:w="752"/>
            <w:gridCol w:w="268"/>
            <w:gridCol w:w="1277"/>
            <w:gridCol w:w="1076"/>
            <w:gridCol w:w="484"/>
            <w:gridCol w:w="172"/>
            <w:gridCol w:w="412"/>
            <w:gridCol w:w="1431"/>
            <w:gridCol w:w="238"/>
            <w:gridCol w:w="1529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Снежана Радуловић</w:t>
            </w:r>
          </w:p>
        </w:tc>
      </w:tr>
      <w:tr>
        <w:trPr>
          <w:cantSplit w:val="0"/>
          <w:trHeight w:val="12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Универзитета у Новом Саду, од 1996. године</w:t>
            </w:r>
          </w:p>
        </w:tc>
      </w:tr>
      <w:tr>
        <w:trPr>
          <w:cantSplit w:val="0"/>
          <w:trHeight w:val="29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4"/>
              </w:sdtPr>
              <w:sdtContent>
                <w:commentRangeStart w:id="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5"/>
              </w:sdtPr>
              <w:sdtContent>
                <w:commentRangeStart w:id="5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6"/>
              </w:sdtPr>
              <w:sdtContent>
                <w:commentRangeStart w:id="6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7"/>
              </w:sdtPr>
              <w:sdtContent>
                <w:commentRangeStart w:id="7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8"/>
              </w:sdtPr>
              <w:sdtContent>
                <w:commentRangeStart w:id="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Биолошки факултет, Универзитет у Београду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9"/>
              </w:sdtPr>
              <w:sdtContent>
                <w:commentRangeStart w:id="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0"/>
              </w:sdtPr>
              <w:sdtContent>
                <w:commentRangeStart w:id="1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1"/>
              </w:sdtPr>
              <w:sdtContent>
                <w:commentRangeStart w:id="11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Асистент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2"/>
              </w:sdtPr>
              <w:sdtContent>
                <w:commentRangeStart w:id="12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3"/>
              </w:sdtPr>
              <w:sdtContent>
                <w:commentRangeStart w:id="13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4"/>
              </w:sdtPr>
              <w:sdtContent>
                <w:commentRangeStart w:id="14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5"/>
              </w:sdtPr>
              <w:sdtContent>
                <w:commentRangeStart w:id="15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6"/>
              </w:sdtPr>
              <w:sdtContent>
                <w:commentRangeStart w:id="16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Асистент-приправник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7"/>
              </w:sdtPr>
              <w:sdtContent>
                <w:commentRangeStart w:id="17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8"/>
              </w:sdtPr>
              <w:sdtContent>
                <w:commentRangeStart w:id="18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19"/>
              </w:sdtPr>
              <w:sdtContent>
                <w:commentRangeStart w:id="19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20"/>
              </w:sdtPr>
              <w:sdtContent>
                <w:commentRangeStart w:id="20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ОЕ020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Екологија биљака 1/2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Теоријска и практична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Дипломирани еколог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ОБ027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Екологија биљака 1/2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Теоријска и практична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Дипломирани биолог (Општа биологија)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ИБ27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Екологија биљака 1/2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Теоријска и практична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Мастер професор биологије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ИБ07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Општа екологија 1/2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Теоријска и практична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Мастер професор биологије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ОЕ009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Основи екологије 1/2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Теоријска и практична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Дипломирани еколог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ОВ028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Екологија  1/2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Теоријска и практична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 (Mиркобиологија)</w:t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 (Молекуларна билогија)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Теренска настава 3  1/3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интерактивна настава у оквиру екскурзије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еколог, Дипломирани биолог</w:t>
            </w:r>
          </w:p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(Општа биологија),  Дипломирани биолог (Mиркобиологија)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МЕ13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Екологија и мониторинг копнених вода 1/2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Теоријска и практична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Мастер еколог (Хидробиологија)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МЕ32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Фитоценологија 1/2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Теоријска и практична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Мастер еколог (Примењена ботаника)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3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Cvijanovic, D., Gavrilović, O., Novković, M., Milošević, D., Piperac, M., Anđelković, A., Damnjanovic, B., Denić, Lj., Nusret,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Radulović,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2023. Predicting retention effects of a riparian zone in an agricultural landscape: implication for eutrophication control of the Tisza river,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Carpathian Journal of Earth and Environmental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18(1), pp. 27-36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Ilić, M., Igić, R., Ćuk, M., Veljić,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Radulović,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Orlović, S., Vukovm D. 2023. Environmental drivers of ground‑foor bryophytes diversity in temperate forests.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Oecologia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202, pp. 275–285.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Krtolica, I., Savić, D., Bajić,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Radulović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 Machine Learning for Water Quality Assessment Based on Macrophyte Presence.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15(1), p. 522.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Anđelković, A., Pavlović, D., Marisavljević, D., Živković, M., Novković, M., Popović, S., Cvijanović, D,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f1f1f"/>
                <w:sz w:val="20"/>
                <w:szCs w:val="20"/>
                <w:highlight w:val="white"/>
                <w:rtl w:val="0"/>
              </w:rPr>
              <w:t xml:space="preserve">Radulović, 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2022. ﻿Plant invasions in riparian areas of the Middle Danube Basin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highlight w:val="white"/>
                <w:rtl w:val="0"/>
              </w:rPr>
              <w:t xml:space="preserve">NeoBiota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, 71, pp. 23-48.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Krtolica, I., Cvijanović, D., Obradović, Đ., Novković, M., Milošević, Đ., Savić, D., Vojinović-Miloradov,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Radulović,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f1f1f"/>
                <w:sz w:val="20"/>
                <w:szCs w:val="20"/>
                <w:highlight w:val="white"/>
                <w:rtl w:val="0"/>
              </w:rPr>
              <w:t xml:space="preserve">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 2021. Water quality and macrophytes in the Danube River: Artificial neural network modelling.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highlight w:val="white"/>
                <w:rtl w:val="0"/>
              </w:rPr>
              <w:t xml:space="preserve">Ecological Indicators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, 121, p. 107076.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Boon, P., Argillier, C., Boggero, A., Ciampittiello, M., England, J., Peterlin,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f1f1f"/>
                <w:sz w:val="20"/>
                <w:szCs w:val="20"/>
                <w:highlight w:val="white"/>
                <w:rtl w:val="0"/>
              </w:rPr>
              <w:t xml:space="preserve">Radulović,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 Rowan, J., Soszka, H., Urbanic, G. 2019. Developing a standard approach for assessing the hydromorphology of lakes in Europe.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highlight w:val="white"/>
                <w:rtl w:val="0"/>
              </w:rPr>
              <w:t xml:space="preserve">Aquatic Conservation: Marine and Freshwater Ecosystems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, 29(4), pp. 655-669.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Vukov, D., Ilić, M., Ćuk,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Radulović,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Igić, R., Janauer, GA. 2018. Combined  effects of physical environmental conditions and anthropogenic alterations are associated with macrophyte habitat fragmentation in rivers - Study of the Danube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Science of the Total Environment,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632, pp. 780-790.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Damnjanović, B., Novković, M., Vesić, A., Živković,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Radulović,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f1f1f"/>
                <w:sz w:val="20"/>
                <w:szCs w:val="20"/>
                <w:highlight w:val="white"/>
                <w:rtl w:val="0"/>
              </w:rPr>
              <w:t xml:space="preserve"> S.,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 Vukov, D., Anđelković, A., Cvijanović, D. 2019. Guidelines for conservation-friendly gravel extraction along the Drina Riverfloodplain (the Middle Danube Basin, 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highlight w:val="white"/>
                <w:rtl w:val="0"/>
              </w:rPr>
              <w:t xml:space="preserve">Wetlands Ecology and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 27, pp. 1–22.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C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Cvijanović, D., Lakušić, D., Živković, M., Novković, M., Anđelković, A., Pavlović, D., Vukov,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f1f1f"/>
                <w:sz w:val="20"/>
                <w:szCs w:val="20"/>
                <w:highlight w:val="white"/>
                <w:rtl w:val="0"/>
              </w:rPr>
              <w:t xml:space="preserve">Radulović,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 2018. An overview of aquatic vegetation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highlight w:val="white"/>
                <w:rtl w:val="0"/>
              </w:rPr>
              <w:t xml:space="preserve">Tuexenia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, 38, pp. 269–286.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Landucci, F., Řezníčková, M., Šumberová, K., Chytrý, M., Aunina, L., Cvijanovic, D., [...]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f1f1f"/>
                <w:sz w:val="20"/>
                <w:szCs w:val="20"/>
                <w:highlight w:val="white"/>
                <w:rtl w:val="0"/>
              </w:rPr>
              <w:t xml:space="preserve">Radulovic,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, Schaminée, HM., Šilc, U., Sinkevičienė, Z., Stančić, Z., Stepanovich, J., Teteryuk, B., Tzonev, R., Venanzoni, R., Weekes, L., Willner, W. 2015. WetVegEurope: a database of aquatic and wetland vegetation of Europe.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f1f1f"/>
                <w:sz w:val="20"/>
                <w:szCs w:val="20"/>
                <w:highlight w:val="white"/>
                <w:rtl w:val="0"/>
              </w:rPr>
              <w:t xml:space="preserve">Phytocoenologia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f1f1f"/>
                <w:sz w:val="20"/>
                <w:szCs w:val="20"/>
                <w:highlight w:val="white"/>
                <w:rtl w:val="0"/>
              </w:rPr>
              <w:t xml:space="preserve">, 42(12), pp. 187-194.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D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170 (SCOPUS)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 (SCOPUS), 28 укупно (CRIS-UNS)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2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0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5</w:t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2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.94140625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21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</w:t>
            </w:r>
          </w:p>
          <w:p w:rsidR="00000000" w:rsidDel="00000000" w:rsidP="00000000" w:rsidRDefault="00000000" w:rsidRPr="00000000" w14:paraId="0000021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Радуловић С, Цвијановић Д. Основе екологије, основни уџбеник. Универзитет у Новом Саду, Природно-математичи факултет, Нови Сад, 2016. ISBN: 978-86-7031-332-3</w:t>
            </w:r>
          </w:p>
        </w:tc>
      </w:tr>
    </w:tbl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</w:r>
    </w:p>
    <w:sectPr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Bojana Bokić" w:id="11" w:date="2023-11-13T16:34:36Z"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2" w:date="2023-11-13T16:34:36Z"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3" w:date="2023-11-13T16:34:36Z"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4" w:date="2023-11-13T16:34:36Z"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5" w:date="2023-11-13T16:34:36Z"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0" w:date="2023-11-13T16:33:58Z"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проверити научну облат; не слаже се овде и у обухвату/обрачуну</w:t>
      </w:r>
    </w:p>
  </w:comment>
  <w:comment w:author="Bojana Bokić" w:id="16" w:date="2023-11-13T16:34:42Z"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7" w:date="2023-11-13T16:34:42Z"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8" w:date="2023-11-13T16:34:42Z"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9" w:date="2023-11-13T16:34:42Z"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20" w:date="2023-11-13T16:34:42Z"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исто</w:t>
      </w:r>
    </w:p>
  </w:comment>
  <w:comment w:author="Bojana Bokić" w:id="1" w:date="2023-11-13T16:34:27Z"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2" w:date="2023-11-13T16:34:27Z"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3" w:date="2023-11-13T16:34:27Z"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4" w:date="2023-11-13T16:34:27Z"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5" w:date="2023-11-13T16:34:27Z"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6" w:date="2023-11-13T16:34:27Z"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7" w:date="2023-11-13T16:34:27Z"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8" w:date="2023-11-13T16:34:27Z"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9" w:date="2023-11-13T16:34:27Z"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  <w:comment w:author="Bojana Bokić" w:id="10" w:date="2023-11-13T16:34:27Z"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знам да ли иде све ово или само година последњег избора у звање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229" w15:done="0"/>
  <w15:commentEx w15:paraId="0000022A" w15:done="0"/>
  <w15:commentEx w15:paraId="0000022B" w15:done="0"/>
  <w15:commentEx w15:paraId="0000022C" w15:done="0"/>
  <w15:commentEx w15:paraId="0000022D" w15:done="0"/>
  <w15:commentEx w15:paraId="0000022E" w15:done="0"/>
  <w15:commentEx w15:paraId="0000022F" w15:done="0"/>
  <w15:commentEx w15:paraId="00000230" w15:done="0"/>
  <w15:commentEx w15:paraId="00000231" w15:done="0"/>
  <w15:commentEx w15:paraId="00000232" w15:done="0"/>
  <w15:commentEx w15:paraId="00000233" w15:done="0"/>
  <w15:commentEx w15:paraId="00000234" w15:done="0"/>
  <w15:commentEx w15:paraId="00000235" w15:done="0"/>
  <w15:commentEx w15:paraId="00000236" w15:done="0"/>
  <w15:commentEx w15:paraId="00000237" w15:done="0"/>
  <w15:commentEx w15:paraId="00000238" w15:done="0"/>
  <w15:commentEx w15:paraId="00000239" w15:done="0"/>
  <w15:commentEx w15:paraId="0000023A" w15:done="0"/>
  <w15:commentEx w15:paraId="0000023B" w15:done="0"/>
  <w15:commentEx w15:paraId="0000023C" w15:done="0"/>
  <w15:commentEx w15:paraId="0000023D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55F70"/>
    <w:pPr>
      <w:spacing w:after="0" w:line="240" w:lineRule="auto"/>
    </w:pPr>
    <w:rPr>
      <w:rFonts w:ascii="Calibri" w:cs="Times New Roman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75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756B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756B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756B2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756B2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756B2"/>
    <w:rPr>
      <w:rFonts w:ascii="Tahoma" w:cs="Tahoma" w:eastAsia="Calibri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/mrXESOBeb7TEzAp+VdE+YKD3w==">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2023-07-11T17:12:00Z</dcterms:created>
  <dc:creator>Mihajla Djan</dc:creator>
</cp:coreProperties>
</file>