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0885.0" w:type="dxa"/>
        <w:jc w:val="left"/>
        <w:tblInd w:w="-7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20"/>
        <w:gridCol w:w="810"/>
        <w:gridCol w:w="180"/>
        <w:gridCol w:w="90"/>
        <w:gridCol w:w="630"/>
        <w:gridCol w:w="1350"/>
        <w:gridCol w:w="1080"/>
        <w:gridCol w:w="104"/>
        <w:gridCol w:w="346"/>
        <w:gridCol w:w="1215"/>
        <w:gridCol w:w="105"/>
        <w:gridCol w:w="205"/>
        <w:gridCol w:w="2445"/>
        <w:gridCol w:w="1605"/>
        <w:tblGridChange w:id="0">
          <w:tblGrid>
            <w:gridCol w:w="720"/>
            <w:gridCol w:w="810"/>
            <w:gridCol w:w="180"/>
            <w:gridCol w:w="90"/>
            <w:gridCol w:w="630"/>
            <w:gridCol w:w="1350"/>
            <w:gridCol w:w="1080"/>
            <w:gridCol w:w="104"/>
            <w:gridCol w:w="346"/>
            <w:gridCol w:w="1215"/>
            <w:gridCol w:w="105"/>
            <w:gridCol w:w="205"/>
            <w:gridCol w:w="2445"/>
            <w:gridCol w:w="1605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Дајана Благојевић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УНС, 01.01.2011.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90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Jelica Simeunovic, Katarina Bešlin, Zorica Svirčev,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Dajana Kovač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Olivera Babić (2013): Impact of nitrogen and drought on phycobiliprotein content in terrestrial cyanobacterial strains. J Appl Phycol, Vol 25, No 2, 597-607. 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Kovač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Babić O., Milovanović I., Mišan A., Simeunović Ј (2017): The production of biomass and phycobiliprotein pigments in filamentous cyanobacteria: the impact of light and carbon sources. Applied Biochemistry and Microbiology 53: 539 - 545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2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Babić O.,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Kovač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Rašeta M., Šibul F., Svirčev Z., Simeunović J. (2015): Evaluation of antioxidant activity and phenolic profile of filamentous terrestrial cyanobacterial strains isolated from forest ecosystem. J Appl Phycol, Volume 28, Issue 4, pp. 2333–2342.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31413"/>
                <w:sz w:val="20"/>
                <w:szCs w:val="20"/>
                <w:rtl w:val="0"/>
              </w:rPr>
              <w:t xml:space="preserve">Blagojević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20"/>
                <w:szCs w:val="20"/>
                <w:rtl w:val="0"/>
              </w:rPr>
              <w:t xml:space="preserve">, Babić O., Rašeta M., Šibul P., Janjušević Lj., Simeunović J. (2018):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666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Antioxidant activity and phenolic profile in filamentous cyanobacteria: the impact of nitrogen. J Appl Phycol, 30: 2337-2346.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tabs>
                <w:tab w:val="left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both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Davidović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Blagojević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Lazić G., Simeunović J. (2022): Gene expression changes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Daphnia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magna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following waterborne exposure to cyanobacterial strains from the genus Nostoc. Harmful algae, 115 (2022)102232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 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 оквиру SCOPES пројекта студијски боравак у Лабораторији за молекуларну екотоксикологију на Институту Руђер Бошковић, Загреб (Хрватска),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 14.03.-30.04.2016. године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Знање енглеског и немачког језика</w:t>
            </w:r>
          </w:p>
          <w:p w:rsidR="00000000" w:rsidDel="00000000" w:rsidP="00000000" w:rsidRDefault="00000000" w:rsidRPr="00000000" w14:paraId="00000156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Друштва микробиолога Србије, Федерације европских микробиолошких друштава (ФЕМС)</w:t>
            </w:r>
          </w:p>
        </w:tc>
      </w:tr>
    </w:tbl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F78F4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F78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F78F4"/>
    <w:rPr>
      <w:rFonts w:ascii="Calibri" w:eastAsia="Calibri" w:hAnsi="Calibri"/>
      <w:color w:val="auto"/>
      <w:sz w:val="20"/>
      <w:szCs w:val="20"/>
    </w:rPr>
  </w:style>
  <w:style w:type="character" w:styleId="articlecitationvolume" w:customStyle="1">
    <w:name w:val="articlecitation_volume"/>
    <w:basedOn w:val="DefaultParagraphFont"/>
    <w:rsid w:val="00AB0C5B"/>
  </w:style>
  <w:style w:type="character" w:styleId="articlecitationpages" w:customStyle="1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styleId="BodyText2Char" w:customStyle="1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 w:val="1"/>
    <w:rsid w:val="005B37C9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QsWW8Cs/lX9FEA6/HRJr7nmc9A==">AMUW2mV3geVjaiZeYKEnnC+G0gz8rfp42c7fC537ADB4mV4PvITR6x7z0l6hdEP2uCs30OLR+Scw1OGWn9WQRenGDklmbs8AuOGVBCST0AX+296V/G7jBs8beeEWyIJWTqJ2yovbm5LT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2022-05-24T04:39:00Z</dcterms:created>
  <dc:creator>Nebojša Andrić</dc:creator>
</cp:coreProperties>
</file>