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B785" w14:textId="77777777"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350"/>
        <w:gridCol w:w="773"/>
        <w:gridCol w:w="856"/>
        <w:gridCol w:w="1246"/>
        <w:gridCol w:w="322"/>
        <w:gridCol w:w="1762"/>
        <w:gridCol w:w="270"/>
        <w:gridCol w:w="540"/>
        <w:gridCol w:w="2823"/>
      </w:tblGrid>
      <w:tr w:rsidR="00A66DA8" w:rsidRPr="005E671A" w14:paraId="23F80F7B" w14:textId="77777777" w:rsidTr="00726DF4">
        <w:trPr>
          <w:trHeight w:val="227"/>
        </w:trPr>
        <w:tc>
          <w:tcPr>
            <w:tcW w:w="4358" w:type="dxa"/>
            <w:gridSpan w:val="6"/>
            <w:vAlign w:val="center"/>
          </w:tcPr>
          <w:p w14:paraId="76E11E10" w14:textId="77777777" w:rsidR="00A66DA8" w:rsidRPr="00726DF4" w:rsidRDefault="00A66DA8" w:rsidP="00F23C08">
            <w:pPr>
              <w:tabs>
                <w:tab w:val="left" w:pos="567"/>
              </w:tabs>
              <w:spacing w:after="60"/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14:paraId="354B4738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Јелена Пураћ</w:t>
            </w:r>
          </w:p>
        </w:tc>
      </w:tr>
      <w:tr w:rsidR="00A66DA8" w:rsidRPr="005E671A" w14:paraId="2BF972A1" w14:textId="77777777" w:rsidTr="00726DF4">
        <w:trPr>
          <w:trHeight w:val="227"/>
        </w:trPr>
        <w:tc>
          <w:tcPr>
            <w:tcW w:w="4358" w:type="dxa"/>
            <w:gridSpan w:val="6"/>
            <w:vAlign w:val="center"/>
          </w:tcPr>
          <w:p w14:paraId="7E7696E1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14:paraId="26873498" w14:textId="3CE629D0" w:rsidR="00A66DA8" w:rsidRPr="005E671A" w:rsidRDefault="002E175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="00726DF4">
              <w:rPr>
                <w:lang w:val="sr-Cyrl-CS"/>
              </w:rPr>
              <w:t xml:space="preserve"> професор</w:t>
            </w:r>
          </w:p>
        </w:tc>
      </w:tr>
      <w:tr w:rsidR="00A66DA8" w:rsidRPr="005E671A" w14:paraId="56087B03" w14:textId="77777777" w:rsidTr="00726DF4">
        <w:trPr>
          <w:trHeight w:val="227"/>
        </w:trPr>
        <w:tc>
          <w:tcPr>
            <w:tcW w:w="4358" w:type="dxa"/>
            <w:gridSpan w:val="6"/>
            <w:vAlign w:val="center"/>
          </w:tcPr>
          <w:p w14:paraId="1BAF41F0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14:paraId="2D81578D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Сад, 15.07.2005.</w:t>
            </w:r>
          </w:p>
        </w:tc>
      </w:tr>
      <w:tr w:rsidR="00A66DA8" w:rsidRPr="005E671A" w14:paraId="022790B8" w14:textId="77777777" w:rsidTr="00726DF4">
        <w:trPr>
          <w:trHeight w:val="227"/>
        </w:trPr>
        <w:tc>
          <w:tcPr>
            <w:tcW w:w="4358" w:type="dxa"/>
            <w:gridSpan w:val="6"/>
            <w:vAlign w:val="center"/>
          </w:tcPr>
          <w:p w14:paraId="1E64042C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14:paraId="7E00DCE7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66DA8" w:rsidRPr="005E671A" w14:paraId="48312877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42E78DA1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14:paraId="7CA88A9D" w14:textId="77777777" w:rsidTr="004F27D4">
        <w:trPr>
          <w:trHeight w:val="227"/>
        </w:trPr>
        <w:tc>
          <w:tcPr>
            <w:tcW w:w="1934" w:type="dxa"/>
            <w:gridSpan w:val="3"/>
            <w:vAlign w:val="center"/>
          </w:tcPr>
          <w:p w14:paraId="20EA38F2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6" w:type="dxa"/>
            <w:vAlign w:val="center"/>
          </w:tcPr>
          <w:p w14:paraId="54975BFA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4DB06B46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23" w:type="dxa"/>
            <w:vAlign w:val="center"/>
          </w:tcPr>
          <w:p w14:paraId="04103406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14:paraId="0237308F" w14:textId="77777777" w:rsidTr="004F27D4">
        <w:trPr>
          <w:trHeight w:val="227"/>
        </w:trPr>
        <w:tc>
          <w:tcPr>
            <w:tcW w:w="1934" w:type="dxa"/>
            <w:gridSpan w:val="3"/>
            <w:vAlign w:val="center"/>
          </w:tcPr>
          <w:p w14:paraId="68DAB154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6" w:type="dxa"/>
            <w:vAlign w:val="center"/>
          </w:tcPr>
          <w:p w14:paraId="28D1CCF1" w14:textId="1B961764" w:rsidR="00A66DA8" w:rsidRPr="00FD1BF2" w:rsidRDefault="00726DF4" w:rsidP="00F23C08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t>20</w:t>
            </w:r>
            <w:r w:rsidR="00FD1BF2">
              <w:rPr>
                <w:lang w:val="sr-Cyrl-RS"/>
              </w:rPr>
              <w:t>20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13B002D5" w14:textId="77777777" w:rsidR="00A66DA8" w:rsidRPr="00726DF4" w:rsidRDefault="00726DF4" w:rsidP="00F23C08">
            <w:pPr>
              <w:tabs>
                <w:tab w:val="left" w:pos="567"/>
              </w:tabs>
              <w:spacing w:after="60"/>
            </w:pPr>
            <w:r>
              <w:t>Природно-математички факултет, Нови Сад</w:t>
            </w:r>
          </w:p>
        </w:tc>
        <w:tc>
          <w:tcPr>
            <w:tcW w:w="2823" w:type="dxa"/>
            <w:vAlign w:val="center"/>
          </w:tcPr>
          <w:p w14:paraId="62697194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66DA8" w:rsidRPr="005E671A" w14:paraId="7546551C" w14:textId="77777777" w:rsidTr="004F27D4">
        <w:trPr>
          <w:trHeight w:val="227"/>
        </w:trPr>
        <w:tc>
          <w:tcPr>
            <w:tcW w:w="1934" w:type="dxa"/>
            <w:gridSpan w:val="3"/>
            <w:vAlign w:val="center"/>
          </w:tcPr>
          <w:p w14:paraId="1A4E7FBF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6" w:type="dxa"/>
            <w:vAlign w:val="center"/>
          </w:tcPr>
          <w:p w14:paraId="508772CB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774BAD42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факултет, Нови Сад</w:t>
            </w:r>
          </w:p>
        </w:tc>
        <w:tc>
          <w:tcPr>
            <w:tcW w:w="2823" w:type="dxa"/>
            <w:vAlign w:val="center"/>
          </w:tcPr>
          <w:p w14:paraId="2D42C32D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 биолошких наука</w:t>
            </w:r>
          </w:p>
        </w:tc>
      </w:tr>
      <w:tr w:rsidR="00A66DA8" w:rsidRPr="005E671A" w14:paraId="076DD169" w14:textId="77777777" w:rsidTr="004F27D4">
        <w:trPr>
          <w:trHeight w:val="227"/>
        </w:trPr>
        <w:tc>
          <w:tcPr>
            <w:tcW w:w="1934" w:type="dxa"/>
            <w:gridSpan w:val="3"/>
            <w:vAlign w:val="center"/>
          </w:tcPr>
          <w:p w14:paraId="263C031E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56" w:type="dxa"/>
            <w:vAlign w:val="center"/>
          </w:tcPr>
          <w:p w14:paraId="675057C2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1043A0B8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Биолошки факултет, Београд</w:t>
            </w:r>
          </w:p>
        </w:tc>
        <w:tc>
          <w:tcPr>
            <w:tcW w:w="2823" w:type="dxa"/>
            <w:vAlign w:val="center"/>
          </w:tcPr>
          <w:p w14:paraId="0D797442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Магистар биолошких наука</w:t>
            </w:r>
          </w:p>
        </w:tc>
      </w:tr>
      <w:tr w:rsidR="00A66DA8" w:rsidRPr="005E671A" w14:paraId="0D7E42FC" w14:textId="77777777" w:rsidTr="004F27D4">
        <w:trPr>
          <w:trHeight w:val="227"/>
        </w:trPr>
        <w:tc>
          <w:tcPr>
            <w:tcW w:w="1934" w:type="dxa"/>
            <w:gridSpan w:val="3"/>
            <w:vAlign w:val="center"/>
          </w:tcPr>
          <w:p w14:paraId="1B075CEC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6" w:type="dxa"/>
            <w:vAlign w:val="center"/>
          </w:tcPr>
          <w:p w14:paraId="048490EC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140" w:type="dxa"/>
            <w:gridSpan w:val="5"/>
            <w:shd w:val="clear" w:color="auto" w:fill="auto"/>
            <w:vAlign w:val="center"/>
          </w:tcPr>
          <w:p w14:paraId="6CB85046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Биолошки факултет, Београд</w:t>
            </w:r>
          </w:p>
        </w:tc>
        <w:tc>
          <w:tcPr>
            <w:tcW w:w="2823" w:type="dxa"/>
            <w:vAlign w:val="center"/>
          </w:tcPr>
          <w:p w14:paraId="75EC8384" w14:textId="77777777" w:rsidR="00A66DA8" w:rsidRPr="005E671A" w:rsidRDefault="00726DF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Дипломирани молекуларни биолог и физиолог</w:t>
            </w:r>
          </w:p>
        </w:tc>
      </w:tr>
      <w:tr w:rsidR="00A66DA8" w:rsidRPr="005E671A" w14:paraId="09BD2444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3FDC83E8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14:paraId="7C2EDC0E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3824F508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579" w:type="dxa"/>
            <w:gridSpan w:val="7"/>
            <w:vAlign w:val="center"/>
          </w:tcPr>
          <w:p w14:paraId="7CD913D0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ED9FF96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14:paraId="652A078F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2CBCF8A0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579" w:type="dxa"/>
            <w:gridSpan w:val="7"/>
            <w:vAlign w:val="center"/>
          </w:tcPr>
          <w:p w14:paraId="689AEF8F" w14:textId="26EA4ABD" w:rsidR="00A66DA8" w:rsidRPr="005E671A" w:rsidRDefault="000C6E5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  <w:r w:rsidR="00175E66" w:rsidRPr="007D02DB">
              <w:rPr>
                <w:lang w:val="sr-Cyrl-CS"/>
              </w:rPr>
              <w:t>олекуларн</w:t>
            </w:r>
            <w:r>
              <w:rPr>
                <w:lang w:val="sr-Cyrl-CS"/>
              </w:rPr>
              <w:t>а</w:t>
            </w:r>
            <w:r w:rsidR="00175E66" w:rsidRPr="007D02DB">
              <w:rPr>
                <w:lang w:val="sr-Cyrl-CS"/>
              </w:rPr>
              <w:t xml:space="preserve"> биологиј</w:t>
            </w:r>
            <w:r>
              <w:rPr>
                <w:lang w:val="sr-Cyrl-CS"/>
              </w:rPr>
              <w:t>а 1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1AE52E32" w14:textId="77777777" w:rsidR="00A66DA8" w:rsidRPr="005E671A" w:rsidRDefault="00235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14:paraId="41E3CAC8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1870D929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579" w:type="dxa"/>
            <w:gridSpan w:val="7"/>
            <w:vAlign w:val="center"/>
          </w:tcPr>
          <w:p w14:paraId="3C47B610" w14:textId="48E35FCE" w:rsidR="00A66DA8" w:rsidRPr="005E671A" w:rsidRDefault="00175E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D02DB">
              <w:rPr>
                <w:lang w:val="sr-Cyrl-CS"/>
              </w:rPr>
              <w:t xml:space="preserve">Молекуларна биологија </w:t>
            </w:r>
            <w:r w:rsidR="000C6E5D">
              <w:rPr>
                <w:lang w:val="sr-Cyrl-CS"/>
              </w:rPr>
              <w:t>2</w:t>
            </w:r>
            <w:r w:rsidR="004C0B90">
              <w:rPr>
                <w:lang w:val="sr-Cyrl-CS"/>
              </w:rPr>
              <w:t xml:space="preserve"> (</w:t>
            </w:r>
            <w:r w:rsidR="000C6E5D">
              <w:rPr>
                <w:lang w:val="sr-Cyrl-CS"/>
              </w:rPr>
              <w:t>део</w:t>
            </w:r>
            <w:r w:rsidR="004C0B90">
              <w:rPr>
                <w:lang w:val="sr-Cyrl-CS"/>
              </w:rPr>
              <w:t xml:space="preserve"> курса)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620582F" w14:textId="77777777" w:rsidR="00A66DA8" w:rsidRPr="005E671A" w:rsidRDefault="00235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45892" w:rsidRPr="005E671A" w14:paraId="6FC5BCE6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4469549B" w14:textId="28394B40" w:rsidR="00445892" w:rsidRPr="005E671A" w:rsidRDefault="005F7D7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5579" w:type="dxa"/>
            <w:gridSpan w:val="7"/>
            <w:vAlign w:val="center"/>
          </w:tcPr>
          <w:p w14:paraId="17DFA03E" w14:textId="080EB0AF" w:rsidR="00445892" w:rsidRDefault="0044589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Базе података у молекуларној биологији</w:t>
            </w:r>
            <w:r w:rsidR="0076544D">
              <w:rPr>
                <w:lang w:val="sr-Cyrl-CS"/>
              </w:rPr>
              <w:t xml:space="preserve"> (део курса)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79132D82" w14:textId="7C20A834" w:rsidR="00445892" w:rsidRDefault="0044589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EB778B" w:rsidRPr="005E671A" w14:paraId="73573CE2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457CE892" w14:textId="3908A659" w:rsidR="00EB778B" w:rsidRPr="005E671A" w:rsidRDefault="005F7D7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5579" w:type="dxa"/>
            <w:gridSpan w:val="7"/>
            <w:vAlign w:val="center"/>
          </w:tcPr>
          <w:p w14:paraId="63F2F0D2" w14:textId="07C0C3E1" w:rsidR="00EB778B" w:rsidRPr="00EB778B" w:rsidRDefault="00EB778B" w:rsidP="00F23C08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Практикум из биохемије и молекуларне биологије (део курса)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7A0D8293" w14:textId="7A8ED817" w:rsidR="00EB778B" w:rsidRDefault="00EB778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14:paraId="57723897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5AE72DFA" w14:textId="5C0F0425" w:rsidR="00A66DA8" w:rsidRPr="005E671A" w:rsidRDefault="005F7D7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579" w:type="dxa"/>
            <w:gridSpan w:val="7"/>
            <w:vAlign w:val="center"/>
          </w:tcPr>
          <w:p w14:paraId="71DBA90F" w14:textId="66FF5336" w:rsidR="00A66DA8" w:rsidRPr="005E671A" w:rsidRDefault="004C0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 хране и исхране (</w:t>
            </w:r>
            <w:r w:rsidR="000C6E5D">
              <w:rPr>
                <w:lang w:val="sr-Cyrl-CS"/>
              </w:rPr>
              <w:t>део</w:t>
            </w:r>
            <w:r>
              <w:rPr>
                <w:lang w:val="sr-Cyrl-CS"/>
              </w:rPr>
              <w:t xml:space="preserve"> курса)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12F18B1B" w14:textId="79AB1C3F" w:rsidR="00A66DA8" w:rsidRPr="005E671A" w:rsidRDefault="00235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  <w:r w:rsidR="00EB778B">
              <w:rPr>
                <w:lang w:val="sr-Cyrl-CS"/>
              </w:rPr>
              <w:t>/Основне студије</w:t>
            </w:r>
          </w:p>
        </w:tc>
      </w:tr>
      <w:tr w:rsidR="00A66DA8" w:rsidRPr="005E671A" w14:paraId="143E4FB4" w14:textId="77777777" w:rsidTr="000D65B2">
        <w:trPr>
          <w:trHeight w:val="227"/>
        </w:trPr>
        <w:tc>
          <w:tcPr>
            <w:tcW w:w="811" w:type="dxa"/>
            <w:vAlign w:val="center"/>
          </w:tcPr>
          <w:p w14:paraId="181F5DB3" w14:textId="07F7F482" w:rsidR="00A66DA8" w:rsidRPr="005E671A" w:rsidRDefault="005F7D7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235356">
              <w:rPr>
                <w:lang w:val="sr-Cyrl-CS"/>
              </w:rPr>
              <w:t>.</w:t>
            </w:r>
          </w:p>
        </w:tc>
        <w:tc>
          <w:tcPr>
            <w:tcW w:w="5579" w:type="dxa"/>
            <w:gridSpan w:val="7"/>
            <w:vAlign w:val="center"/>
          </w:tcPr>
          <w:p w14:paraId="065A61A4" w14:textId="5866ECAA" w:rsidR="00A66DA8" w:rsidRPr="005E671A" w:rsidRDefault="00235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Механизми ћелијског одговра на стрес</w:t>
            </w:r>
            <w:r w:rsidR="000D65B2">
              <w:rPr>
                <w:lang w:val="sr-Cyrl-CS"/>
              </w:rPr>
              <w:t xml:space="preserve"> (део курса)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54607A3D" w14:textId="77777777" w:rsidR="00A66DA8" w:rsidRPr="005E671A" w:rsidRDefault="00235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14:paraId="32B7B550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35846231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14:paraId="1C32F962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4CB38ACA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1EE04139" w14:textId="100312EE" w:rsidR="00A66DA8" w:rsidRPr="005005D1" w:rsidRDefault="00B3226D" w:rsidP="00B3226D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3226D">
              <w:rPr>
                <w:sz w:val="16"/>
                <w:szCs w:val="16"/>
                <w:lang w:val="sr-Cyrl-CS"/>
              </w:rPr>
              <w:t>Purać, J., Čelić, T.V., Vukašinović, E.L., Đorđievski, S., Milić, S., Ninkov, J., Kojić, D.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B3226D">
              <w:rPr>
                <w:sz w:val="16"/>
                <w:szCs w:val="16"/>
                <w:lang w:val="sr-Cyrl-CS"/>
              </w:rPr>
              <w:t>Identification of a metallothionein gene and the role of biological thiols in stress induced by short-term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B3226D">
              <w:rPr>
                <w:sz w:val="16"/>
                <w:szCs w:val="16"/>
                <w:lang w:val="sr-Cyrl-CS"/>
              </w:rPr>
              <w:t>Cd exposure in Ostrinia nubilalis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B3226D">
              <w:rPr>
                <w:sz w:val="16"/>
                <w:szCs w:val="16"/>
                <w:lang w:val="sr-Cyrl-CS"/>
              </w:rPr>
              <w:t>(2021) Comparative Biochemistry and Physiology Part - C: Toxicology and Pharmacology, 250, art.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B3226D">
              <w:rPr>
                <w:sz w:val="16"/>
                <w:szCs w:val="16"/>
                <w:lang w:val="sr-Cyrl-CS"/>
              </w:rPr>
              <w:t>no. 109148, .</w:t>
            </w:r>
          </w:p>
        </w:tc>
      </w:tr>
      <w:tr w:rsidR="00A66DA8" w:rsidRPr="005E671A" w14:paraId="2B477D3C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6A95D7A0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117E09B7" w14:textId="3E0F90F5" w:rsidR="00A66DA8" w:rsidRPr="005005D1" w:rsidRDefault="00287504" w:rsidP="00287504">
            <w:pPr>
              <w:widowControl/>
              <w:rPr>
                <w:bCs/>
                <w:sz w:val="16"/>
                <w:szCs w:val="16"/>
              </w:rPr>
            </w:pPr>
            <w:r w:rsidRPr="00287504">
              <w:rPr>
                <w:bCs/>
                <w:sz w:val="16"/>
                <w:szCs w:val="16"/>
              </w:rPr>
              <w:t>Zanini, D., Todorovic, N., Korovljev, D., Stajer, V., Ostojic, J., Purac, J., Kojic, D., Vukasinovic, E.,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Djordjievski, S., Sopic, M., Guzonjic, A., Ninic, A., Erceg, S., Ostojic, S.M.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The effects of 6-month hydrogen-rich water intake on molecular and phenotypic biomarkers of aging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in older adults aged 70 years and over: A randomized controlled pilot trial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(2021) Experimental Gerontology, 155, art. no. 111574.</w:t>
            </w:r>
          </w:p>
        </w:tc>
      </w:tr>
      <w:tr w:rsidR="00A66DA8" w:rsidRPr="005E671A" w14:paraId="53F61E28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709C32C6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3354B6D0" w14:textId="41915C58" w:rsidR="00A66DA8" w:rsidRPr="005005D1" w:rsidRDefault="00287504" w:rsidP="00287504">
            <w:pPr>
              <w:widowControl/>
              <w:rPr>
                <w:bCs/>
                <w:sz w:val="16"/>
                <w:szCs w:val="16"/>
              </w:rPr>
            </w:pPr>
            <w:r w:rsidRPr="00287504">
              <w:rPr>
                <w:bCs/>
                <w:sz w:val="16"/>
                <w:szCs w:val="16"/>
              </w:rPr>
              <w:t>Vukašinović, E., Čelić, T., Purać, J., Pihler, I., Kojić, D., Blagojević, D.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Ex Vivo Effect of Ibogaine on the Transcriptional Level of Antioxidant Defense Related Genes in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Honey Bee (Apis mellifera, L.) Midgut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(2021) Brazilian Archives of Biology and Technology, 64, art. no. e21200773.</w:t>
            </w:r>
          </w:p>
        </w:tc>
      </w:tr>
      <w:tr w:rsidR="00A66DA8" w:rsidRPr="005E671A" w14:paraId="60AB766B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23EFC125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3FD16F66" w14:textId="501FCC18" w:rsidR="00A66DA8" w:rsidRPr="005005D1" w:rsidRDefault="00287504" w:rsidP="002875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87504">
              <w:rPr>
                <w:sz w:val="16"/>
                <w:szCs w:val="16"/>
                <w:lang w:val="sr-Cyrl-CS"/>
              </w:rPr>
              <w:t>Ilijević, K., Vujanović, D., Orčić, S., Purać, J., Kojić, D., Zarić, N., Gržetić, I., Blagojević, D.P., Čelić,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T.V.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Anthropogenic influence on seasonal and spatial variation in bioelements and non-essential elements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in honeybees and their hemolymph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(2021) Comparative Biochemistry and Physiology Part - C: Toxicology and Pharmacology, 239, art.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no. 108852.</w:t>
            </w:r>
          </w:p>
        </w:tc>
      </w:tr>
      <w:tr w:rsidR="00A66DA8" w:rsidRPr="005E671A" w14:paraId="2C76A27E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2CEAC2F6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454613E9" w14:textId="52D49F32" w:rsidR="00A66DA8" w:rsidRPr="005005D1" w:rsidRDefault="00287504" w:rsidP="0028750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287504">
              <w:rPr>
                <w:sz w:val="16"/>
                <w:szCs w:val="16"/>
              </w:rPr>
              <w:t>Uzelac, I., Avramov, M., Čelić, T., Vukašinović, E., Gošić-Dondo, S., Purać, J., Kojić, D., Blagojević,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D., Popović, Ž.D.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Effect of Cold Acclimation on Selected Metabolic Enzymes During Diapause in The European Corn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Borer Ostrinia nubilalis (Hbn.)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(2020) Scientific Reports, 10 (1), art. no. 9085.</w:t>
            </w:r>
          </w:p>
        </w:tc>
      </w:tr>
      <w:tr w:rsidR="00A66DA8" w:rsidRPr="005E671A" w14:paraId="05E5DCB2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5E44953C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081E1A5B" w14:textId="1592798B" w:rsidR="00A66DA8" w:rsidRPr="005005D1" w:rsidRDefault="00287504" w:rsidP="0028750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287504">
              <w:rPr>
                <w:sz w:val="16"/>
                <w:szCs w:val="16"/>
              </w:rPr>
              <w:t>Vukašinović, E.L., Čelić, T.V., Kojić, D., Franeta, F., Milić, S., Ninkov, J., Blagojević, D., Purać, J.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The effect of long term exposure to cadmium on Ostrinia nubilalis growth, development, survival rate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and oxidative status</w:t>
            </w:r>
            <w:r w:rsidR="00A57554">
              <w:rPr>
                <w:sz w:val="16"/>
                <w:szCs w:val="16"/>
              </w:rPr>
              <w:t xml:space="preserve"> </w:t>
            </w:r>
            <w:r w:rsidRPr="00287504">
              <w:rPr>
                <w:sz w:val="16"/>
                <w:szCs w:val="16"/>
              </w:rPr>
              <w:t>(2020) Chemosphere, 243, art. no. 125375.</w:t>
            </w:r>
          </w:p>
        </w:tc>
      </w:tr>
      <w:tr w:rsidR="00A66DA8" w:rsidRPr="005E671A" w14:paraId="247074D2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5E503EA7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47806A07" w14:textId="4757F322" w:rsidR="00A66DA8" w:rsidRPr="005005D1" w:rsidRDefault="00287504" w:rsidP="00287504">
            <w:pPr>
              <w:widowControl/>
              <w:rPr>
                <w:bCs/>
                <w:sz w:val="16"/>
                <w:szCs w:val="16"/>
              </w:rPr>
            </w:pPr>
            <w:r w:rsidRPr="00287504">
              <w:rPr>
                <w:bCs/>
                <w:sz w:val="16"/>
                <w:szCs w:val="16"/>
              </w:rPr>
              <w:t>Kojić, D., Purać, J., Čelić, T.V., Jović, D., Vukašinović, E.L., Pihler, I., Borišev, I., Djordjevic, A.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Effect of fullerenol nanoparticles on oxidative stress induced by paraquat in honey bees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(2020) Environmental Science and Pollution Research, 27 (6), pp. 6603-6612.</w:t>
            </w:r>
          </w:p>
        </w:tc>
      </w:tr>
      <w:tr w:rsidR="00A66DA8" w:rsidRPr="005E671A" w14:paraId="222DD72D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093E73CF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3BED85AB" w14:textId="243923BE" w:rsidR="00A66DA8" w:rsidRPr="005005D1" w:rsidRDefault="00287504" w:rsidP="00287504">
            <w:pPr>
              <w:widowControl/>
              <w:rPr>
                <w:bCs/>
                <w:sz w:val="16"/>
                <w:szCs w:val="16"/>
              </w:rPr>
            </w:pPr>
            <w:r w:rsidRPr="00287504">
              <w:rPr>
                <w:bCs/>
                <w:sz w:val="16"/>
                <w:szCs w:val="16"/>
              </w:rPr>
              <w:t>Kojić, D.K., Purać, J.S., Nikolić, T.V., Orčić, S.M., Vujanović, D., Ilijević, K., Vukašinović, E.L.,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Blagojević, D.P.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Oxidative stress and the activity of antioxidative defense enzymes in overwintering honey bees</w:t>
            </w:r>
            <w:r w:rsidR="00A57554">
              <w:rPr>
                <w:bCs/>
                <w:sz w:val="16"/>
                <w:szCs w:val="16"/>
              </w:rPr>
              <w:t xml:space="preserve"> </w:t>
            </w:r>
            <w:r w:rsidRPr="00287504">
              <w:rPr>
                <w:bCs/>
                <w:sz w:val="16"/>
                <w:szCs w:val="16"/>
              </w:rPr>
              <w:t>(2019) Entomologia Generalis, 39 (1), pp. 33-44.</w:t>
            </w:r>
          </w:p>
        </w:tc>
      </w:tr>
      <w:tr w:rsidR="00A66DA8" w:rsidRPr="005E671A" w14:paraId="31FB7375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53A49BF5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6CFFF233" w14:textId="129703AB" w:rsidR="00A66DA8" w:rsidRPr="005005D1" w:rsidRDefault="00287504" w:rsidP="002875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87504">
              <w:rPr>
                <w:sz w:val="16"/>
                <w:szCs w:val="16"/>
                <w:lang w:val="sr-Cyrl-CS"/>
              </w:rPr>
              <w:t>Nikolić, T.V., Kojić, D., Orčić, S., Vukašinović, E.L., Blagojević, D.P., Purać, J.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Laboratory bioassays on the response of honey bee (Apis mellifera L.) glutathione S-transferase and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acetylcholinesterase to the oral exposure to copper, cadmium, and lead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(2019) Environmental Science and Pollution Research, 26 (7), pp. 6890-6897.</w:t>
            </w:r>
          </w:p>
        </w:tc>
      </w:tr>
      <w:tr w:rsidR="00A66DA8" w:rsidRPr="005E671A" w14:paraId="7D7E7D55" w14:textId="77777777" w:rsidTr="00726DF4">
        <w:trPr>
          <w:trHeight w:val="227"/>
        </w:trPr>
        <w:tc>
          <w:tcPr>
            <w:tcW w:w="1161" w:type="dxa"/>
            <w:gridSpan w:val="2"/>
            <w:vAlign w:val="center"/>
          </w:tcPr>
          <w:p w14:paraId="16891CC2" w14:textId="77777777"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14:paraId="2520FC5F" w14:textId="7CF3DC59" w:rsidR="00A66DA8" w:rsidRPr="005005D1" w:rsidRDefault="00287504" w:rsidP="002875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287504">
              <w:rPr>
                <w:sz w:val="16"/>
                <w:szCs w:val="16"/>
                <w:lang w:val="sr-Cyrl-CS"/>
              </w:rPr>
              <w:t>Purać, J., Nikolić, T.V., Kojić, D., Ćelić, A.S., Plavša, J.J., Blagojević, D.P., Petri, E.T.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Identification of a metallothionein gene in honey bee Apis mellifera and its expression profile in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response to Cd, Cu and Pb exposure</w:t>
            </w:r>
            <w:r w:rsidR="00A57554">
              <w:rPr>
                <w:sz w:val="16"/>
                <w:szCs w:val="16"/>
                <w:lang w:val="en-US"/>
              </w:rPr>
              <w:t xml:space="preserve"> </w:t>
            </w:r>
            <w:r w:rsidRPr="00287504">
              <w:rPr>
                <w:sz w:val="16"/>
                <w:szCs w:val="16"/>
                <w:lang w:val="sr-Cyrl-CS"/>
              </w:rPr>
              <w:t>(2019) Molecular Ecology, 28 (4), pp. 731-745.</w:t>
            </w:r>
          </w:p>
        </w:tc>
      </w:tr>
      <w:tr w:rsidR="00A66DA8" w:rsidRPr="005E671A" w14:paraId="7364218C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789B2840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14:paraId="76F2884D" w14:textId="77777777" w:rsidTr="00726DF4">
        <w:trPr>
          <w:trHeight w:val="227"/>
        </w:trPr>
        <w:tc>
          <w:tcPr>
            <w:tcW w:w="4036" w:type="dxa"/>
            <w:gridSpan w:val="5"/>
            <w:vAlign w:val="center"/>
          </w:tcPr>
          <w:p w14:paraId="6367F344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14:paraId="25EC57D7" w14:textId="792F25BC" w:rsidR="00A66DA8" w:rsidRPr="001F59D3" w:rsidRDefault="001F59D3" w:rsidP="00F23C08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t>307 (</w:t>
            </w:r>
            <w:r>
              <w:rPr>
                <w:lang w:val="sr-Cyrl-RS"/>
              </w:rPr>
              <w:t>без аутоцитата</w:t>
            </w:r>
            <w:r>
              <w:t>)</w:t>
            </w:r>
            <w:r>
              <w:rPr>
                <w:lang w:val="sr-Cyrl-RS"/>
              </w:rPr>
              <w:t xml:space="preserve"> (4.4.2022.)</w:t>
            </w:r>
          </w:p>
        </w:tc>
      </w:tr>
      <w:tr w:rsidR="00A66DA8" w:rsidRPr="005E671A" w14:paraId="56BB590B" w14:textId="77777777" w:rsidTr="00726DF4">
        <w:trPr>
          <w:trHeight w:val="227"/>
        </w:trPr>
        <w:tc>
          <w:tcPr>
            <w:tcW w:w="4036" w:type="dxa"/>
            <w:gridSpan w:val="5"/>
            <w:vAlign w:val="center"/>
          </w:tcPr>
          <w:p w14:paraId="5163F0D3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14:paraId="021ABC6D" w14:textId="04AB9C98" w:rsidR="00A66DA8" w:rsidRPr="00396CB1" w:rsidRDefault="00396CB1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27 (</w:t>
            </w:r>
            <w:r w:rsidR="001F59D3">
              <w:rPr>
                <w:lang w:val="sr-Cyrl-RS"/>
              </w:rPr>
              <w:t>4</w:t>
            </w:r>
            <w:r>
              <w:rPr>
                <w:lang w:val="en-US"/>
              </w:rPr>
              <w:t>.4.2022.)</w:t>
            </w:r>
          </w:p>
        </w:tc>
      </w:tr>
      <w:tr w:rsidR="00A66DA8" w:rsidRPr="005E671A" w14:paraId="601FDB12" w14:textId="77777777" w:rsidTr="00726DF4">
        <w:trPr>
          <w:trHeight w:val="227"/>
        </w:trPr>
        <w:tc>
          <w:tcPr>
            <w:tcW w:w="4036" w:type="dxa"/>
            <w:gridSpan w:val="5"/>
            <w:vAlign w:val="center"/>
          </w:tcPr>
          <w:p w14:paraId="6C53E4B8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14:paraId="697A62FF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706FA1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14:paraId="1734D018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14:paraId="3E90E589" w14:textId="77777777" w:rsidTr="00726DF4">
        <w:trPr>
          <w:trHeight w:val="227"/>
        </w:trPr>
        <w:tc>
          <w:tcPr>
            <w:tcW w:w="1934" w:type="dxa"/>
            <w:gridSpan w:val="3"/>
            <w:vAlign w:val="center"/>
          </w:tcPr>
          <w:p w14:paraId="41241DC7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14:paraId="219725C6" w14:textId="77777777" w:rsidR="00A66DA8" w:rsidRPr="005E671A" w:rsidRDefault="000F1CF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F1CF5">
              <w:rPr>
                <w:lang w:val="en-US"/>
              </w:rPr>
              <w:t xml:space="preserve">British Antarctic Survey, Cambridge, UK, FP6-2003-NEST-B-1 </w:t>
            </w:r>
            <w:r w:rsidRPr="000F1CF5">
              <w:rPr>
                <w:lang w:val="sr-Cyrl-CS"/>
              </w:rPr>
              <w:t>пројекат, септ. 2005- дец. 200</w:t>
            </w:r>
            <w:r w:rsidRPr="000F1CF5">
              <w:rPr>
                <w:lang w:val="en-US"/>
              </w:rPr>
              <w:t>7</w:t>
            </w:r>
          </w:p>
        </w:tc>
      </w:tr>
      <w:tr w:rsidR="00A66DA8" w:rsidRPr="005E671A" w14:paraId="5E8D9BB2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57C292FB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A66DA8" w:rsidRPr="005E671A" w14:paraId="469589A9" w14:textId="77777777" w:rsidTr="00726DF4">
        <w:trPr>
          <w:trHeight w:val="227"/>
        </w:trPr>
        <w:tc>
          <w:tcPr>
            <w:tcW w:w="9753" w:type="dxa"/>
            <w:gridSpan w:val="10"/>
            <w:vAlign w:val="center"/>
          </w:tcPr>
          <w:p w14:paraId="799AE6CF" w14:textId="77777777"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1CEF8F9" w14:textId="77777777"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7A6414"/>
    <w:multiLevelType w:val="hybridMultilevel"/>
    <w:tmpl w:val="E1448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96E5D"/>
    <w:multiLevelType w:val="hybridMultilevel"/>
    <w:tmpl w:val="765E6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226215">
    <w:abstractNumId w:val="0"/>
  </w:num>
  <w:num w:numId="2" w16cid:durableId="1040857236">
    <w:abstractNumId w:val="2"/>
  </w:num>
  <w:num w:numId="3" w16cid:durableId="124448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A8"/>
    <w:rsid w:val="00006B89"/>
    <w:rsid w:val="000C6E5D"/>
    <w:rsid w:val="000D65B2"/>
    <w:rsid w:val="000F1CF5"/>
    <w:rsid w:val="0011797A"/>
    <w:rsid w:val="00173DA5"/>
    <w:rsid w:val="00175E66"/>
    <w:rsid w:val="001F59D3"/>
    <w:rsid w:val="00235356"/>
    <w:rsid w:val="00287504"/>
    <w:rsid w:val="002E1754"/>
    <w:rsid w:val="00321E17"/>
    <w:rsid w:val="00365916"/>
    <w:rsid w:val="00396CB1"/>
    <w:rsid w:val="003C7C0B"/>
    <w:rsid w:val="00445892"/>
    <w:rsid w:val="004B27D8"/>
    <w:rsid w:val="004C0B90"/>
    <w:rsid w:val="004E7A7C"/>
    <w:rsid w:val="004F27D4"/>
    <w:rsid w:val="005005D1"/>
    <w:rsid w:val="005A1D49"/>
    <w:rsid w:val="005F7D76"/>
    <w:rsid w:val="00636D8F"/>
    <w:rsid w:val="00640AAC"/>
    <w:rsid w:val="00706FA1"/>
    <w:rsid w:val="00707C32"/>
    <w:rsid w:val="00726DF4"/>
    <w:rsid w:val="0076544D"/>
    <w:rsid w:val="0078187B"/>
    <w:rsid w:val="00792795"/>
    <w:rsid w:val="008A6B5E"/>
    <w:rsid w:val="008C0181"/>
    <w:rsid w:val="0093307F"/>
    <w:rsid w:val="00940601"/>
    <w:rsid w:val="00954475"/>
    <w:rsid w:val="00A57554"/>
    <w:rsid w:val="00A66DA8"/>
    <w:rsid w:val="00B3226D"/>
    <w:rsid w:val="00DF4A41"/>
    <w:rsid w:val="00E56E2E"/>
    <w:rsid w:val="00E65999"/>
    <w:rsid w:val="00EB778B"/>
    <w:rsid w:val="00FD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C4425"/>
  <w15:docId w15:val="{B416E0E0-BE36-4672-8627-CC020657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Jelena Purać</cp:lastModifiedBy>
  <cp:revision>32</cp:revision>
  <dcterms:created xsi:type="dcterms:W3CDTF">2017-01-30T10:57:00Z</dcterms:created>
  <dcterms:modified xsi:type="dcterms:W3CDTF">2022-04-28T11:09:00Z</dcterms:modified>
</cp:coreProperties>
</file>