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tbl>
      <w:tblPr>
        <w:tblStyle w:val="Table1"/>
        <w:tblW w:w="9855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26"/>
        <w:gridCol w:w="352"/>
        <w:gridCol w:w="780"/>
        <w:gridCol w:w="144"/>
        <w:gridCol w:w="1012"/>
        <w:gridCol w:w="950"/>
        <w:gridCol w:w="321"/>
        <w:gridCol w:w="1204"/>
        <w:gridCol w:w="561"/>
        <w:gridCol w:w="649"/>
        <w:gridCol w:w="2368"/>
        <w:gridCol w:w="887"/>
      </w:tblGrid>
      <w:tr>
        <w:trPr/>
        <w:tc>
          <w:tcPr>
            <w:tcW w:w="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Име, средње слово, презиме</w:t>
            </w:r>
          </w:p>
        </w:tc>
        <w:tc>
          <w:tcPr>
            <w:tcW w:w="5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Немања</w:t>
            </w:r>
            <w:r>
              <w:rPr>
                <w:position w:val="0"/>
                <w:sz w:val="20"/>
                <w:vertAlign w:val="baseline"/>
              </w:rPr>
              <w:t xml:space="preserve"> </w:t>
            </w:r>
            <w:r>
              <w:rPr>
                <w:position w:val="0"/>
                <w:sz w:val="20"/>
                <w:vertAlign w:val="baseline"/>
              </w:rPr>
              <w:t>Б</w:t>
            </w:r>
            <w:r>
              <w:rPr>
                <w:position w:val="0"/>
                <w:sz w:val="20"/>
                <w:vertAlign w:val="baseline"/>
              </w:rPr>
              <w:t xml:space="preserve">. </w:t>
            </w:r>
            <w:r>
              <w:rPr>
                <w:position w:val="0"/>
                <w:sz w:val="20"/>
                <w:vertAlign w:val="baseline"/>
              </w:rPr>
              <w:t>Милошевић</w:t>
            </w:r>
          </w:p>
        </w:tc>
      </w:tr>
      <w:tr>
        <w:trPr/>
        <w:tc>
          <w:tcPr>
            <w:tcW w:w="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Звање</w:t>
            </w:r>
          </w:p>
        </w:tc>
        <w:tc>
          <w:tcPr>
            <w:tcW w:w="5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Доцент</w:t>
            </w:r>
          </w:p>
        </w:tc>
      </w:tr>
      <w:tr>
        <w:trPr/>
        <w:tc>
          <w:tcPr>
            <w:tcW w:w="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right="629" w:hanging="2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Природно-математички факултет, од ??.0</w:t>
            </w:r>
            <w:r>
              <w:rPr>
                <w:position w:val="0"/>
                <w:sz w:val="20"/>
                <w:vertAlign w:val="baseline"/>
              </w:rPr>
              <w:t>6</w:t>
            </w:r>
            <w:r>
              <w:rPr>
                <w:position w:val="0"/>
                <w:sz w:val="20"/>
                <w:vertAlign w:val="baseline"/>
              </w:rPr>
              <w:t>.20</w:t>
            </w:r>
            <w:r>
              <w:rPr>
                <w:position w:val="0"/>
                <w:sz w:val="20"/>
                <w:vertAlign w:val="baseline"/>
              </w:rPr>
              <w:t>22</w:t>
            </w:r>
            <w:r>
              <w:rPr>
                <w:position w:val="0"/>
                <w:sz w:val="20"/>
                <w:vertAlign w:val="baseline"/>
              </w:rPr>
              <w:t>.</w:t>
            </w:r>
          </w:p>
        </w:tc>
      </w:tr>
      <w:tr>
        <w:trPr/>
        <w:tc>
          <w:tcPr>
            <w:tcW w:w="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Ужа научна односно уметничка област</w:t>
            </w:r>
          </w:p>
        </w:tc>
        <w:tc>
          <w:tcPr>
            <w:tcW w:w="5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Рачунарске науке</w:t>
            </w:r>
          </w:p>
        </w:tc>
      </w:tr>
      <w:tr>
        <w:trPr/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Академска каријера</w:t>
            </w:r>
          </w:p>
        </w:tc>
      </w:tr>
      <w:tr>
        <w:trPr/>
        <w:tc>
          <w:tcPr>
            <w:tcW w:w="1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Година 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Институција 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Област </w:t>
            </w:r>
          </w:p>
        </w:tc>
      </w:tr>
      <w:tr>
        <w:trPr/>
        <w:tc>
          <w:tcPr>
            <w:tcW w:w="1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Избор у звање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2022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ПМФ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Рачунарске науке</w:t>
            </w:r>
          </w:p>
        </w:tc>
      </w:tr>
      <w:tr>
        <w:trPr/>
        <w:tc>
          <w:tcPr>
            <w:tcW w:w="1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Докторат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2021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ПМФ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Рачунарске науке</w:t>
            </w:r>
          </w:p>
        </w:tc>
      </w:tr>
      <w:tr>
        <w:trPr/>
        <w:tc>
          <w:tcPr>
            <w:tcW w:w="1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Специјализација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-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2" w:hanging="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Мастер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2016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ПМФ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Софтверско</w:t>
            </w:r>
            <w:r>
              <w:rPr>
                <w:position w:val="0"/>
                <w:sz w:val="20"/>
                <w:vertAlign w:val="baseline"/>
              </w:rPr>
              <w:t xml:space="preserve"> </w:t>
            </w:r>
            <w:r>
              <w:rPr>
                <w:position w:val="0"/>
                <w:sz w:val="20"/>
                <w:vertAlign w:val="baseline"/>
              </w:rPr>
              <w:t>инжењерство</w:t>
            </w:r>
          </w:p>
        </w:tc>
      </w:tr>
      <w:tr>
        <w:trPr/>
        <w:tc>
          <w:tcPr>
            <w:tcW w:w="1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Диплома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14" w:hanging="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2014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ПМФ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Информациони системи</w:t>
            </w:r>
          </w:p>
        </w:tc>
      </w:tr>
      <w:tr>
        <w:trPr/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Списак предмета које наставник држи на студијама првог и другог нивоа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  <w:tc>
          <w:tcPr>
            <w:tcW w:w="4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назив предмета   </w:t>
            </w:r>
          </w:p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  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Назив студијског програма, врста студја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Часова активне наставе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1.</w:t>
            </w:r>
          </w:p>
        </w:tc>
        <w:tc>
          <w:tcPr>
            <w:tcW w:w="4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2" w:hanging="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Базе података 1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/>
              <w:t>ОАС Информационе техн.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2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2.</w:t>
            </w:r>
          </w:p>
        </w:tc>
        <w:tc>
          <w:tcPr>
            <w:tcW w:w="4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2" w:hanging="0"/>
              <w:rPr>
                <w:position w:val="0"/>
                <w:sz w:val="20"/>
                <w:vertAlign w:val="baseline"/>
              </w:rPr>
            </w:pPr>
            <w:r>
              <w:rPr/>
              <w:t>Вештачка интелигенција 1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/>
              <w:t>ОАС Информационе техн.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/>
              <w:t>2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3.</w:t>
            </w:r>
          </w:p>
        </w:tc>
        <w:tc>
          <w:tcPr>
            <w:tcW w:w="4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2" w:hanging="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Рачунарске мреже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/>
              <w:t>ОАС Информационе техн.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3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4.</w:t>
            </w:r>
          </w:p>
        </w:tc>
        <w:tc>
          <w:tcPr>
            <w:tcW w:w="4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2" w:hanging="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Развој пословних система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0" w:right="0" w:hanging="0"/>
              <w:rPr>
                <w:position w:val="0"/>
                <w:sz w:val="20"/>
                <w:vertAlign w:val="baseline"/>
              </w:rPr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Мастер академске студије, Рачунарске науке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3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5.</w:t>
            </w:r>
          </w:p>
        </w:tc>
        <w:tc>
          <w:tcPr>
            <w:tcW w:w="4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0" w:right="0" w:hanging="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Програмирање у науци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0" w:right="0" w:hanging="0"/>
              <w:rPr>
                <w:position w:val="0"/>
                <w:sz w:val="20"/>
                <w:vertAlign w:val="baseline"/>
              </w:rPr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Mастер академске студије 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биологија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ind w:left="0" w:right="0" w:hanging="0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2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6.</w:t>
            </w:r>
          </w:p>
        </w:tc>
        <w:tc>
          <w:tcPr>
            <w:tcW w:w="4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6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Дубоко учење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 xml:space="preserve">Mастер академске студије </w:t>
            </w:r>
            <w:r>
              <w:rPr>
                <w:rFonts w:eastAsia="Times New Roman" w:cs="Times New Roman"/>
                <w:i w:val="false"/>
                <w:color w:val="000000"/>
                <w:position w:val="0"/>
                <w:sz w:val="20"/>
                <w:sz w:val="20"/>
                <w:szCs w:val="20"/>
                <w:u w:val="none"/>
                <w:vertAlign w:val="baseline"/>
              </w:rPr>
              <w:t>вештачка интелигенција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/>
              <w:t>2</w:t>
            </w:r>
          </w:p>
        </w:tc>
      </w:tr>
      <w:tr>
        <w:trPr/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>Репрезентативне референце (минимално 5 не више од 10)</w:t>
            </w:r>
          </w:p>
        </w:tc>
      </w:tr>
      <w:tr>
        <w:trPr/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1.</w:t>
            </w:r>
          </w:p>
        </w:tc>
        <w:tc>
          <w:tcPr>
            <w:tcW w:w="8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spacing w:lineRule="auto" w:line="240" w:before="120" w:after="120"/>
              <w:ind w:left="0" w:hanging="0"/>
              <w:jc w:val="both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Milošević, N., &amp; Racković, M. (2019). Classification based on missing features in deep convolutional neural networks. Neural Network World, 29(4), 221-234.</w:t>
            </w:r>
          </w:p>
        </w:tc>
      </w:tr>
      <w:tr>
        <w:trPr/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2.</w:t>
            </w:r>
          </w:p>
        </w:tc>
        <w:tc>
          <w:tcPr>
            <w:tcW w:w="8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spacing w:lineRule="auto" w:line="240" w:before="120" w:after="120"/>
              <w:ind w:left="0" w:hanging="0"/>
              <w:jc w:val="both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>Milošević, N., &amp; Racković, M. (2021). Synergy between traditional classification and classification based on negative features in deep convolutional neural networks. Neural Computing and Applications, 33(13), 7593-7602.</w:t>
            </w:r>
          </w:p>
        </w:tc>
      </w:tr>
      <w:tr>
        <w:trPr/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3.</w:t>
            </w:r>
          </w:p>
        </w:tc>
        <w:tc>
          <w:tcPr>
            <w:tcW w:w="8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auto"/>
              <w:spacing w:lineRule="auto" w:line="240" w:before="120" w:after="120"/>
              <w:ind w:left="0" w:hanging="0"/>
              <w:jc w:val="both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Arapakis, I., Becerra, Y., Boehm, O., Bravos, G., Chatzigiannakis, V., Cugnasco, C., ... &amp; Vinov, M. (2019, July). Towards specification of a software architecture for cross-sectoral big data applications. In </w:t>
            </w:r>
            <w:r>
              <w:rPr>
                <w:i/>
                <w:position w:val="0"/>
                <w:sz w:val="20"/>
                <w:vertAlign w:val="baseline"/>
              </w:rPr>
              <w:t>2019 IEEE World Congress on Services (SERVICES)</w:t>
            </w:r>
            <w:r>
              <w:rPr>
                <w:position w:val="0"/>
                <w:sz w:val="20"/>
                <w:vertAlign w:val="baseline"/>
              </w:rPr>
              <w:t xml:space="preserve"> (Vol. 2642, pp. 394-395). IEEE.</w:t>
            </w:r>
          </w:p>
        </w:tc>
      </w:tr>
      <w:tr>
        <w:trPr/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4.</w:t>
            </w:r>
          </w:p>
        </w:tc>
        <w:tc>
          <w:tcPr>
            <w:tcW w:w="8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auto"/>
              <w:spacing w:lineRule="auto" w:line="240" w:before="120" w:after="120"/>
              <w:jc w:val="both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Alexopoulos, A., Becerra, Y., Boehm, O., Bravos, G., Chatzigiannakis, V., Cugnasco, C., ... &amp; Vinov, M. (2022). Big Data Analytics in the Manufacturing Sector: Guidelines and Lessons Learned Through the Centro Ricerche FIAT (CRF) Case. In </w:t>
            </w:r>
            <w:r>
              <w:rPr>
                <w:i/>
                <w:position w:val="0"/>
                <w:sz w:val="20"/>
                <w:vertAlign w:val="baseline"/>
              </w:rPr>
              <w:t>Technologies and Applications for Big Data Value</w:t>
            </w:r>
            <w:r>
              <w:rPr>
                <w:position w:val="0"/>
                <w:sz w:val="20"/>
                <w:vertAlign w:val="baseline"/>
              </w:rPr>
              <w:t xml:space="preserve"> (pp. 321-344). Springer, Cham.</w:t>
            </w:r>
          </w:p>
        </w:tc>
      </w:tr>
      <w:tr>
        <w:trPr/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bookmarkStart w:id="0" w:name="_gjdgxs"/>
            <w:bookmarkEnd w:id="0"/>
            <w:r>
              <w:rPr>
                <w:position w:val="0"/>
                <w:sz w:val="22"/>
                <w:sz w:val="22"/>
                <w:szCs w:val="22"/>
                <w:vertAlign w:val="baseline"/>
              </w:rPr>
              <w:t>5.</w:t>
            </w:r>
          </w:p>
        </w:tc>
        <w:tc>
          <w:tcPr>
            <w:tcW w:w="88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auto"/>
              <w:spacing w:lineRule="auto" w:line="240" w:before="120" w:after="120"/>
              <w:jc w:val="both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  <w:t xml:space="preserve">SUKUR, N., MILOŠEVIĆ, N., PEŠIĆ, S., Kolek, J., RAKIĆ, G., &amp; Budimac, Z. (2016). First Results of WCET Estimation in SSQSA Framework. In </w:t>
            </w:r>
            <w:r>
              <w:rPr>
                <w:i/>
                <w:position w:val="0"/>
                <w:sz w:val="20"/>
                <w:vertAlign w:val="baseline"/>
              </w:rPr>
              <w:t>Fifth Workshop on Software Quality Analysis, Monitoring, Improvement, and Applications SQAMIA 2016</w:t>
            </w:r>
            <w:r>
              <w:rPr>
                <w:position w:val="0"/>
                <w:sz w:val="20"/>
                <w:vertAlign w:val="baseline"/>
              </w:rPr>
              <w:t xml:space="preserve"> (p. 81).</w:t>
            </w:r>
          </w:p>
        </w:tc>
      </w:tr>
      <w:tr>
        <w:trPr/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b/>
                <w:position w:val="0"/>
                <w:sz w:val="22"/>
                <w:sz w:val="22"/>
                <w:szCs w:val="22"/>
                <w:vertAlign w:val="baseline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/>
        <w:tc>
          <w:tcPr>
            <w:tcW w:w="38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Укупан број цитата</w:t>
            </w:r>
          </w:p>
        </w:tc>
        <w:tc>
          <w:tcPr>
            <w:tcW w:w="5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15</w:t>
            </w:r>
          </w:p>
        </w:tc>
      </w:tr>
      <w:tr>
        <w:trPr/>
        <w:tc>
          <w:tcPr>
            <w:tcW w:w="38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Укупан број радова са SCI (SSCI) листе</w:t>
            </w:r>
          </w:p>
        </w:tc>
        <w:tc>
          <w:tcPr>
            <w:tcW w:w="5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>
        <w:trPr/>
        <w:tc>
          <w:tcPr>
            <w:tcW w:w="38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Тренутно учешће на пројектима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Домаћи  2</w:t>
            </w:r>
          </w:p>
        </w:tc>
        <w:tc>
          <w:tcPr>
            <w:tcW w:w="3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Међународни   </w:t>
            </w: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3</w:t>
            </w:r>
          </w:p>
        </w:tc>
      </w:tr>
      <w:tr>
        <w:trPr/>
        <w:tc>
          <w:tcPr>
            <w:tcW w:w="1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 xml:space="preserve">Усавршавања </w:t>
            </w:r>
          </w:p>
        </w:tc>
        <w:tc>
          <w:tcPr>
            <w:tcW w:w="80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auto"/>
              <w:rPr>
                <w:position w:val="0"/>
                <w:sz w:val="20"/>
                <w:vertAlign w:val="baseline"/>
              </w:rPr>
            </w:pPr>
            <w:r>
              <w:rPr>
                <w:position w:val="0"/>
                <w:sz w:val="22"/>
                <w:sz w:val="22"/>
                <w:szCs w:val="22"/>
                <w:vertAlign w:val="baseline"/>
              </w:rPr>
              <w:t>Други подаци које сматрате релевантним</w:t>
            </w:r>
          </w:p>
        </w:tc>
      </w:tr>
    </w:tbl>
    <w:p>
      <w:pPr>
        <w:pStyle w:val="Normal1"/>
        <w:pageBreakBefore w:val="false"/>
        <w:shd w:val="clear" w:fill="auto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 CJK SC" w:cs="Lohit Devanagari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0"/>
      <w:szCs w:val="20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480" w:after="12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360" w:after="8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280" w:after="8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8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24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22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200" w:after="4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20"/>
      <w:sz w:val="20"/>
      <w:szCs w:val="20"/>
      <w:u w:val="none"/>
      <w:shd w:fill="auto" w:val="clear"/>
      <w:vertAlign w:val="baseli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Normal1" w:default="1">
    <w:name w:val="LO-normal"/>
    <w:qFormat/>
    <w:pPr>
      <w:widowControl w:val="fals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0"/>
      <w:szCs w:val="20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480" w:after="120"/>
      <w:ind w:left="0" w:right="0" w:hanging="0"/>
      <w:jc w:val="left"/>
    </w:pPr>
    <w:rPr>
      <w:rFonts w:ascii="Times New Roman" w:hAnsi="Times New Roman" w:eastAsia="Times New Roman" w:cs="Times New Roman"/>
      <w:b/>
      <w:i w:val="false"/>
      <w:caps w:val="false"/>
      <w:smallCaps w:val="false"/>
      <w:strike w:val="false"/>
      <w:dstrike w:val="false"/>
      <w:color w:val="000000"/>
      <w:position w:val="0"/>
      <w:sz w:val="72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widowControl w:val="false"/>
      <w:pBdr/>
      <w:spacing w:lineRule="auto" w:line="240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LibreOffice/7.2.6.2$Linux_X86_64 LibreOffice_project/20$Build-2</Application>
  <AppVersion>15.0000</AppVersion>
  <Pages>1</Pages>
  <Words>356</Words>
  <Characters>2121</Characters>
  <CharactersWithSpaces>2413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2022-05-16T10:37:59Z</dcterms:modified>
  <cp:revision>1</cp:revision>
  <dc:subject/>
  <dc:title/>
</cp:coreProperties>
</file>