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0"/>
        <w:gridCol w:w="217"/>
        <w:gridCol w:w="398"/>
        <w:gridCol w:w="522"/>
        <w:gridCol w:w="453"/>
        <w:gridCol w:w="184"/>
        <w:gridCol w:w="801"/>
        <w:gridCol w:w="413"/>
        <w:gridCol w:w="216"/>
        <w:gridCol w:w="1121"/>
        <w:gridCol w:w="234"/>
        <w:gridCol w:w="216"/>
        <w:gridCol w:w="1959"/>
        <w:gridCol w:w="216"/>
        <w:gridCol w:w="1428"/>
      </w:tblGrid>
      <w:tr w:rsidR="00CF58EC" w:rsidRPr="00491993" w:rsidTr="00084869">
        <w:trPr>
          <w:trHeight w:val="427"/>
        </w:trPr>
        <w:tc>
          <w:tcPr>
            <w:tcW w:w="37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390" w:type="dxa"/>
            <w:gridSpan w:val="7"/>
            <w:vAlign w:val="center"/>
          </w:tcPr>
          <w:p w:rsidR="000F78F4" w:rsidRPr="00491993" w:rsidRDefault="00463D67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Душанка Цвијановић</w:t>
            </w:r>
          </w:p>
        </w:tc>
      </w:tr>
      <w:tr w:rsidR="00CF58EC" w:rsidRPr="00491993" w:rsidTr="00084869">
        <w:trPr>
          <w:trHeight w:val="427"/>
        </w:trPr>
        <w:tc>
          <w:tcPr>
            <w:tcW w:w="3738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390" w:type="dxa"/>
            <w:gridSpan w:val="7"/>
            <w:vAlign w:val="center"/>
          </w:tcPr>
          <w:p w:rsidR="000F78F4" w:rsidRPr="00491993" w:rsidRDefault="00463D67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CF58EC" w:rsidRPr="00491993" w:rsidTr="00084869">
        <w:trPr>
          <w:trHeight w:val="427"/>
        </w:trPr>
        <w:tc>
          <w:tcPr>
            <w:tcW w:w="3738" w:type="dxa"/>
            <w:gridSpan w:val="8"/>
            <w:vAlign w:val="center"/>
          </w:tcPr>
          <w:p w:rsidR="000F78F4" w:rsidRPr="00491993" w:rsidRDefault="000F78F4" w:rsidP="00EA7C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илинепуним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390" w:type="dxa"/>
            <w:gridSpan w:val="7"/>
            <w:vAlign w:val="center"/>
          </w:tcPr>
          <w:p w:rsidR="000F78F4" w:rsidRPr="009B7C41" w:rsidRDefault="00463D67" w:rsidP="009B7C4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</w:t>
            </w:r>
            <w:r w:rsidR="005E540C">
              <w:rPr>
                <w:rFonts w:ascii="Times New Roman" w:hAnsi="Times New Roman"/>
                <w:sz w:val="20"/>
                <w:szCs w:val="20"/>
                <w:lang w:val="sr-Cyrl-CS"/>
              </w:rPr>
              <w:t>факултет, Универз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итет у Новом Саду</w:t>
            </w:r>
            <w:r w:rsidR="000F6AFE">
              <w:rPr>
                <w:rFonts w:ascii="Times New Roman" w:hAnsi="Times New Roman"/>
                <w:sz w:val="20"/>
                <w:szCs w:val="20"/>
              </w:rPr>
              <w:t xml:space="preserve">, од </w:t>
            </w:r>
            <w:r w:rsidR="000F6AFE" w:rsidRPr="000F6AFE">
              <w:rPr>
                <w:rFonts w:ascii="Times New Roman" w:hAnsi="Times New Roman"/>
                <w:sz w:val="20"/>
                <w:szCs w:val="20"/>
              </w:rPr>
              <w:t>, 01.04.2011.</w:t>
            </w:r>
            <w:r w:rsidR="00BD46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7C41">
              <w:rPr>
                <w:rFonts w:ascii="Times New Roman" w:hAnsi="Times New Roman"/>
                <w:sz w:val="20"/>
                <w:szCs w:val="20"/>
                <w:lang/>
              </w:rPr>
              <w:t>године</w:t>
            </w:r>
          </w:p>
        </w:tc>
      </w:tr>
      <w:tr w:rsidR="00CF58EC" w:rsidRPr="00491993" w:rsidTr="00084869">
        <w:trPr>
          <w:trHeight w:val="427"/>
        </w:trPr>
        <w:tc>
          <w:tcPr>
            <w:tcW w:w="3738" w:type="dxa"/>
            <w:gridSpan w:val="8"/>
            <w:vAlign w:val="center"/>
          </w:tcPr>
          <w:p w:rsidR="000F78F4" w:rsidRPr="00491993" w:rsidRDefault="000F78F4" w:rsidP="00EA7C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390" w:type="dxa"/>
            <w:gridSpan w:val="7"/>
            <w:vAlign w:val="center"/>
          </w:tcPr>
          <w:p w:rsidR="000F78F4" w:rsidRPr="00491993" w:rsidRDefault="005D32D5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="00463D67">
              <w:rPr>
                <w:rFonts w:ascii="Times New Roman" w:hAnsi="Times New Roman"/>
                <w:sz w:val="20"/>
                <w:szCs w:val="20"/>
                <w:lang w:val="sr-Cyrl-CS"/>
              </w:rPr>
              <w:t>кологија</w:t>
            </w:r>
          </w:p>
        </w:tc>
      </w:tr>
      <w:tr w:rsidR="000F78F4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r w:rsidR="00CF5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r w:rsidR="00CF5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Ужанаучна, уметничка</w:t>
            </w:r>
            <w:r w:rsidR="00CF5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r w:rsidR="00CF5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r w:rsidR="00CF5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975" w:type="dxa"/>
            <w:gridSpan w:val="2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Асистент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Истраживач сарадник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Истраживач приправник</w:t>
            </w:r>
          </w:p>
        </w:tc>
        <w:tc>
          <w:tcPr>
            <w:tcW w:w="975" w:type="dxa"/>
            <w:gridSpan w:val="2"/>
            <w:vAlign w:val="center"/>
          </w:tcPr>
          <w:p w:rsid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AC0E94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010E29" w:rsidRPr="00491993" w:rsidTr="00084869">
        <w:trPr>
          <w:trHeight w:val="427"/>
        </w:trPr>
        <w:tc>
          <w:tcPr>
            <w:tcW w:w="1365" w:type="dxa"/>
            <w:gridSpan w:val="3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5" w:type="dxa"/>
            <w:gridSpan w:val="2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3185" w:type="dxa"/>
            <w:gridSpan w:val="7"/>
            <w:shd w:val="clear" w:color="auto" w:fill="auto"/>
            <w:vAlign w:val="center"/>
          </w:tcPr>
          <w:p w:rsidR="001A6FF7" w:rsidRPr="001A6FF7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Универзитет у Новом</w:t>
            </w:r>
            <w:r w:rsidR="00084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6FF7">
              <w:rPr>
                <w:rFonts w:ascii="Times New Roman" w:hAnsi="Times New Roman"/>
                <w:sz w:val="20"/>
                <w:szCs w:val="20"/>
              </w:rPr>
              <w:t>Саду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644" w:type="dxa"/>
            <w:gridSpan w:val="2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A6FF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1A6FF7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1A6FF7" w:rsidRPr="00AC0E94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напрвом</w:t>
            </w:r>
            <w:r w:rsidR="00A474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r w:rsidR="00A474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r w:rsidR="00A474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r w:rsidR="00A474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</w:p>
        </w:tc>
      </w:tr>
      <w:tr w:rsidR="00A51ABF" w:rsidRPr="00491993" w:rsidTr="00084869">
        <w:trPr>
          <w:trHeight w:val="822"/>
        </w:trPr>
        <w:tc>
          <w:tcPr>
            <w:tcW w:w="750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1A6FF7" w:rsidRPr="00AC0E94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r w:rsidR="00010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r w:rsidR="00010E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1A6FF7" w:rsidRPr="00AC0E94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r w:rsidR="00010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1A6FF7" w:rsidRPr="00AC0E94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r w:rsidR="00010E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r w:rsidR="00010E2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1A6FF7" w:rsidRPr="00491993" w:rsidRDefault="001A6FF7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7F30EC" w:rsidRPr="00491993" w:rsidRDefault="007F30EC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7F30EC" w:rsidRPr="004C60F3" w:rsidRDefault="004C60F3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ОЕ020, ОЕ026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7F30EC" w:rsidRPr="0054321A" w:rsidRDefault="007F30EC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F30EC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биљака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7F30EC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7F30EC" w:rsidRPr="00491993" w:rsidRDefault="007F30EC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7F30EC" w:rsidRPr="00491993" w:rsidRDefault="00F61C7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ОБ027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Pr="0054321A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F30EC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биљака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ИБ27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30EC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биљака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ИБ07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Pr="0054321A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F30EC">
              <w:rPr>
                <w:rFonts w:ascii="Times New Roman" w:hAnsi="Times New Roman"/>
                <w:sz w:val="20"/>
                <w:szCs w:val="20"/>
                <w:lang w:val="sr-Cyrl-CS"/>
              </w:rPr>
              <w:t>Општа екологија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ОБЕ011, ОЕ009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Pr="0054321A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F30EC">
              <w:rPr>
                <w:rFonts w:ascii="Times New Roman" w:hAnsi="Times New Roman"/>
                <w:sz w:val="20"/>
                <w:szCs w:val="20"/>
                <w:lang w:val="sr-Cyrl-CS"/>
              </w:rPr>
              <w:t>Основи екологије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Pr="00491993" w:rsidRDefault="00BC3DC2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  <w:r w:rsidR="00010E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Дипломирани биолог – молекуларни усмерење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ОЕ030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60F3">
              <w:rPr>
                <w:rFonts w:ascii="Times New Roman" w:hAnsi="Times New Roman"/>
                <w:sz w:val="20"/>
                <w:szCs w:val="20"/>
                <w:lang w:val="sr-Cyrl-CS"/>
              </w:rPr>
              <w:t>Научно-истраживачка методологија у екологији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МЕ09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60F3">
              <w:rPr>
                <w:rFonts w:ascii="Times New Roman" w:hAnsi="Times New Roman"/>
                <w:sz w:val="20"/>
                <w:szCs w:val="20"/>
                <w:lang w:val="sr-Cyrl-CS"/>
              </w:rPr>
              <w:t>Станишта и екосистеми Србије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60F3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 (Заштита природе и одрживи развој)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A51ABF" w:rsidRPr="00491993" w:rsidTr="00084869">
        <w:trPr>
          <w:trHeight w:val="427"/>
        </w:trPr>
        <w:tc>
          <w:tcPr>
            <w:tcW w:w="750" w:type="dxa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:rsidR="00010E29" w:rsidRPr="00491993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МЕ13</w:t>
            </w:r>
          </w:p>
        </w:tc>
        <w:tc>
          <w:tcPr>
            <w:tcW w:w="2067" w:type="dxa"/>
            <w:gridSpan w:val="5"/>
            <w:shd w:val="clear" w:color="auto" w:fill="auto"/>
            <w:vAlign w:val="center"/>
          </w:tcPr>
          <w:p w:rsidR="00010E29" w:rsidRPr="0054321A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и мониторинг копнених вода</w:t>
            </w:r>
            <w:r w:rsidR="0054321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391" w:type="dxa"/>
            <w:gridSpan w:val="3"/>
            <w:shd w:val="clear" w:color="auto" w:fill="auto"/>
            <w:vAlign w:val="center"/>
          </w:tcPr>
          <w:p w:rsidR="00010E29" w:rsidRDefault="00010E29" w:rsidP="007F30E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60F3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Pr="009A5664"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010E29" w:rsidRPr="00491993" w:rsidRDefault="00010E29" w:rsidP="00C405D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10E29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BF0AAF" w:rsidRDefault="00BF0AAF" w:rsidP="001A6FF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0AAF" w:rsidRDefault="00BF0AAF" w:rsidP="001A6FF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Репрезентативне референце (минимално 5 не више од 10)</w:t>
            </w:r>
          </w:p>
        </w:tc>
      </w:tr>
      <w:tr w:rsidR="000041B3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041B3" w:rsidRPr="009F56AB" w:rsidRDefault="000041B3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041B3" w:rsidRPr="009F56AB" w:rsidRDefault="000041B3" w:rsidP="00710C2A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Cvijanović D. (2022) Conservation Value and Habitat Diversity of Fluvial Lakes and Gravel Pits in River-Floodplain Systems. In: Pešić V., Milošević D., Miliša M. (eds) Small Water Bodies of the Western Balkans. Springer Water. Springer, Cham. https://doi.org/10.1007/978-3-030-86478-1_3</w:t>
            </w:r>
          </w:p>
        </w:tc>
      </w:tr>
      <w:tr w:rsidR="000041B3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041B3" w:rsidRPr="009F56AB" w:rsidRDefault="000041B3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041B3" w:rsidRPr="009F56AB" w:rsidRDefault="00077A93" w:rsidP="009F56AB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Milošević Dj, Medeiros A, Stojković Piperac M, Cvijanović D, Soininen J, Milosavljević A,  Predić B. (2022) </w:t>
            </w:r>
            <w:r w:rsidR="000041B3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The application of Uniform Manifold Approximation and Projection (UMAP) for unconstrained ordination and classification of biological indicators in aquatic ecology. 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2022. </w:t>
            </w:r>
            <w:r w:rsidR="000041B3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Science of the Total Environment ISSN: 0048-9697 </w:t>
            </w:r>
          </w:p>
        </w:tc>
      </w:tr>
      <w:tr w:rsidR="00077A93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77A93" w:rsidRPr="009F56AB" w:rsidRDefault="00077A93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77A93" w:rsidRPr="009F56AB" w:rsidRDefault="002144FE" w:rsidP="00710C2A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Milošević D, Medeiros AS, Cvijanović D, Jenačković Gocić D, Đurđević A, Čerba D, Stojković Piperac M. Implications of local niche- and dispersal-based factors that may influence chironomid assemblages in bioassessment. Environ Sci Pollut Res Int. 2022 Mar 7. doi: 10.1007/s11356-022-19302-y. Epub ahead of print. PMID: 35257340.</w:t>
            </w:r>
          </w:p>
        </w:tc>
      </w:tr>
      <w:tr w:rsidR="00010E29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10E29" w:rsidRPr="009F56AB" w:rsidRDefault="00010E29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10E29" w:rsidRPr="009F56AB" w:rsidRDefault="00010E29" w:rsidP="009F56AB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Krtolica I, Cvijanović D, Obradović Đ, Novković M, Milošević Đ, Savić D, Vojinović-Miloradov M, </w:t>
            </w:r>
            <w:r w:rsidRPr="009F56A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S. 2021. Water quality and macrophytes in the Danube River: Artificial neural network modelling. Ecological Indicators, 121, 107076, ISSN 1470-160X. </w:t>
            </w:r>
          </w:p>
        </w:tc>
      </w:tr>
      <w:tr w:rsidR="00010E29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10E29" w:rsidRPr="009F56AB" w:rsidRDefault="00010E29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10E29" w:rsidRPr="009F56AB" w:rsidRDefault="00010E29" w:rsidP="009F56AB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AnđelkovićA,PopovićS,ŽivkovićM,CvijanovićD,NovkovićM,MarisavljevićD,PavlovićD,</w:t>
            </w:r>
            <w:r w:rsidRPr="009F56A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S. (in press) Catchment area, environmental variables and habitat type as predictors of the distribution and abundance of Portulaca</w:t>
            </w:r>
            <w:r w:rsidR="003F7944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oleracea L. in the riparian areas of Serbia. ActaAgriculturaeSerbica, in press</w:t>
            </w:r>
          </w:p>
        </w:tc>
      </w:tr>
      <w:tr w:rsidR="000041B3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041B3" w:rsidRPr="009F56AB" w:rsidRDefault="000041B3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041B3" w:rsidRPr="009F56AB" w:rsidRDefault="00077A93" w:rsidP="00710C2A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Cvijanovic D. (2020). </w:t>
            </w:r>
            <w:r w:rsidR="000041B3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Community Ecology and Biomonitoring in IRES. In Intermittent Rivers and Ephemeral streams: What water managers need to know. Eds: Claire Magand (Coordinator), Maria Helena Alves, Eman Calleja, Thibault Datry, Gerald Dörflinger, Judy England, Antoni Munne, Iakovos Tziortzis</w:t>
            </w:r>
          </w:p>
        </w:tc>
      </w:tr>
      <w:tr w:rsidR="00010E29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10E29" w:rsidRPr="009F56AB" w:rsidRDefault="00010E29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10E29" w:rsidRPr="009F56AB" w:rsidRDefault="00010E29" w:rsidP="00710C2A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Damnjanović</w:t>
            </w:r>
            <w:r w:rsidR="00AC5560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B,</w:t>
            </w:r>
            <w:r w:rsidR="00AC5560"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Novković M, Vesić A, Živković M, </w:t>
            </w:r>
            <w:r w:rsidRPr="009F56A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Radulović</w:t>
            </w: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 xml:space="preserve"> S, Vukov D, AnđelkovićA,Cvijanović D. (2019): Guidelines for conservation-friendly gravel extraction along the Drina Riverfloodplain (the Middle Danube Basin, Serbia). Wetlands Ecology and Management. 27:1–22. M22 </w:t>
            </w:r>
          </w:p>
        </w:tc>
      </w:tr>
      <w:tr w:rsidR="00AC5560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AC5560" w:rsidRPr="009F56AB" w:rsidRDefault="00AC5560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AC5560" w:rsidRPr="009F56AB" w:rsidRDefault="00AC5560" w:rsidP="00AC5560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Laketić D, Radulović S, Živković M, Jurca T, Alford MH. (2013): Macrophyte Nutrient Index (MNI) of standing waters in Serbia. Ecological indicators 25: 200-204</w:t>
            </w:r>
          </w:p>
        </w:tc>
      </w:tr>
      <w:tr w:rsidR="00AC5560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AC5560" w:rsidRPr="009F56AB" w:rsidRDefault="00AC5560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AC5560" w:rsidRPr="009F56AB" w:rsidRDefault="00AC5560" w:rsidP="00AC5560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highlight w:val="yellow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Landucci F, Řezníčková M, Šumberová K, Chytrý M, Aunina L, Cvijanovic D, [...] Radulovic S, Schaminée HM, Šilc U, Sinkevičienė Z, Stančić Z, Stepanovich J, Teteryuk B, Tzonev R, Venanzoni R, Weekes L, Willner W. (2015): WetVegEurope: a database of aquatic and wetland vegetation of Europe. Phytocoenologia, 42 (12); 187-194</w:t>
            </w:r>
          </w:p>
        </w:tc>
      </w:tr>
      <w:tr w:rsidR="00010E29" w:rsidRPr="009F56AB" w:rsidTr="00084869">
        <w:trPr>
          <w:trHeight w:val="427"/>
        </w:trPr>
        <w:tc>
          <w:tcPr>
            <w:tcW w:w="967" w:type="dxa"/>
            <w:gridSpan w:val="2"/>
            <w:vAlign w:val="center"/>
          </w:tcPr>
          <w:p w:rsidR="00010E29" w:rsidRPr="009F56AB" w:rsidRDefault="00010E29" w:rsidP="001A6FF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161" w:type="dxa"/>
            <w:gridSpan w:val="13"/>
            <w:shd w:val="clear" w:color="auto" w:fill="auto"/>
            <w:vAlign w:val="center"/>
          </w:tcPr>
          <w:p w:rsidR="00010E29" w:rsidRPr="009F56AB" w:rsidRDefault="00AC5560" w:rsidP="00AC5560">
            <w:pPr>
              <w:jc w:val="both"/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</w:pPr>
            <w:r w:rsidRPr="009F56AB">
              <w:rPr>
                <w:rFonts w:ascii="Times New Roman" w:hAnsi="Times New Roman"/>
                <w:color w:val="1F1F1F"/>
                <w:sz w:val="20"/>
                <w:szCs w:val="20"/>
                <w:shd w:val="clear" w:color="auto" w:fill="FFFFFF"/>
              </w:rPr>
              <w:t>Radulović S, Boon P, Laketić D, Simonović P, Puzović S, Živković M, Jurca T, Ovuka M, Malaguti S, Teodorovic I. (2012): Preliminary check-lists for applying SERCON (System for Evaluating Rivers for Conservation) to rivers in Serbia. Archives of Biological Sciences 64 (3) 1037-1056</w:t>
            </w:r>
          </w:p>
        </w:tc>
      </w:tr>
      <w:tr w:rsidR="00010E29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10E29" w:rsidRPr="00491993" w:rsidTr="00084869">
        <w:trPr>
          <w:trHeight w:val="427"/>
        </w:trPr>
        <w:tc>
          <w:tcPr>
            <w:tcW w:w="3325" w:type="dxa"/>
            <w:gridSpan w:val="7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03" w:type="dxa"/>
            <w:gridSpan w:val="8"/>
            <w:vAlign w:val="center"/>
          </w:tcPr>
          <w:p w:rsidR="00010E29" w:rsidRPr="00C34DCF" w:rsidRDefault="00C34DCF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34DCF">
              <w:rPr>
                <w:rFonts w:ascii="Times New Roman" w:hAnsi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010E29" w:rsidRPr="00491993" w:rsidTr="00084869">
        <w:trPr>
          <w:trHeight w:val="427"/>
        </w:trPr>
        <w:tc>
          <w:tcPr>
            <w:tcW w:w="3325" w:type="dxa"/>
            <w:gridSpan w:val="7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03" w:type="dxa"/>
            <w:gridSpan w:val="8"/>
            <w:vAlign w:val="center"/>
          </w:tcPr>
          <w:p w:rsidR="00010E29" w:rsidRPr="009F56AB" w:rsidRDefault="000F6AFE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(</w:t>
            </w:r>
            <w:r w:rsidRPr="000F6AFE"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9F56AB">
              <w:rPr>
                <w:rFonts w:ascii="Times New Roman" w:hAnsi="Times New Roman"/>
                <w:sz w:val="20"/>
                <w:szCs w:val="20"/>
              </w:rPr>
              <w:t>, 16 укупно</w:t>
            </w:r>
            <w:r w:rsidR="00BE5B6C">
              <w:rPr>
                <w:rFonts w:ascii="Times New Roman" w:hAnsi="Times New Roman"/>
                <w:sz w:val="20"/>
                <w:szCs w:val="20"/>
              </w:rPr>
              <w:t xml:space="preserve"> M21,22,23</w:t>
            </w:r>
          </w:p>
        </w:tc>
      </w:tr>
      <w:tr w:rsidR="00010E29" w:rsidRPr="00491993" w:rsidTr="00084869">
        <w:trPr>
          <w:trHeight w:val="278"/>
        </w:trPr>
        <w:tc>
          <w:tcPr>
            <w:tcW w:w="3325" w:type="dxa"/>
            <w:gridSpan w:val="7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50" w:type="dxa"/>
            <w:gridSpan w:val="3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два</w:t>
            </w:r>
          </w:p>
        </w:tc>
        <w:tc>
          <w:tcPr>
            <w:tcW w:w="4053" w:type="dxa"/>
            <w:gridSpan w:val="5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два</w:t>
            </w:r>
          </w:p>
        </w:tc>
      </w:tr>
      <w:tr w:rsidR="00010E29" w:rsidRPr="00491993" w:rsidTr="00084869">
        <w:trPr>
          <w:trHeight w:val="427"/>
        </w:trPr>
        <w:tc>
          <w:tcPr>
            <w:tcW w:w="2524" w:type="dxa"/>
            <w:gridSpan w:val="6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04" w:type="dxa"/>
            <w:gridSpan w:val="9"/>
            <w:vAlign w:val="center"/>
          </w:tcPr>
          <w:p w:rsidR="00010E29" w:rsidRPr="00491993" w:rsidRDefault="00570E4A" w:rsidP="00570E4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0E4A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 из екологије копнених вода. Универзитет Данди (University of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0E4A">
              <w:rPr>
                <w:rFonts w:ascii="Times New Roman" w:hAnsi="Times New Roman"/>
                <w:sz w:val="20"/>
                <w:szCs w:val="20"/>
                <w:lang w:val="sr-Cyrl-CS"/>
              </w:rPr>
              <w:t>Dundee, College of Arts and Social Sciences, Geography). Данди, Велика Британија,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0E4A">
              <w:rPr>
                <w:rFonts w:ascii="Times New Roman" w:hAnsi="Times New Roman"/>
                <w:sz w:val="20"/>
                <w:szCs w:val="20"/>
                <w:lang w:val="sr-Cyrl-CS"/>
              </w:rPr>
              <w:t>27.4.-27.6.2008.</w:t>
            </w:r>
          </w:p>
        </w:tc>
      </w:tr>
      <w:tr w:rsidR="00010E29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010E29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570E4A" w:rsidRPr="00570E4A" w:rsidRDefault="00570E4A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041B3">
              <w:rPr>
                <w:rFonts w:ascii="Times New Roman" w:hAnsi="Times New Roman"/>
                <w:sz w:val="20"/>
                <w:szCs w:val="20"/>
              </w:rPr>
              <w:t>Радуловић С, Цвијановић Д (2016): Основе екологије, основни уџбеник. Универзитет у Новом Саду, Природноматематичи факултет ISBN: 978-86-7031-332-3</w:t>
            </w:r>
          </w:p>
        </w:tc>
      </w:tr>
      <w:tr w:rsidR="00010E29" w:rsidRPr="00491993" w:rsidTr="00084869">
        <w:trPr>
          <w:trHeight w:val="427"/>
        </w:trPr>
        <w:tc>
          <w:tcPr>
            <w:tcW w:w="9128" w:type="dxa"/>
            <w:gridSpan w:val="15"/>
            <w:vAlign w:val="center"/>
          </w:tcPr>
          <w:p w:rsidR="00010E29" w:rsidRPr="00491993" w:rsidRDefault="00010E29" w:rsidP="001A6FF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D55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:rsidR="00CF55E0" w:rsidRDefault="00CF55E0" w:rsidP="00EA7CCE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F78F4"/>
    <w:rsid w:val="0000312F"/>
    <w:rsid w:val="000041B3"/>
    <w:rsid w:val="00010E29"/>
    <w:rsid w:val="00032717"/>
    <w:rsid w:val="00056720"/>
    <w:rsid w:val="000611E5"/>
    <w:rsid w:val="00077A93"/>
    <w:rsid w:val="00081AFC"/>
    <w:rsid w:val="00084869"/>
    <w:rsid w:val="000B78C1"/>
    <w:rsid w:val="000D2ECC"/>
    <w:rsid w:val="000E5E15"/>
    <w:rsid w:val="000F6AFE"/>
    <w:rsid w:val="000F78F4"/>
    <w:rsid w:val="00142518"/>
    <w:rsid w:val="00185C50"/>
    <w:rsid w:val="001A6FF7"/>
    <w:rsid w:val="001C13E3"/>
    <w:rsid w:val="001E5304"/>
    <w:rsid w:val="001E7438"/>
    <w:rsid w:val="001F4CD4"/>
    <w:rsid w:val="002144FE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53262"/>
    <w:rsid w:val="00363AFC"/>
    <w:rsid w:val="003765D2"/>
    <w:rsid w:val="00377FDC"/>
    <w:rsid w:val="00384B36"/>
    <w:rsid w:val="003E348D"/>
    <w:rsid w:val="003E3804"/>
    <w:rsid w:val="003E6E22"/>
    <w:rsid w:val="003F7944"/>
    <w:rsid w:val="00411C1B"/>
    <w:rsid w:val="00416515"/>
    <w:rsid w:val="004322B5"/>
    <w:rsid w:val="00463D67"/>
    <w:rsid w:val="00471B16"/>
    <w:rsid w:val="0047556D"/>
    <w:rsid w:val="00494278"/>
    <w:rsid w:val="004C1FE4"/>
    <w:rsid w:val="004C2663"/>
    <w:rsid w:val="004C60F3"/>
    <w:rsid w:val="004D4890"/>
    <w:rsid w:val="004E3312"/>
    <w:rsid w:val="004F5CE1"/>
    <w:rsid w:val="004F78BC"/>
    <w:rsid w:val="00502191"/>
    <w:rsid w:val="005031C8"/>
    <w:rsid w:val="00507EA8"/>
    <w:rsid w:val="005275E1"/>
    <w:rsid w:val="005306B8"/>
    <w:rsid w:val="0053490C"/>
    <w:rsid w:val="0054321A"/>
    <w:rsid w:val="005462FC"/>
    <w:rsid w:val="00550AED"/>
    <w:rsid w:val="00570E4A"/>
    <w:rsid w:val="005922EA"/>
    <w:rsid w:val="005C7C9B"/>
    <w:rsid w:val="005D32D5"/>
    <w:rsid w:val="005E540C"/>
    <w:rsid w:val="00631981"/>
    <w:rsid w:val="00683A1E"/>
    <w:rsid w:val="006A5CC4"/>
    <w:rsid w:val="006D2AD9"/>
    <w:rsid w:val="006E0AFA"/>
    <w:rsid w:val="007029DC"/>
    <w:rsid w:val="007100F6"/>
    <w:rsid w:val="007103BD"/>
    <w:rsid w:val="00710C2A"/>
    <w:rsid w:val="007A2E49"/>
    <w:rsid w:val="007A3108"/>
    <w:rsid w:val="007A4347"/>
    <w:rsid w:val="007A66B2"/>
    <w:rsid w:val="007C1B6F"/>
    <w:rsid w:val="007D610D"/>
    <w:rsid w:val="007E1DEE"/>
    <w:rsid w:val="007F30EC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33E6F"/>
    <w:rsid w:val="009552B1"/>
    <w:rsid w:val="00956E51"/>
    <w:rsid w:val="00996293"/>
    <w:rsid w:val="009A21FF"/>
    <w:rsid w:val="009A5664"/>
    <w:rsid w:val="009B7C41"/>
    <w:rsid w:val="009D5F83"/>
    <w:rsid w:val="009F56AB"/>
    <w:rsid w:val="00A2381E"/>
    <w:rsid w:val="00A474AD"/>
    <w:rsid w:val="00A51ABF"/>
    <w:rsid w:val="00A52753"/>
    <w:rsid w:val="00A52FD9"/>
    <w:rsid w:val="00A62029"/>
    <w:rsid w:val="00A904F4"/>
    <w:rsid w:val="00A9317B"/>
    <w:rsid w:val="00A93C57"/>
    <w:rsid w:val="00AC5560"/>
    <w:rsid w:val="00B27EE5"/>
    <w:rsid w:val="00B51FE0"/>
    <w:rsid w:val="00B76DB9"/>
    <w:rsid w:val="00B91430"/>
    <w:rsid w:val="00BB7D20"/>
    <w:rsid w:val="00BC3DC2"/>
    <w:rsid w:val="00BD463C"/>
    <w:rsid w:val="00BE5B6C"/>
    <w:rsid w:val="00BE7453"/>
    <w:rsid w:val="00BF0AAF"/>
    <w:rsid w:val="00C16B1F"/>
    <w:rsid w:val="00C34DCF"/>
    <w:rsid w:val="00C871AF"/>
    <w:rsid w:val="00C9059D"/>
    <w:rsid w:val="00CA4671"/>
    <w:rsid w:val="00CB6506"/>
    <w:rsid w:val="00CF55E0"/>
    <w:rsid w:val="00CF58EC"/>
    <w:rsid w:val="00D06C63"/>
    <w:rsid w:val="00D146E1"/>
    <w:rsid w:val="00D418C3"/>
    <w:rsid w:val="00D558AF"/>
    <w:rsid w:val="00DA2CF9"/>
    <w:rsid w:val="00DC1452"/>
    <w:rsid w:val="00DE2CB0"/>
    <w:rsid w:val="00DF324C"/>
    <w:rsid w:val="00E2588E"/>
    <w:rsid w:val="00E41FA4"/>
    <w:rsid w:val="00E67ACF"/>
    <w:rsid w:val="00EA015D"/>
    <w:rsid w:val="00EA7CCE"/>
    <w:rsid w:val="00EB3804"/>
    <w:rsid w:val="00ED766B"/>
    <w:rsid w:val="00F11860"/>
    <w:rsid w:val="00F35EC0"/>
    <w:rsid w:val="00F40CB7"/>
    <w:rsid w:val="00F61C79"/>
    <w:rsid w:val="00F81922"/>
    <w:rsid w:val="00F95FA6"/>
    <w:rsid w:val="00FB30C5"/>
    <w:rsid w:val="00FB5592"/>
    <w:rsid w:val="00FE1336"/>
    <w:rsid w:val="00FE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30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Maja</cp:lastModifiedBy>
  <cp:revision>40</cp:revision>
  <dcterms:created xsi:type="dcterms:W3CDTF">2022-03-08T13:44:00Z</dcterms:created>
  <dcterms:modified xsi:type="dcterms:W3CDTF">2022-05-13T14:11:00Z</dcterms:modified>
</cp:coreProperties>
</file>