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9468" w:type="dxa"/>
        <w:jc w:val="left"/>
        <w:tblInd w:w="10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1e0"/>
      </w:tblPr>
      <w:tblGrid>
        <w:gridCol w:w="816"/>
        <w:gridCol w:w="821"/>
        <w:gridCol w:w="261"/>
        <w:gridCol w:w="372"/>
        <w:gridCol w:w="126"/>
        <w:gridCol w:w="1018"/>
        <w:gridCol w:w="821"/>
        <w:gridCol w:w="283"/>
        <w:gridCol w:w="111"/>
        <w:gridCol w:w="851"/>
        <w:gridCol w:w="438"/>
        <w:gridCol w:w="175"/>
        <w:gridCol w:w="1313"/>
        <w:gridCol w:w="374"/>
        <w:gridCol w:w="1687"/>
      </w:tblGrid>
      <w:tr>
        <w:trPr>
          <w:trHeight w:val="427" w:hRule="atLeast"/>
        </w:trPr>
        <w:tc>
          <w:tcPr>
            <w:tcW w:w="451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b/>
                <w:b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CS"/>
              </w:rPr>
              <w:t xml:space="preserve">Име и презиме </w:t>
            </w:r>
          </w:p>
        </w:tc>
        <w:tc>
          <w:tcPr>
            <w:tcW w:w="494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Данијела Тешендић</w:t>
            </w:r>
          </w:p>
        </w:tc>
      </w:tr>
      <w:tr>
        <w:trPr>
          <w:trHeight w:val="427" w:hRule="atLeast"/>
        </w:trPr>
        <w:tc>
          <w:tcPr>
            <w:tcW w:w="451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b/>
                <w:b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CS"/>
              </w:rPr>
              <w:t>Звање</w:t>
            </w:r>
          </w:p>
        </w:tc>
        <w:tc>
          <w:tcPr>
            <w:tcW w:w="494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В</w:t>
            </w:r>
            <w:r>
              <w:rPr>
                <w:rFonts w:ascii="Times New Roman" w:hAnsi="Times New Roman"/>
                <w:sz w:val="20"/>
                <w:szCs w:val="20"/>
                <w:lang w:val="sr-CS"/>
              </w:rPr>
              <w:t>анредни професор</w:t>
            </w:r>
          </w:p>
        </w:tc>
      </w:tr>
      <w:tr>
        <w:trPr>
          <w:trHeight w:val="427" w:hRule="atLeast"/>
        </w:trPr>
        <w:tc>
          <w:tcPr>
            <w:tcW w:w="451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b/>
                <w:b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CS"/>
              </w:rPr>
              <w:t xml:space="preserve">Назив институције у  којој наставник ради са пуним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или непуним </w:t>
            </w:r>
            <w:r>
              <w:rPr>
                <w:rFonts w:ascii="Times New Roman" w:hAnsi="Times New Roman"/>
                <w:b/>
                <w:sz w:val="20"/>
                <w:szCs w:val="20"/>
                <w:lang w:val="sr-CS"/>
              </w:rPr>
              <w:t>радним временом и од када</w:t>
            </w:r>
          </w:p>
        </w:tc>
        <w:tc>
          <w:tcPr>
            <w:tcW w:w="494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Природно-математички факултет, Нови Сад, 01.12.2005</w:t>
            </w:r>
          </w:p>
        </w:tc>
      </w:tr>
      <w:tr>
        <w:trPr>
          <w:trHeight w:val="427" w:hRule="atLeast"/>
        </w:trPr>
        <w:tc>
          <w:tcPr>
            <w:tcW w:w="451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b/>
                <w:b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CS"/>
              </w:rPr>
              <w:t>Ужа научна односно уметничка област</w:t>
            </w:r>
          </w:p>
        </w:tc>
        <w:tc>
          <w:tcPr>
            <w:tcW w:w="494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Информациони системи</w:t>
            </w:r>
          </w:p>
        </w:tc>
      </w:tr>
      <w:tr>
        <w:trPr>
          <w:trHeight w:val="427" w:hRule="atLeast"/>
        </w:trPr>
        <w:tc>
          <w:tcPr>
            <w:tcW w:w="9467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b/>
                <w:b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CS"/>
              </w:rPr>
              <w:t>Академска каријера</w:t>
            </w:r>
          </w:p>
        </w:tc>
      </w:tr>
      <w:tr>
        <w:trPr>
          <w:trHeight w:val="427" w:hRule="atLeast"/>
        </w:trPr>
        <w:tc>
          <w:tcPr>
            <w:tcW w:w="239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 xml:space="preserve">Година </w:t>
            </w:r>
          </w:p>
        </w:tc>
        <w:tc>
          <w:tcPr>
            <w:tcW w:w="206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 xml:space="preserve">Институција </w:t>
            </w:r>
          </w:p>
        </w:tc>
        <w:tc>
          <w:tcPr>
            <w:tcW w:w="19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Научна или уметничка о</w:t>
            </w:r>
            <w:r>
              <w:rPr>
                <w:rFonts w:ascii="Times New Roman" w:hAnsi="Times New Roman"/>
                <w:sz w:val="20"/>
                <w:szCs w:val="20"/>
                <w:lang w:val="sr-CS"/>
              </w:rPr>
              <w:t xml:space="preserve">бласт </w:t>
            </w:r>
          </w:p>
        </w:tc>
        <w:tc>
          <w:tcPr>
            <w:tcW w:w="20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Ужа научна, уметничка или стручна област</w:t>
            </w:r>
          </w:p>
        </w:tc>
      </w:tr>
      <w:tr>
        <w:trPr>
          <w:trHeight w:val="427" w:hRule="atLeast"/>
        </w:trPr>
        <w:tc>
          <w:tcPr>
            <w:tcW w:w="239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Избор у звање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2020</w:t>
            </w:r>
          </w:p>
        </w:tc>
        <w:tc>
          <w:tcPr>
            <w:tcW w:w="206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Природно-математички факултет, Нови Сад</w:t>
            </w:r>
          </w:p>
        </w:tc>
        <w:tc>
          <w:tcPr>
            <w:tcW w:w="19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Информатика</w:t>
            </w:r>
          </w:p>
        </w:tc>
        <w:tc>
          <w:tcPr>
            <w:tcW w:w="20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Информациони системи</w:t>
            </w:r>
          </w:p>
        </w:tc>
      </w:tr>
      <w:tr>
        <w:trPr>
          <w:trHeight w:val="427" w:hRule="atLeast"/>
        </w:trPr>
        <w:tc>
          <w:tcPr>
            <w:tcW w:w="239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Докторат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20</w:t>
            </w:r>
            <w:r>
              <w:rPr>
                <w:rFonts w:ascii="Times New Roman" w:hAnsi="Times New Roman"/>
                <w:sz w:val="20"/>
                <w:szCs w:val="20"/>
                <w:lang w:val="sr-CS"/>
              </w:rPr>
              <w:t>10</w:t>
            </w:r>
          </w:p>
        </w:tc>
        <w:tc>
          <w:tcPr>
            <w:tcW w:w="206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Природно-математички факултет, Нови Сад</w:t>
            </w:r>
          </w:p>
        </w:tc>
        <w:tc>
          <w:tcPr>
            <w:tcW w:w="19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Информатика</w:t>
            </w:r>
          </w:p>
        </w:tc>
        <w:tc>
          <w:tcPr>
            <w:tcW w:w="20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Информациони сиситеми</w:t>
            </w:r>
          </w:p>
        </w:tc>
      </w:tr>
      <w:tr>
        <w:trPr>
          <w:trHeight w:val="427" w:hRule="atLeast"/>
        </w:trPr>
        <w:tc>
          <w:tcPr>
            <w:tcW w:w="239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Специјализација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</w:r>
          </w:p>
        </w:tc>
        <w:tc>
          <w:tcPr>
            <w:tcW w:w="206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</w:r>
          </w:p>
        </w:tc>
        <w:tc>
          <w:tcPr>
            <w:tcW w:w="19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</w:r>
          </w:p>
        </w:tc>
        <w:tc>
          <w:tcPr>
            <w:tcW w:w="20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</w:r>
          </w:p>
        </w:tc>
      </w:tr>
      <w:tr>
        <w:trPr>
          <w:trHeight w:val="427" w:hRule="atLeast"/>
        </w:trPr>
        <w:tc>
          <w:tcPr>
            <w:tcW w:w="239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Магистратура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2007</w:t>
            </w:r>
          </w:p>
        </w:tc>
        <w:tc>
          <w:tcPr>
            <w:tcW w:w="206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Природно-математички факултет, Нови Сад</w:t>
            </w:r>
          </w:p>
        </w:tc>
        <w:tc>
          <w:tcPr>
            <w:tcW w:w="19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Информатика</w:t>
            </w:r>
          </w:p>
        </w:tc>
        <w:tc>
          <w:tcPr>
            <w:tcW w:w="20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Информациони системи</w:t>
            </w:r>
          </w:p>
        </w:tc>
      </w:tr>
      <w:tr>
        <w:trPr>
          <w:trHeight w:val="427" w:hRule="atLeast"/>
        </w:trPr>
        <w:tc>
          <w:tcPr>
            <w:tcW w:w="239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Мастер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</w:r>
          </w:p>
        </w:tc>
        <w:tc>
          <w:tcPr>
            <w:tcW w:w="206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</w:r>
          </w:p>
        </w:tc>
        <w:tc>
          <w:tcPr>
            <w:tcW w:w="19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</w:r>
          </w:p>
        </w:tc>
        <w:tc>
          <w:tcPr>
            <w:tcW w:w="20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</w:r>
          </w:p>
        </w:tc>
      </w:tr>
      <w:tr>
        <w:trPr>
          <w:trHeight w:val="427" w:hRule="atLeast"/>
        </w:trPr>
        <w:tc>
          <w:tcPr>
            <w:tcW w:w="239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Диплома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2004</w:t>
            </w:r>
          </w:p>
        </w:tc>
        <w:tc>
          <w:tcPr>
            <w:tcW w:w="206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Природно-математички факултет, Нови Сад</w:t>
            </w:r>
          </w:p>
        </w:tc>
        <w:tc>
          <w:tcPr>
            <w:tcW w:w="19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Информатика</w:t>
            </w:r>
          </w:p>
        </w:tc>
        <w:tc>
          <w:tcPr>
            <w:tcW w:w="20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Информациони системи</w:t>
            </w:r>
          </w:p>
        </w:tc>
      </w:tr>
      <w:tr>
        <w:trPr>
          <w:trHeight w:val="427" w:hRule="atLeast"/>
        </w:trPr>
        <w:tc>
          <w:tcPr>
            <w:tcW w:w="9467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b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CS"/>
              </w:rPr>
              <w:t xml:space="preserve">Списак предмета за  које  је наставник акредитован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на првом или другом степену студија</w:t>
            </w:r>
          </w:p>
        </w:tc>
      </w:tr>
      <w:tr>
        <w:trPr>
          <w:trHeight w:val="822" w:hRule="atLeast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Р.Б.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>,2,3...</w:t>
            </w:r>
            <w:r>
              <w:rPr>
                <w:rFonts w:ascii="Times New Roman" w:hAnsi="Times New Roman"/>
                <w:sz w:val="20"/>
                <w:szCs w:val="20"/>
                <w:lang w:val="sr-CS"/>
              </w:rPr>
              <w:t>.</w:t>
            </w:r>
          </w:p>
        </w:tc>
        <w:tc>
          <w:tcPr>
            <w:tcW w:w="10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Ознака предмета</w:t>
            </w:r>
          </w:p>
        </w:tc>
        <w:tc>
          <w:tcPr>
            <w:tcW w:w="273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Назив предмета</w:t>
            </w:r>
            <w:r>
              <w:rPr>
                <w:rFonts w:ascii="Times New Roman" w:hAnsi="Times New Roman"/>
                <w:iCs/>
                <w:sz w:val="20"/>
                <w:szCs w:val="20"/>
                <w:lang w:val="sr-CS"/>
              </w:rPr>
              <w:t xml:space="preserve">     </w:t>
            </w:r>
          </w:p>
        </w:tc>
        <w:tc>
          <w:tcPr>
            <w:tcW w:w="14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Вид наставе</w:t>
            </w:r>
          </w:p>
        </w:tc>
        <w:tc>
          <w:tcPr>
            <w:tcW w:w="16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Назив студијског програма </w:t>
            </w: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В</w:t>
            </w:r>
            <w:r>
              <w:rPr>
                <w:rFonts w:ascii="Times New Roman" w:hAnsi="Times New Roman"/>
                <w:iCs/>
                <w:sz w:val="20"/>
                <w:szCs w:val="20"/>
                <w:lang w:val="sr-CS"/>
              </w:rPr>
              <w:t>рста студија (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ОСС, ССС, ОАС, МСС, МАС, САС)</w:t>
            </w:r>
          </w:p>
        </w:tc>
      </w:tr>
      <w:tr>
        <w:trPr>
          <w:trHeight w:val="427" w:hRule="atLeast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1.</w:t>
            </w:r>
          </w:p>
        </w:tc>
        <w:tc>
          <w:tcPr>
            <w:tcW w:w="10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ИТ306</w:t>
            </w:r>
          </w:p>
        </w:tc>
        <w:tc>
          <w:tcPr>
            <w:tcW w:w="273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Рачунарске мреже</w:t>
            </w:r>
          </w:p>
        </w:tc>
        <w:tc>
          <w:tcPr>
            <w:tcW w:w="14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Предавања</w:t>
            </w:r>
          </w:p>
        </w:tc>
        <w:tc>
          <w:tcPr>
            <w:tcW w:w="16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Информационе технологије</w:t>
            </w: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ОАС</w:t>
            </w:r>
          </w:p>
        </w:tc>
      </w:tr>
      <w:tr>
        <w:trPr>
          <w:trHeight w:val="427" w:hRule="atLeast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2.</w:t>
            </w:r>
          </w:p>
        </w:tc>
        <w:tc>
          <w:tcPr>
            <w:tcW w:w="10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ИТ613</w:t>
            </w:r>
          </w:p>
        </w:tc>
        <w:tc>
          <w:tcPr>
            <w:tcW w:w="273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Развој мобилних апликација</w:t>
            </w:r>
          </w:p>
        </w:tc>
        <w:tc>
          <w:tcPr>
            <w:tcW w:w="14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Предавања и вежбе</w:t>
            </w:r>
          </w:p>
        </w:tc>
        <w:tc>
          <w:tcPr>
            <w:tcW w:w="16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Информационе технологије</w:t>
            </w: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ОАС</w:t>
            </w:r>
          </w:p>
        </w:tc>
      </w:tr>
      <w:tr>
        <w:trPr>
          <w:trHeight w:val="427" w:hRule="atLeast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3.</w:t>
            </w:r>
          </w:p>
        </w:tc>
        <w:tc>
          <w:tcPr>
            <w:tcW w:w="10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ЦС616</w:t>
            </w:r>
          </w:p>
        </w:tc>
        <w:tc>
          <w:tcPr>
            <w:tcW w:w="273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Рачунарске мреже</w:t>
            </w:r>
          </w:p>
        </w:tc>
        <w:tc>
          <w:tcPr>
            <w:tcW w:w="14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Предавања</w:t>
            </w:r>
          </w:p>
        </w:tc>
        <w:tc>
          <w:tcPr>
            <w:tcW w:w="16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Рачунарске науке</w:t>
            </w: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ОАС</w:t>
            </w:r>
          </w:p>
        </w:tc>
      </w:tr>
      <w:tr>
        <w:trPr>
          <w:trHeight w:val="427" w:hRule="atLeast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4.</w:t>
            </w:r>
          </w:p>
        </w:tc>
        <w:tc>
          <w:tcPr>
            <w:tcW w:w="10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ЦС707</w:t>
            </w:r>
          </w:p>
        </w:tc>
        <w:tc>
          <w:tcPr>
            <w:tcW w:w="273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Базе просторних података</w:t>
            </w:r>
          </w:p>
        </w:tc>
        <w:tc>
          <w:tcPr>
            <w:tcW w:w="14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Предавања ии вежбе</w:t>
            </w:r>
          </w:p>
        </w:tc>
        <w:tc>
          <w:tcPr>
            <w:tcW w:w="16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Рачунарске науке</w:t>
            </w: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МАС</w:t>
            </w:r>
          </w:p>
        </w:tc>
      </w:tr>
      <w:tr>
        <w:trPr>
          <w:trHeight w:val="427" w:hRule="atLeast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5.</w:t>
            </w:r>
          </w:p>
        </w:tc>
        <w:tc>
          <w:tcPr>
            <w:tcW w:w="10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ЦС706</w:t>
            </w:r>
          </w:p>
        </w:tc>
        <w:tc>
          <w:tcPr>
            <w:tcW w:w="273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Развој мобилних апликација</w:t>
            </w:r>
          </w:p>
        </w:tc>
        <w:tc>
          <w:tcPr>
            <w:tcW w:w="14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Предавања и вежбе</w:t>
            </w:r>
          </w:p>
        </w:tc>
        <w:tc>
          <w:tcPr>
            <w:tcW w:w="16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Рачунарске науке</w:t>
            </w: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МАС</w:t>
            </w:r>
          </w:p>
        </w:tc>
      </w:tr>
      <w:tr>
        <w:trPr>
          <w:trHeight w:val="427" w:hRule="atLeast"/>
        </w:trPr>
        <w:tc>
          <w:tcPr>
            <w:tcW w:w="8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6.</w:t>
            </w:r>
          </w:p>
        </w:tc>
        <w:tc>
          <w:tcPr>
            <w:tcW w:w="108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ГИ402</w:t>
            </w:r>
          </w:p>
        </w:tc>
        <w:tc>
          <w:tcPr>
            <w:tcW w:w="2731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Базе просторних података</w:t>
            </w:r>
          </w:p>
        </w:tc>
        <w:tc>
          <w:tcPr>
            <w:tcW w:w="146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Предавања и вежбе</w:t>
            </w:r>
          </w:p>
        </w:tc>
        <w:tc>
          <w:tcPr>
            <w:tcW w:w="168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Дипломирани географ - геоинформатичар</w:t>
            </w:r>
          </w:p>
        </w:tc>
        <w:tc>
          <w:tcPr>
            <w:tcW w:w="16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ОАС</w:t>
            </w:r>
          </w:p>
        </w:tc>
      </w:tr>
      <w:tr>
        <w:trPr>
          <w:trHeight w:val="427" w:hRule="atLeast"/>
        </w:trPr>
        <w:tc>
          <w:tcPr>
            <w:tcW w:w="9467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b/>
                <w:b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CS"/>
              </w:rPr>
              <w:t>Репрезентативне референце (минимално 5 не више од 10)</w:t>
            </w:r>
          </w:p>
        </w:tc>
      </w:tr>
      <w:tr>
        <w:trPr>
          <w:trHeight w:val="427" w:hRule="atLeast"/>
        </w:trPr>
        <w:tc>
          <w:tcPr>
            <w:tcW w:w="1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</w:r>
          </w:p>
        </w:tc>
        <w:tc>
          <w:tcPr>
            <w:tcW w:w="783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Tešendić, D., Boberić-Krstićev, D., Predrag, M., Brdar, S., Panić, M., Minić, V.,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Šikoparija, B. (2020) RealForAll: Real-time System for Automatic Detection of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Airborne Pollen. Enterprise Information Systems, in print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(https://doi.org/10.1080/17517575.2020.1793391)</w:t>
            </w:r>
          </w:p>
        </w:tc>
      </w:tr>
      <w:tr>
        <w:trPr>
          <w:trHeight w:val="427" w:hRule="atLeast"/>
        </w:trPr>
        <w:tc>
          <w:tcPr>
            <w:tcW w:w="1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</w:r>
          </w:p>
        </w:tc>
        <w:tc>
          <w:tcPr>
            <w:tcW w:w="783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Tešendić, D. and Krstićev, D.B., 2019. Business Intelligence in the Service of Libraries.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Information Technology and Libraries, 38(4), pp.98-113.</w:t>
            </w:r>
          </w:p>
        </w:tc>
      </w:tr>
      <w:tr>
        <w:trPr>
          <w:trHeight w:val="427" w:hRule="atLeast"/>
        </w:trPr>
        <w:tc>
          <w:tcPr>
            <w:tcW w:w="1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</w:r>
          </w:p>
        </w:tc>
        <w:tc>
          <w:tcPr>
            <w:tcW w:w="783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Krsticev, D.B., Tešendic, D. and Verma, B.K., 2016. Inventory of a library collection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using Android application. Electronic Library, 34(5), pp.856-868.</w:t>
            </w:r>
          </w:p>
        </w:tc>
      </w:tr>
      <w:tr>
        <w:trPr>
          <w:trHeight w:val="427" w:hRule="atLeast"/>
        </w:trPr>
        <w:tc>
          <w:tcPr>
            <w:tcW w:w="1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</w:r>
          </w:p>
        </w:tc>
        <w:tc>
          <w:tcPr>
            <w:tcW w:w="783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Boberić-Krstićev Danijela, Tešendić Danijela, Mixed approach in creating a university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union catalogue, Electronic Library (ISSN: 0264-0473), Vol 33, No 6, 2015, pp. 970-989</w:t>
            </w:r>
          </w:p>
        </w:tc>
      </w:tr>
      <w:tr>
        <w:trPr>
          <w:trHeight w:val="427" w:hRule="atLeast"/>
        </w:trPr>
        <w:tc>
          <w:tcPr>
            <w:tcW w:w="1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</w:r>
          </w:p>
        </w:tc>
        <w:tc>
          <w:tcPr>
            <w:tcW w:w="783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Tešendić Danijela, Boberić-Krstićev Danijela, Web service for connecting visually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impaired people with libraries, Aslib Journal of Information Management (ISSN: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2050-3806), Vol 67, No 2, 2015, pp. 230-243.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http://www.emeraldinsight.com/doi/abs/10.1108/AJIM-11-2014-0149</w:t>
            </w:r>
          </w:p>
        </w:tc>
      </w:tr>
      <w:tr>
        <w:trPr>
          <w:trHeight w:val="427" w:hRule="atLeast"/>
        </w:trPr>
        <w:tc>
          <w:tcPr>
            <w:tcW w:w="1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</w:r>
          </w:p>
        </w:tc>
        <w:tc>
          <w:tcPr>
            <w:tcW w:w="783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Boberić-Krstićev, D. and Tešendić, D. (2019) BISIS Software as a Service.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In:Proceedings of the 9th International Conference on Information Society and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Technology, Kopaonik, 2019: Society for Information Systems and Computer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Networks, pp. 58-61</w:t>
            </w:r>
          </w:p>
        </w:tc>
      </w:tr>
      <w:tr>
        <w:trPr>
          <w:trHeight w:val="427" w:hRule="atLeast"/>
        </w:trPr>
        <w:tc>
          <w:tcPr>
            <w:tcW w:w="1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</w:r>
          </w:p>
        </w:tc>
        <w:tc>
          <w:tcPr>
            <w:tcW w:w="783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Boberić-Krstićev, D. and Tešendić, D. (2018) Improving Library Services using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Business Intelligence. In: Konjović, Z., Zdravković, M. and Trajanović, M. (eds.)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Proceedings of the 8th International Conference on Information Society and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Technology, Kopaonik, 2018: Society for information systems and computer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networks, pp. 44-47</w:t>
            </w:r>
          </w:p>
        </w:tc>
      </w:tr>
      <w:tr>
        <w:trPr>
          <w:trHeight w:val="427" w:hRule="atLeast"/>
        </w:trPr>
        <w:tc>
          <w:tcPr>
            <w:tcW w:w="1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</w:r>
          </w:p>
        </w:tc>
        <w:tc>
          <w:tcPr>
            <w:tcW w:w="783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Fodor, L., Tešendić, D., Kurbalija, V. and Škrbić, S. (2017) Performing Hierarchical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Clustering on Distance Matrices in OptiML. In:Proceedings of the World Congress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on Engineering 2017, London, 2017, pp. 612-617</w:t>
            </w:r>
          </w:p>
        </w:tc>
      </w:tr>
      <w:tr>
        <w:trPr>
          <w:trHeight w:val="427" w:hRule="atLeast"/>
        </w:trPr>
        <w:tc>
          <w:tcPr>
            <w:tcW w:w="1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</w:r>
          </w:p>
        </w:tc>
        <w:tc>
          <w:tcPr>
            <w:tcW w:w="783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Boberić-Krstićev, D., Tešendić, D., Jović, M. , Bajić, Ž. (2016) DSL for web application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development. In: Zdravković, M., Trajanović, M. and Konjović, Z. (eds.) 6th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international conference on information society and technology, Kopaonik, 2016.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Srbija: Society for Information Systems and Computer Networks, pp. 174-178</w:t>
            </w:r>
          </w:p>
        </w:tc>
      </w:tr>
      <w:tr>
        <w:trPr>
          <w:trHeight w:val="427" w:hRule="atLeast"/>
        </w:trPr>
        <w:tc>
          <w:tcPr>
            <w:tcW w:w="1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</w:r>
          </w:p>
        </w:tc>
        <w:tc>
          <w:tcPr>
            <w:tcW w:w="783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Tešendić Danijela, Boberić-Krstićev Danijela, Intermediary Service for Electronic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Material Retrieval from Libraries, Proceeding of the Third International Conference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on Informatics Engineering and Information Science, 2014, pp. 127-135.</w:t>
            </w:r>
          </w:p>
        </w:tc>
      </w:tr>
      <w:tr>
        <w:trPr>
          <w:trHeight w:val="427" w:hRule="atLeast"/>
        </w:trPr>
        <w:tc>
          <w:tcPr>
            <w:tcW w:w="9467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b/>
                <w:b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>
        <w:trPr>
          <w:trHeight w:val="427" w:hRule="atLeast"/>
        </w:trPr>
        <w:tc>
          <w:tcPr>
            <w:tcW w:w="423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Укупан број цитата</w:t>
            </w:r>
          </w:p>
        </w:tc>
        <w:tc>
          <w:tcPr>
            <w:tcW w:w="52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116</w:t>
            </w:r>
          </w:p>
        </w:tc>
      </w:tr>
      <w:tr>
        <w:trPr>
          <w:trHeight w:val="427" w:hRule="atLeast"/>
        </w:trPr>
        <w:tc>
          <w:tcPr>
            <w:tcW w:w="423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Укупан број радова са SCI (SSCI) листе</w:t>
            </w:r>
          </w:p>
        </w:tc>
        <w:tc>
          <w:tcPr>
            <w:tcW w:w="52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7</w:t>
            </w:r>
          </w:p>
        </w:tc>
      </w:tr>
      <w:tr>
        <w:trPr>
          <w:trHeight w:val="278" w:hRule="atLeast"/>
        </w:trPr>
        <w:tc>
          <w:tcPr>
            <w:tcW w:w="423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Тренутно учешће на пројектима</w:t>
            </w:r>
          </w:p>
        </w:tc>
        <w:tc>
          <w:tcPr>
            <w:tcW w:w="16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 xml:space="preserve">Домаћи </w:t>
            </w:r>
            <w:r>
              <w:rPr>
                <w:rFonts w:ascii="Times New Roman" w:hAnsi="Times New Roman"/>
                <w:sz w:val="20"/>
                <w:szCs w:val="20"/>
                <w:lang w:val="sr-CS"/>
              </w:rPr>
              <w:t>3</w:t>
            </w:r>
          </w:p>
        </w:tc>
        <w:tc>
          <w:tcPr>
            <w:tcW w:w="35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 xml:space="preserve">Међународни </w:t>
            </w:r>
            <w:r>
              <w:rPr>
                <w:rFonts w:ascii="Times New Roman" w:hAnsi="Times New Roman"/>
                <w:sz w:val="20"/>
                <w:szCs w:val="20"/>
                <w:lang w:val="sr-CS"/>
              </w:rPr>
              <w:t>1</w:t>
            </w:r>
          </w:p>
        </w:tc>
      </w:tr>
      <w:tr>
        <w:trPr>
          <w:trHeight w:val="427" w:hRule="atLeast"/>
        </w:trPr>
        <w:tc>
          <w:tcPr>
            <w:tcW w:w="227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 xml:space="preserve">Усавршавања </w:t>
            </w:r>
          </w:p>
        </w:tc>
        <w:tc>
          <w:tcPr>
            <w:tcW w:w="719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</w:r>
          </w:p>
        </w:tc>
      </w:tr>
      <w:tr>
        <w:trPr>
          <w:trHeight w:val="427" w:hRule="atLeast"/>
        </w:trPr>
        <w:tc>
          <w:tcPr>
            <w:tcW w:w="9467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Други подаци које сматрате релевантним</w:t>
            </w:r>
          </w:p>
        </w:tc>
      </w:tr>
      <w:tr>
        <w:trPr>
          <w:trHeight w:val="427" w:hRule="atLeast"/>
        </w:trPr>
        <w:tc>
          <w:tcPr>
            <w:tcW w:w="9467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Ове податке дати за сваког наставника, или користећи исту форму формулара формирати књигу свих наставника у установи, која се у том слушају даје као прилог. Ова табела несме прећи једну А4 страну.</w:t>
            </w:r>
          </w:p>
        </w:tc>
      </w:tr>
    </w:tbl>
    <w:p>
      <w:pPr>
        <w:pStyle w:val="Normal"/>
        <w:rPr/>
      </w:pPr>
      <w:r>
        <w:rPr/>
      </w:r>
    </w:p>
    <w:sectPr>
      <w:type w:val="nextPage"/>
      <w:pgSz w:w="12240" w:h="15840"/>
      <w:pgMar w:left="1440" w:right="1440" w:header="0" w:top="1440" w:footer="0" w:bottom="1440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Times New Roman"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83"/>
  <w:defaultTabStop w:val="720"/>
  <w:autoHyphenation w:val="true"/>
  <w:compat>
    <w:compatSetting w:name="compatibilityMode" w:uri="http://schemas.microsoft.com/office/word" w:val="12"/>
  </w:compat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271555"/>
    <w:pPr>
      <w:widowControl/>
      <w:bidi w:val="0"/>
      <w:spacing w:lineRule="auto" w:line="240" w:before="0" w:after="0"/>
      <w:jc w:val="left"/>
    </w:pPr>
    <w:rPr>
      <w:rFonts w:ascii="Calibri" w:hAnsi="Calibri" w:eastAsia="Calibri" w:cs="Times New Roman" w:asciiTheme="minorHAnsi" w:eastAsiaTheme="minorHAnsi" w:hAnsiTheme="minorHAnsi"/>
      <w:color w:val="auto"/>
      <w:kern w:val="0"/>
      <w:sz w:val="22"/>
      <w:szCs w:val="22"/>
      <w:lang w:val="en-U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InternetLink">
    <w:name w:val="Hyper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Source Han Sans CN" w:cs="DejaVu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/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Application>LibreOffice/7.0.3.1$Linux_X86_64 LibreOffice_project/00$Build-1</Application>
  <Pages>2</Pages>
  <Words>565</Words>
  <Characters>3708</Characters>
  <CharactersWithSpaces>4155</CharactersWithSpaces>
  <Paragraphs>134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2020-12-17T15:49:00Z</dcterms:created>
  <dc:creator>Fujitsu</dc:creator>
  <dc:description/>
  <dc:language>en-US</dc:language>
  <cp:lastModifiedBy/>
  <dcterms:modified xsi:type="dcterms:W3CDTF">2020-12-18T11:51:34Z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