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F4" w:rsidRPr="00CB351B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CB351B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CB351B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810"/>
        <w:gridCol w:w="180"/>
        <w:gridCol w:w="90"/>
        <w:gridCol w:w="630"/>
        <w:gridCol w:w="1350"/>
        <w:gridCol w:w="1080"/>
        <w:gridCol w:w="104"/>
        <w:gridCol w:w="346"/>
        <w:gridCol w:w="810"/>
        <w:gridCol w:w="515"/>
        <w:gridCol w:w="205"/>
        <w:gridCol w:w="1530"/>
        <w:gridCol w:w="2520"/>
      </w:tblGrid>
      <w:tr w:rsidR="000F78F4" w:rsidRPr="00CB351B" w:rsidTr="00135515">
        <w:trPr>
          <w:trHeight w:val="332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Петар Кнежевић</w:t>
            </w:r>
          </w:p>
        </w:tc>
      </w:tr>
      <w:tr w:rsidR="000F78F4" w:rsidRPr="00CB351B" w:rsidTr="00135515">
        <w:trPr>
          <w:trHeight w:val="341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D22573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Редо</w:t>
            </w:r>
            <w:r w:rsidR="005B37C9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вни</w:t>
            </w:r>
            <w:r w:rsidR="00AB0C5B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0F78F4" w:rsidRPr="00CB351B" w:rsidTr="00135515">
        <w:trPr>
          <w:trHeight w:val="558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CB351B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AB0C5B" w:rsidP="00B77D0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CB35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B37C9" w:rsidRPr="00CB351B">
              <w:rPr>
                <w:rFonts w:ascii="Times New Roman" w:hAnsi="Times New Roman"/>
                <w:sz w:val="20"/>
                <w:szCs w:val="20"/>
              </w:rPr>
              <w:t>УНС</w:t>
            </w:r>
            <w:r w:rsidR="006236AC" w:rsidRPr="00CB351B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B77D07">
              <w:rPr>
                <w:rFonts w:ascii="Times New Roman" w:hAnsi="Times New Roman"/>
                <w:sz w:val="20"/>
                <w:szCs w:val="20"/>
                <w:lang/>
              </w:rPr>
              <w:t>Нови Сад, 2005</w:t>
            </w:r>
          </w:p>
        </w:tc>
      </w:tr>
      <w:tr w:rsidR="000F78F4" w:rsidRPr="00CB351B" w:rsidTr="00135515">
        <w:trPr>
          <w:trHeight w:val="368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0F78F4" w:rsidRPr="00CB351B" w:rsidTr="00135515">
        <w:trPr>
          <w:trHeight w:val="323"/>
          <w:jc w:val="center"/>
        </w:trPr>
        <w:tc>
          <w:tcPr>
            <w:tcW w:w="10890" w:type="dxa"/>
            <w:gridSpan w:val="14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22573" w:rsidRPr="00CB351B" w:rsidTr="00135515">
        <w:trPr>
          <w:trHeight w:val="277"/>
          <w:jc w:val="center"/>
        </w:trPr>
        <w:tc>
          <w:tcPr>
            <w:tcW w:w="1530" w:type="dxa"/>
            <w:gridSpan w:val="2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6236AC" w:rsidRPr="00CB351B" w:rsidTr="00135515">
        <w:trPr>
          <w:trHeight w:val="269"/>
          <w:jc w:val="center"/>
        </w:trPr>
        <w:tc>
          <w:tcPr>
            <w:tcW w:w="1530" w:type="dxa"/>
            <w:gridSpan w:val="2"/>
            <w:vAlign w:val="center"/>
          </w:tcPr>
          <w:p w:rsidR="006236AC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3"/>
            <w:vAlign w:val="center"/>
          </w:tcPr>
          <w:p w:rsidR="006236AC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1350" w:type="dxa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6236AC" w:rsidRPr="00CB351B" w:rsidRDefault="006236AC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6236AC" w:rsidRPr="00CB351B" w:rsidTr="00135515">
        <w:trPr>
          <w:trHeight w:val="260"/>
          <w:jc w:val="center"/>
        </w:trPr>
        <w:tc>
          <w:tcPr>
            <w:tcW w:w="1530" w:type="dxa"/>
            <w:gridSpan w:val="2"/>
            <w:vAlign w:val="center"/>
          </w:tcPr>
          <w:p w:rsidR="006236AC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3"/>
            <w:vAlign w:val="center"/>
          </w:tcPr>
          <w:p w:rsidR="006236AC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2009.</w:t>
            </w:r>
          </w:p>
        </w:tc>
        <w:tc>
          <w:tcPr>
            <w:tcW w:w="1350" w:type="dxa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6236AC" w:rsidRPr="00CB351B" w:rsidRDefault="006236AC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6236AC" w:rsidRPr="00CB351B" w:rsidTr="00135515">
        <w:trPr>
          <w:trHeight w:val="269"/>
          <w:jc w:val="center"/>
        </w:trPr>
        <w:tc>
          <w:tcPr>
            <w:tcW w:w="1530" w:type="dxa"/>
            <w:gridSpan w:val="2"/>
            <w:vAlign w:val="center"/>
          </w:tcPr>
          <w:p w:rsidR="006236AC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3"/>
            <w:vAlign w:val="center"/>
          </w:tcPr>
          <w:p w:rsidR="006236AC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200</w:t>
            </w: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5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6236AC" w:rsidRPr="00CB351B" w:rsidRDefault="006236AC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D22573" w:rsidRPr="00CB351B" w:rsidTr="00135515">
        <w:trPr>
          <w:trHeight w:val="242"/>
          <w:jc w:val="center"/>
        </w:trPr>
        <w:tc>
          <w:tcPr>
            <w:tcW w:w="1530" w:type="dxa"/>
            <w:gridSpan w:val="2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3"/>
            <w:vAlign w:val="center"/>
          </w:tcPr>
          <w:p w:rsidR="00AB0C5B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2002</w:t>
            </w:r>
            <w:r w:rsidR="00AB0C5B" w:rsidRPr="00CB351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AB0C5B" w:rsidRPr="00CB351B" w:rsidRDefault="005B37C9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AB0C5B" w:rsidRPr="00CB351B" w:rsidRDefault="00AB0C5B" w:rsidP="00AB0C5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AB0C5B" w:rsidRPr="00CB351B" w:rsidRDefault="00AB0C5B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AB0C5B" w:rsidRPr="00CB351B" w:rsidTr="00135515">
        <w:trPr>
          <w:trHeight w:val="427"/>
          <w:jc w:val="center"/>
        </w:trPr>
        <w:tc>
          <w:tcPr>
            <w:tcW w:w="10890" w:type="dxa"/>
            <w:gridSpan w:val="14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CB351B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641397" w:rsidRPr="00CB351B" w:rsidTr="00135515">
        <w:trPr>
          <w:trHeight w:val="62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CB351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CB351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41397" w:rsidRPr="00CB351B" w:rsidTr="00135515">
        <w:trPr>
          <w:trHeight w:val="215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AB0C5B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AB0C5B" w:rsidRPr="00CB351B" w:rsidRDefault="006C4F5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ОБ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AB0C5B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Основе микробиологије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AB0C5B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AB0C5B" w:rsidRPr="00CB351B" w:rsidRDefault="006236AC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B0C5B" w:rsidRPr="00CB351B" w:rsidRDefault="00BC2B35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A</w:t>
            </w:r>
            <w:r w:rsidR="005B37C9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BC2B35" w:rsidRPr="00CB351B" w:rsidTr="00135515">
        <w:trPr>
          <w:trHeight w:val="26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BC2B35" w:rsidRPr="00CB351B" w:rsidRDefault="00BC2B35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C2B35" w:rsidRPr="00CB351B" w:rsidRDefault="00BC2B35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6236AC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CB351B">
              <w:rPr>
                <w:rFonts w:ascii="Times New Roman" w:hAnsi="Times New Roman"/>
                <w:sz w:val="20"/>
                <w:szCs w:val="20"/>
                <w:lang/>
              </w:rPr>
              <w:t>024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Вирусологија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C2B35" w:rsidRPr="00CB351B" w:rsidRDefault="00BC2B35" w:rsidP="00BC2B3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20" w:type="dxa"/>
            <w:shd w:val="clear" w:color="auto" w:fill="auto"/>
          </w:tcPr>
          <w:p w:rsidR="00BC2B35" w:rsidRPr="00CB351B" w:rsidRDefault="00BC2B35" w:rsidP="00BC2B35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A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DE45A9" w:rsidRPr="00CB351B" w:rsidTr="00135515">
        <w:trPr>
          <w:trHeight w:val="25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DE45A9" w:rsidRPr="00CB351B" w:rsidRDefault="00DE45A9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45A9" w:rsidRPr="00CB351B" w:rsidRDefault="00DE45A9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6F6"/>
              </w:rPr>
              <w:t>ОБ</w:t>
            </w:r>
            <w:r w:rsidR="00CB351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6F6"/>
              </w:rPr>
              <w:t>051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DE45A9" w:rsidRPr="00CB351B" w:rsidRDefault="006236AC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Бактериологија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DE45A9" w:rsidRPr="00CB351B" w:rsidRDefault="00DE45A9" w:rsidP="00C81452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DE45A9" w:rsidRPr="00CB351B" w:rsidRDefault="006236AC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E45A9" w:rsidRPr="00CB351B" w:rsidRDefault="006236AC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О</w:t>
            </w:r>
            <w:r w:rsidR="00DE45A9" w:rsidRPr="00CB351B">
              <w:rPr>
                <w:rFonts w:ascii="Times New Roman" w:hAnsi="Times New Roman"/>
                <w:sz w:val="20"/>
                <w:szCs w:val="20"/>
                <w:lang/>
              </w:rPr>
              <w:t>АС</w:t>
            </w:r>
          </w:p>
        </w:tc>
      </w:tr>
      <w:tr w:rsidR="00BC2B35" w:rsidRPr="00CB351B" w:rsidTr="00135515">
        <w:trPr>
          <w:trHeight w:val="26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CB351B">
              <w:rPr>
                <w:rFonts w:ascii="Times New Roman" w:hAnsi="Times New Roman"/>
                <w:sz w:val="20"/>
                <w:szCs w:val="20"/>
                <w:lang/>
              </w:rPr>
              <w:t>22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Биофилмови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C2B35" w:rsidRPr="00CB351B" w:rsidRDefault="00BC2B35" w:rsidP="00BC2B3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520" w:type="dxa"/>
            <w:shd w:val="clear" w:color="auto" w:fill="auto"/>
          </w:tcPr>
          <w:p w:rsidR="00BC2B35" w:rsidRPr="00CB351B" w:rsidRDefault="006236AC" w:rsidP="00BC2B35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М</w:t>
            </w:r>
            <w:r w:rsidR="00BC2B35" w:rsidRPr="00CB351B">
              <w:rPr>
                <w:rFonts w:ascii="Times New Roman" w:hAnsi="Times New Roman"/>
                <w:sz w:val="20"/>
                <w:szCs w:val="20"/>
                <w:lang/>
              </w:rPr>
              <w:t>A</w:t>
            </w:r>
            <w:r w:rsidR="00BC2B35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641397" w:rsidRPr="00CB351B" w:rsidTr="00135515">
        <w:trPr>
          <w:trHeight w:val="206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5B37C9" w:rsidRPr="00CB351B" w:rsidRDefault="006C4F5C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CB351B">
              <w:rPr>
                <w:rFonts w:ascii="Times New Roman" w:hAnsi="Times New Roman"/>
                <w:sz w:val="20"/>
                <w:szCs w:val="20"/>
                <w:lang/>
              </w:rPr>
              <w:t>16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Патогени микроорганизми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B37C9" w:rsidRPr="00CB351B" w:rsidRDefault="005B37C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37C9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B37C9" w:rsidRPr="00CB351B" w:rsidTr="00135515">
        <w:trPr>
          <w:trHeight w:val="26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5B37C9" w:rsidRPr="00CB351B" w:rsidRDefault="006C4F5C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CB351B">
              <w:rPr>
                <w:rFonts w:ascii="Times New Roman" w:hAnsi="Times New Roman"/>
                <w:sz w:val="20"/>
                <w:szCs w:val="20"/>
                <w:lang/>
              </w:rPr>
              <w:t>25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бактериофага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B37C9" w:rsidRPr="00CB351B" w:rsidRDefault="005B37C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37C9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B0C5B" w:rsidRPr="00CB351B" w:rsidTr="00135515">
        <w:trPr>
          <w:trHeight w:val="427"/>
          <w:jc w:val="center"/>
        </w:trPr>
        <w:tc>
          <w:tcPr>
            <w:tcW w:w="10890" w:type="dxa"/>
            <w:gridSpan w:val="14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236AC" w:rsidRPr="00CB351B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6236AC" w:rsidRPr="00CB351B" w:rsidRDefault="006236AC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6236AC" w:rsidRPr="00CB351B" w:rsidRDefault="009563F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Gavrić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D., </w:t>
            </w:r>
            <w:proofErr w:type="spellStart"/>
            <w:r w:rsidRPr="00CB351B">
              <w:rPr>
                <w:rFonts w:ascii="Times New Roman" w:hAnsi="Times New Roman" w:cs="Times New Roman"/>
                <w:b/>
                <w:sz w:val="20"/>
                <w:szCs w:val="20"/>
              </w:rPr>
              <w:t>Knežević</w:t>
            </w:r>
            <w:proofErr w:type="spellEnd"/>
            <w:r w:rsidRPr="00CB35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P. 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(2022): Optimized Method for Pseudomonas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aeruginosa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Integrative Filamentous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Bacteriophage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Propagation. Front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Microbiol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. 12:707815. </w:t>
            </w:r>
            <w:hyperlink r:id="rId5" w:history="1">
              <w:r w:rsidRPr="00CB351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https://doi.org/10.3389/fmicb.2021.707815</w:t>
              </w:r>
            </w:hyperlink>
          </w:p>
        </w:tc>
      </w:tr>
      <w:tr w:rsidR="006236AC" w:rsidRPr="00CB351B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6236AC" w:rsidRPr="00CB351B" w:rsidRDefault="006236AC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6236AC" w:rsidRPr="00CB351B" w:rsidRDefault="009563F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 w:cs="Times New Roman"/>
                <w:b/>
                <w:sz w:val="20"/>
                <w:szCs w:val="20"/>
              </w:rPr>
              <w:t>Knezevic</w:t>
            </w:r>
            <w:proofErr w:type="spellEnd"/>
            <w:r w:rsidRPr="00CB351B">
              <w:rPr>
                <w:rFonts w:ascii="Times New Roman" w:hAnsi="Times New Roman" w:cs="Times New Roman"/>
                <w:b/>
                <w:sz w:val="20"/>
                <w:szCs w:val="20"/>
              </w:rPr>
              <w:t>, P.;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Petrovic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Fabijan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A.;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Gavric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D.;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Pejic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J.;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Doffkay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Z.;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Rakhely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G. Phages from Genus </w:t>
            </w:r>
            <w:proofErr w:type="spellStart"/>
            <w:r w:rsidRPr="00CB351B">
              <w:rPr>
                <w:rFonts w:ascii="Times New Roman" w:hAnsi="Times New Roman" w:cs="Times New Roman"/>
                <w:i/>
                <w:sz w:val="20"/>
                <w:szCs w:val="20"/>
              </w:rPr>
              <w:t>Bruynoghevirus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and Phage Therapy: Pseudomonas Phage Delta Case. Viruses 2021, 13, 1965. </w:t>
            </w:r>
            <w:hyperlink r:id="rId6" w:history="1">
              <w:r w:rsidRPr="00CB351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https://doi.org/10.3390/v13101965</w:t>
              </w:r>
            </w:hyperlink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36AC" w:rsidRPr="00CB351B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6236AC" w:rsidRPr="00CB351B" w:rsidRDefault="006236AC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6236AC" w:rsidRPr="00CB351B" w:rsidRDefault="009563F0" w:rsidP="00CB351B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Petrovic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Fabijan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A.;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Aleksic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Sabo, V.;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Gavric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D.;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Doffkay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Z.;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Rakhely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G.; </w:t>
            </w:r>
            <w:proofErr w:type="spellStart"/>
            <w:r w:rsidRPr="00CB351B">
              <w:rPr>
                <w:rFonts w:ascii="Times New Roman" w:hAnsi="Times New Roman" w:cs="Times New Roman"/>
                <w:b/>
                <w:sz w:val="20"/>
                <w:szCs w:val="20"/>
              </w:rPr>
              <w:t>Knezevic</w:t>
            </w:r>
            <w:proofErr w:type="spellEnd"/>
            <w:r w:rsidRPr="00CB351B">
              <w:rPr>
                <w:rFonts w:ascii="Times New Roman" w:hAnsi="Times New Roman" w:cs="Times New Roman"/>
                <w:b/>
                <w:sz w:val="20"/>
                <w:szCs w:val="20"/>
              </w:rPr>
              <w:t>, P.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Are </w:t>
            </w:r>
            <w:proofErr w:type="spellStart"/>
            <w:r w:rsidRPr="00CB351B">
              <w:rPr>
                <w:rFonts w:ascii="Times New Roman" w:hAnsi="Times New Roman" w:cs="Times New Roman"/>
                <w:i/>
                <w:sz w:val="20"/>
                <w:szCs w:val="20"/>
              </w:rPr>
              <w:t>Bordetella</w:t>
            </w:r>
            <w:proofErr w:type="spellEnd"/>
            <w:r w:rsidRPr="00CB35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 w:cs="Times New Roman"/>
                <w:i/>
                <w:sz w:val="20"/>
                <w:szCs w:val="20"/>
              </w:rPr>
              <w:t>bronchiseptica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Siphoviruses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(Genus </w:t>
            </w:r>
            <w:proofErr w:type="spellStart"/>
            <w:r w:rsidRPr="00CB351B">
              <w:rPr>
                <w:rFonts w:ascii="Times New Roman" w:hAnsi="Times New Roman" w:cs="Times New Roman"/>
                <w:i/>
                <w:sz w:val="20"/>
                <w:szCs w:val="20"/>
              </w:rPr>
              <w:t>Vojvodinavirus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) Appropriate for Phage Therapy—Bacterial Allies or Foes? Viruses 2021, 13, 1732. </w:t>
            </w:r>
            <w:hyperlink r:id="rId7" w:history="1">
              <w:r w:rsidRPr="00CB351B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https://doi.org/10.3390/v13091732</w:t>
              </w:r>
            </w:hyperlink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563F0" w:rsidRPr="00CB351B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9563F0" w:rsidRPr="00CB351B" w:rsidRDefault="009563F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9563F0" w:rsidRPr="00CB351B" w:rsidRDefault="009563F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Aleksic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Sabo, V., </w:t>
            </w:r>
            <w:proofErr w:type="spellStart"/>
            <w:r w:rsidRPr="00CB351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 w:color="000000"/>
              </w:rPr>
              <w:t>Knezevic</w:t>
            </w:r>
            <w:proofErr w:type="spellEnd"/>
            <w:r w:rsidRPr="00CB351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 w:color="000000"/>
              </w:rPr>
              <w:t xml:space="preserve">, P. 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(2019): Antimicrobial activity of </w:t>
            </w:r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Eucalyptus </w:t>
            </w:r>
            <w:proofErr w:type="spellStart"/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camaldulensis</w:t>
            </w:r>
            <w:proofErr w:type="spellEnd"/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Dehn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plant</w:t>
            </w:r>
            <w:proofErr w:type="gram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extracts and essential oils: A review. Industrial Crops and Products, 132: 413 -429.</w:t>
            </w:r>
            <w:r w:rsidR="00135515">
              <w:t xml:space="preserve"> </w:t>
            </w:r>
            <w:hyperlink r:id="rId8" w:history="1">
              <w:r w:rsidR="00135515" w:rsidRPr="000F6434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https://doi.org/10.1016/j.indcrop.2019.02.051</w:t>
              </w:r>
            </w:hyperlink>
            <w:r w:rsidR="001355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563F0" w:rsidRPr="00CB351B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9563F0" w:rsidRPr="00CB351B" w:rsidRDefault="009563F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9563F0" w:rsidRPr="00CB351B" w:rsidRDefault="009563F0" w:rsidP="00135515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Barylski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J.,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Enault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F,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Dutilh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Bas, E.,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Schuller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BP M., Edwards Robert, A., Gillis, A.,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Klumpp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J., </w:t>
            </w:r>
            <w:proofErr w:type="spellStart"/>
            <w:r w:rsidRPr="00CB351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 w:color="000000"/>
              </w:rPr>
              <w:t>Knezevic</w:t>
            </w:r>
            <w:proofErr w:type="spellEnd"/>
            <w:r w:rsidRPr="00CB351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 w:color="000000"/>
              </w:rPr>
              <w:t>, P.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Krupovic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M., Kuhn Jens, H.,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Lavigne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R.,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Oksanen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Hanna, M., Sullivan Matthew, B., Jang, H. B.,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Simmonds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P.,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Aiewsakun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P.,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Wittmann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J., Tolstoy, I.,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Brister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J. R.,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Kropinski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Andrew, M.,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Adriaenssens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E. (2019): Analysis of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Spounaviruses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as a Case Study for the Overdue Reclassification of Tailed Phages. Systematic Biology, 69(1):110-123. </w:t>
            </w:r>
            <w:hyperlink r:id="rId9" w:history="1">
              <w:r w:rsidR="00135515" w:rsidRPr="000F6434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https://doi.org/10.1093/sysbio/syz036</w:t>
              </w:r>
            </w:hyperlink>
            <w:r w:rsidR="001355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563F0" w:rsidRPr="00CB351B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9563F0" w:rsidRPr="00CB351B" w:rsidRDefault="009563F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9563F0" w:rsidRPr="00CB351B" w:rsidRDefault="009563F0" w:rsidP="00135515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Petrovic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Fabijan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A.,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Kostanjsek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R.,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Rakhely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G., </w:t>
            </w:r>
            <w:proofErr w:type="spellStart"/>
            <w:proofErr w:type="gramStart"/>
            <w:r w:rsidRPr="00CB351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 w:color="000000"/>
              </w:rPr>
              <w:t>Knezevic</w:t>
            </w:r>
            <w:proofErr w:type="spellEnd"/>
            <w:proofErr w:type="gramEnd"/>
            <w:r w:rsidRPr="00CB351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 w:color="000000"/>
              </w:rPr>
              <w:t xml:space="preserve">, P. 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(2016): The First </w:t>
            </w:r>
            <w:proofErr w:type="spellStart"/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Siphoviridae</w:t>
            </w:r>
            <w:proofErr w:type="spellEnd"/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Family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Bacteriophages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Infecting </w:t>
            </w:r>
            <w:proofErr w:type="spellStart"/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Bordetella</w:t>
            </w:r>
            <w:proofErr w:type="spellEnd"/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bronchiseptica</w:t>
            </w:r>
            <w:proofErr w:type="spellEnd"/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Isolated from Environment. Microbial Ecology. 73(2):368-377. </w:t>
            </w:r>
            <w:hyperlink r:id="rId10" w:history="1">
              <w:r w:rsidR="00135515" w:rsidRPr="000F6434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https://doi.org/10.1007/s00248-016-0847-0</w:t>
              </w:r>
            </w:hyperlink>
            <w:r w:rsidR="001355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563F0" w:rsidRPr="00CB351B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9563F0" w:rsidRPr="00CB351B" w:rsidRDefault="009563F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9563F0" w:rsidRPr="00CB351B" w:rsidRDefault="009563F0" w:rsidP="00135515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 w:color="000000"/>
              </w:rPr>
              <w:t>Knezevic</w:t>
            </w:r>
            <w:proofErr w:type="spellEnd"/>
            <w:r w:rsidRPr="00CB351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 w:color="000000"/>
              </w:rPr>
              <w:t>, P.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Aleksic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Sabo, V.,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Simin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N.,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Lesjak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M.,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Mimica-Dukic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, N. (2018): A colorimetric broth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microdilution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method for assessment of </w:t>
            </w:r>
            <w:r w:rsidRPr="00CB351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Helicobacter pylori </w:t>
            </w:r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sensitivity to antimicrobial agents. </w:t>
            </w:r>
            <w:proofErr w:type="spellStart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>Jounal</w:t>
            </w:r>
            <w:proofErr w:type="spellEnd"/>
            <w:r w:rsidRPr="00CB351B">
              <w:rPr>
                <w:rFonts w:ascii="Times New Roman" w:hAnsi="Times New Roman" w:cs="Times New Roman"/>
                <w:sz w:val="20"/>
                <w:szCs w:val="20"/>
              </w:rPr>
              <w:t xml:space="preserve"> of Pharmaceutical and Biomedical Analyses, 152:271-278. </w:t>
            </w:r>
            <w:hyperlink r:id="rId11" w:history="1">
              <w:r w:rsidR="00135515" w:rsidRPr="000F6434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https://doi.org/10.1016/j.jpba.2018.02.003</w:t>
              </w:r>
            </w:hyperlink>
            <w:r w:rsidR="001355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563F0" w:rsidRPr="00CB351B" w:rsidTr="00135515">
        <w:trPr>
          <w:trHeight w:val="290"/>
          <w:jc w:val="center"/>
        </w:trPr>
        <w:tc>
          <w:tcPr>
            <w:tcW w:w="10890" w:type="dxa"/>
            <w:gridSpan w:val="14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563F0" w:rsidRPr="00CB351B" w:rsidTr="00135515">
        <w:trPr>
          <w:trHeight w:val="314"/>
          <w:jc w:val="center"/>
        </w:trPr>
        <w:tc>
          <w:tcPr>
            <w:tcW w:w="4964" w:type="dxa"/>
            <w:gridSpan w:val="8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26" w:type="dxa"/>
            <w:gridSpan w:val="6"/>
            <w:vAlign w:val="center"/>
          </w:tcPr>
          <w:p w:rsidR="009563F0" w:rsidRPr="00CB351B" w:rsidRDefault="00CB351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1104</w:t>
            </w:r>
          </w:p>
        </w:tc>
      </w:tr>
      <w:tr w:rsidR="009563F0" w:rsidRPr="00CB351B" w:rsidTr="00135515">
        <w:trPr>
          <w:trHeight w:val="269"/>
          <w:jc w:val="center"/>
        </w:trPr>
        <w:tc>
          <w:tcPr>
            <w:tcW w:w="4964" w:type="dxa"/>
            <w:gridSpan w:val="8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26" w:type="dxa"/>
            <w:gridSpan w:val="6"/>
            <w:vAlign w:val="center"/>
          </w:tcPr>
          <w:p w:rsidR="009563F0" w:rsidRPr="00CB351B" w:rsidRDefault="00CB351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44</w:t>
            </w:r>
          </w:p>
        </w:tc>
      </w:tr>
      <w:tr w:rsidR="009563F0" w:rsidRPr="00CB351B" w:rsidTr="00135515">
        <w:trPr>
          <w:trHeight w:val="278"/>
          <w:jc w:val="center"/>
        </w:trPr>
        <w:tc>
          <w:tcPr>
            <w:tcW w:w="4964" w:type="dxa"/>
            <w:gridSpan w:val="8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71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 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351B" w:rsidRPr="00CB351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5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Међународни 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351B" w:rsidRPr="00CB351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563F0" w:rsidRPr="00CB351B" w:rsidTr="00135515">
        <w:trPr>
          <w:trHeight w:val="274"/>
          <w:jc w:val="center"/>
        </w:trPr>
        <w:tc>
          <w:tcPr>
            <w:tcW w:w="1710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9180" w:type="dxa"/>
            <w:gridSpan w:val="11"/>
            <w:vAlign w:val="center"/>
          </w:tcPr>
          <w:p w:rsidR="009563F0" w:rsidRPr="00CB351B" w:rsidRDefault="00CB351B" w:rsidP="00D2257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јун-август 2013. </w:t>
            </w: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Лабораторија за технологију гена, КУ Леувен, Белгија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јун-август 2013. Лабораторија за технологију гена, КУ Леувен, Белгија</w:t>
            </w:r>
          </w:p>
        </w:tc>
      </w:tr>
      <w:tr w:rsidR="009563F0" w:rsidRPr="00CB351B" w:rsidTr="00135515">
        <w:trPr>
          <w:trHeight w:val="427"/>
          <w:jc w:val="center"/>
        </w:trPr>
        <w:tc>
          <w:tcPr>
            <w:tcW w:w="1710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  <w:tc>
          <w:tcPr>
            <w:tcW w:w="9180" w:type="dxa"/>
            <w:gridSpan w:val="11"/>
            <w:vAlign w:val="center"/>
          </w:tcPr>
          <w:p w:rsidR="009563F0" w:rsidRPr="00CB351B" w:rsidRDefault="00CB351B" w:rsidP="00CB351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Члан Међународног комитета за таксономију вируса (</w:t>
            </w:r>
            <w:r w:rsidRPr="00CB351B">
              <w:rPr>
                <w:rFonts w:ascii="Times New Roman" w:hAnsi="Times New Roman"/>
                <w:sz w:val="20"/>
                <w:szCs w:val="20"/>
                <w:lang/>
              </w:rPr>
              <w:t>The International Committee on Taxonomy of Viruses; ICTV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 и председавајући за фамилију </w:t>
            </w:r>
            <w:r w:rsidRPr="00CB351B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Inoviridae</w:t>
            </w:r>
          </w:p>
        </w:tc>
      </w:tr>
    </w:tbl>
    <w:p w:rsidR="00CF55E0" w:rsidRPr="00CB351B" w:rsidRDefault="00CF55E0" w:rsidP="00FA57FF">
      <w:pPr>
        <w:rPr>
          <w:rFonts w:ascii="Times New Roman" w:hAnsi="Times New Roman"/>
          <w:sz w:val="20"/>
          <w:szCs w:val="20"/>
        </w:rPr>
      </w:pPr>
    </w:p>
    <w:sectPr w:rsidR="00CF55E0" w:rsidRPr="00CB351B" w:rsidSect="00135515">
      <w:pgSz w:w="11900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E0B"/>
    <w:multiLevelType w:val="hybridMultilevel"/>
    <w:tmpl w:val="39364B92"/>
    <w:lvl w:ilvl="0" w:tplc="0AC217B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8F4"/>
    <w:rsid w:val="0000312F"/>
    <w:rsid w:val="00032717"/>
    <w:rsid w:val="00037DC4"/>
    <w:rsid w:val="00056720"/>
    <w:rsid w:val="000611E5"/>
    <w:rsid w:val="00081AFC"/>
    <w:rsid w:val="000B78C1"/>
    <w:rsid w:val="000D2ECC"/>
    <w:rsid w:val="000E5E15"/>
    <w:rsid w:val="000F78F4"/>
    <w:rsid w:val="00135515"/>
    <w:rsid w:val="00142518"/>
    <w:rsid w:val="001773CB"/>
    <w:rsid w:val="00185C50"/>
    <w:rsid w:val="001C13E3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568F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B37C9"/>
    <w:rsid w:val="005C7C9B"/>
    <w:rsid w:val="006236AC"/>
    <w:rsid w:val="00631981"/>
    <w:rsid w:val="00641397"/>
    <w:rsid w:val="00683A1E"/>
    <w:rsid w:val="006A5CC4"/>
    <w:rsid w:val="006C4F5C"/>
    <w:rsid w:val="006D2AD9"/>
    <w:rsid w:val="006E0AFA"/>
    <w:rsid w:val="006F6E5C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552B1"/>
    <w:rsid w:val="009563F0"/>
    <w:rsid w:val="00956E51"/>
    <w:rsid w:val="00996293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AB0C5B"/>
    <w:rsid w:val="00B51FE0"/>
    <w:rsid w:val="00B77D07"/>
    <w:rsid w:val="00B91430"/>
    <w:rsid w:val="00BB7D20"/>
    <w:rsid w:val="00BC2B35"/>
    <w:rsid w:val="00BE7453"/>
    <w:rsid w:val="00C871AF"/>
    <w:rsid w:val="00C9059D"/>
    <w:rsid w:val="00CB351B"/>
    <w:rsid w:val="00CF55E0"/>
    <w:rsid w:val="00D06C63"/>
    <w:rsid w:val="00D146E1"/>
    <w:rsid w:val="00D22573"/>
    <w:rsid w:val="00D418C3"/>
    <w:rsid w:val="00D615DC"/>
    <w:rsid w:val="00DA2CF9"/>
    <w:rsid w:val="00DC1452"/>
    <w:rsid w:val="00DE45A9"/>
    <w:rsid w:val="00DF324C"/>
    <w:rsid w:val="00E24786"/>
    <w:rsid w:val="00E2588E"/>
    <w:rsid w:val="00E41FA4"/>
    <w:rsid w:val="00E67ACF"/>
    <w:rsid w:val="00EB3804"/>
    <w:rsid w:val="00F047BA"/>
    <w:rsid w:val="00F11860"/>
    <w:rsid w:val="00F135E4"/>
    <w:rsid w:val="00F35EC0"/>
    <w:rsid w:val="00F40CB7"/>
    <w:rsid w:val="00F81922"/>
    <w:rsid w:val="00F95FA6"/>
    <w:rsid w:val="00FA57FF"/>
    <w:rsid w:val="00FB5592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character" w:customStyle="1" w:styleId="articlecitationvolume">
    <w:name w:val="articlecitation_volume"/>
    <w:basedOn w:val="DefaultParagraphFont"/>
    <w:rsid w:val="00AB0C5B"/>
  </w:style>
  <w:style w:type="character" w:customStyle="1" w:styleId="articlecitationpages">
    <w:name w:val="articlecitation_pages"/>
    <w:basedOn w:val="DefaultParagraphFont"/>
    <w:rsid w:val="00AB0C5B"/>
  </w:style>
  <w:style w:type="paragraph" w:styleId="BodyText2">
    <w:name w:val="Body Text 2"/>
    <w:basedOn w:val="Normal"/>
    <w:link w:val="BodyText2Char"/>
    <w:rsid w:val="00AB0C5B"/>
    <w:rPr>
      <w:rFonts w:ascii="Times New Roman" w:eastAsia="Times New Roman" w:hAnsi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AB0C5B"/>
    <w:rPr>
      <w:rFonts w:eastAsia="Times New Roman"/>
      <w:color w:val="auto"/>
      <w:szCs w:val="24"/>
    </w:rPr>
  </w:style>
  <w:style w:type="paragraph" w:styleId="ListParagraph">
    <w:name w:val="List Paragraph"/>
    <w:basedOn w:val="Normal"/>
    <w:uiPriority w:val="34"/>
    <w:qFormat/>
    <w:rsid w:val="005B37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6236AC"/>
    <w:pPr>
      <w:widowControl w:val="0"/>
      <w:autoSpaceDE w:val="0"/>
      <w:autoSpaceDN w:val="0"/>
      <w:adjustRightInd w:val="0"/>
    </w:pPr>
    <w:rPr>
      <w:rFonts w:eastAsiaTheme="minorEastAsia" w:cs="Calibr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63F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indcrop.2019.02.05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v130917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v13101965" TargetMode="External"/><Relationship Id="rId11" Type="http://schemas.openxmlformats.org/officeDocument/2006/relationships/hyperlink" Target="https://doi.org/10.1016/j.jpba.2018.02.003" TargetMode="External"/><Relationship Id="rId5" Type="http://schemas.openxmlformats.org/officeDocument/2006/relationships/hyperlink" Target="https://doi.org/10.3389/fmicb.2021.707815" TargetMode="External"/><Relationship Id="rId10" Type="http://schemas.openxmlformats.org/officeDocument/2006/relationships/hyperlink" Target="https://doi.org/10.1007/s00248-016-0847-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3/sysbio/syz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Dragan RAdnovic</cp:lastModifiedBy>
  <cp:revision>2</cp:revision>
  <dcterms:created xsi:type="dcterms:W3CDTF">2022-05-23T18:26:00Z</dcterms:created>
  <dcterms:modified xsi:type="dcterms:W3CDTF">2022-05-23T18:26:00Z</dcterms:modified>
</cp:coreProperties>
</file>