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567" w:leader="none"/>
        </w:tabs>
        <w:spacing w:before="0" w:after="60"/>
        <w:jc w:val="both"/>
        <w:rPr>
          <w:rFonts w:ascii="Times New Roman" w:hAnsi="Times New Roman"/>
          <w:i/>
          <w:i/>
          <w:iCs/>
          <w:sz w:val="20"/>
          <w:szCs w:val="20"/>
          <w:lang w:val="sr-CS"/>
        </w:rPr>
      </w:pPr>
      <w:bookmarkStart w:id="0" w:name="_GoBack"/>
      <w:bookmarkEnd w:id="0"/>
      <w:r>
        <w:rPr>
          <w:rFonts w:ascii="Times New Roman" w:hAnsi="Times New Roman"/>
          <w:b/>
          <w:i/>
          <w:iCs/>
          <w:sz w:val="20"/>
          <w:szCs w:val="20"/>
          <w:lang w:val="sr-CS"/>
        </w:rPr>
        <w:t>Табела 9.1.</w:t>
      </w:r>
      <w:r>
        <w:rPr>
          <w:rFonts w:ascii="Times New Roman" w:hAnsi="Times New Roman"/>
          <w:i/>
          <w:iCs/>
          <w:sz w:val="20"/>
          <w:szCs w:val="20"/>
          <w:lang w:val="sr-CS"/>
        </w:rPr>
        <w:t xml:space="preserve"> Научне, уметничке и стручне квалификације наставника и задужења у настави</w:t>
      </w:r>
    </w:p>
    <w:tbl>
      <w:tblPr>
        <w:tblW w:w="8902" w:type="dxa"/>
        <w:jc w:val="left"/>
        <w:tblInd w:w="108" w:type="dxa"/>
        <w:tblLayout w:type="fixed"/>
        <w:tblCellMar>
          <w:top w:w="0" w:type="dxa"/>
          <w:left w:w="108" w:type="dxa"/>
          <w:bottom w:w="0" w:type="dxa"/>
          <w:right w:w="108" w:type="dxa"/>
        </w:tblCellMar>
        <w:tblLook w:val="01e0" w:noHBand="0" w:noVBand="0" w:firstColumn="1" w:lastRow="1" w:lastColumn="1" w:firstRow="1"/>
      </w:tblPr>
      <w:tblGrid>
        <w:gridCol w:w="816"/>
        <w:gridCol w:w="767"/>
        <w:gridCol w:w="46"/>
        <w:gridCol w:w="251"/>
        <w:gridCol w:w="333"/>
        <w:gridCol w:w="279"/>
        <w:gridCol w:w="1583"/>
        <w:gridCol w:w="263"/>
        <w:gridCol w:w="113"/>
        <w:gridCol w:w="753"/>
        <w:gridCol w:w="416"/>
        <w:gridCol w:w="171"/>
        <w:gridCol w:w="1241"/>
        <w:gridCol w:w="323"/>
        <w:gridCol w:w="1546"/>
      </w:tblGrid>
      <w:tr>
        <w:trPr>
          <w:trHeight w:val="427" w:hRule="atLeast"/>
        </w:trPr>
        <w:tc>
          <w:tcPr>
            <w:tcW w:w="4338"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 xml:space="preserve">Име и презиме </w:t>
            </w:r>
          </w:p>
        </w:tc>
        <w:tc>
          <w:tcPr>
            <w:tcW w:w="456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Дони Працнер</w:t>
            </w:r>
          </w:p>
        </w:tc>
      </w:tr>
      <w:tr>
        <w:trPr>
          <w:trHeight w:val="427" w:hRule="atLeast"/>
        </w:trPr>
        <w:tc>
          <w:tcPr>
            <w:tcW w:w="4338"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Звање</w:t>
            </w:r>
          </w:p>
        </w:tc>
        <w:tc>
          <w:tcPr>
            <w:tcW w:w="456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Доцент</w:t>
            </w:r>
          </w:p>
        </w:tc>
      </w:tr>
      <w:tr>
        <w:trPr>
          <w:trHeight w:val="427" w:hRule="atLeast"/>
        </w:trPr>
        <w:tc>
          <w:tcPr>
            <w:tcW w:w="4338"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 xml:space="preserve">Назив институције у  којој наставник ради са пуним </w:t>
            </w:r>
            <w:r>
              <w:rPr>
                <w:rFonts w:ascii="Times New Roman" w:hAnsi="Times New Roman"/>
                <w:b/>
                <w:sz w:val="20"/>
                <w:szCs w:val="20"/>
              </w:rPr>
              <w:t xml:space="preserve"> или непуним </w:t>
            </w:r>
            <w:r>
              <w:rPr>
                <w:rFonts w:ascii="Times New Roman" w:hAnsi="Times New Roman"/>
                <w:b/>
                <w:sz w:val="20"/>
                <w:szCs w:val="20"/>
                <w:lang w:val="sr-CS"/>
              </w:rPr>
              <w:t>радним временом и од када</w:t>
            </w:r>
          </w:p>
        </w:tc>
        <w:tc>
          <w:tcPr>
            <w:tcW w:w="456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lineRule="auto" w:line="240" w:before="0" w:after="0"/>
              <w:jc w:val="left"/>
              <w:rPr>
                <w:rFonts w:ascii="Times New Roman" w:hAnsi="Times New Roman"/>
                <w:sz w:val="20"/>
                <w:szCs w:val="20"/>
                <w:lang w:val="sr-CS"/>
              </w:rPr>
            </w:pPr>
            <w:r>
              <w:rPr>
                <w:rFonts w:ascii="Times New Roman" w:hAnsi="Times New Roman"/>
                <w:sz w:val="22"/>
                <w:szCs w:val="20"/>
                <w:lang w:val="sr-CS"/>
              </w:rPr>
              <w:t>Природно-математички факултет, Универзитет у Новом Саду</w:t>
            </w:r>
          </w:p>
        </w:tc>
      </w:tr>
      <w:tr>
        <w:trPr>
          <w:trHeight w:val="427" w:hRule="atLeast"/>
        </w:trPr>
        <w:tc>
          <w:tcPr>
            <w:tcW w:w="4338"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Ужа научна односно уметничка област</w:t>
            </w:r>
          </w:p>
        </w:tc>
        <w:tc>
          <w:tcPr>
            <w:tcW w:w="456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427" w:hRule="atLeast"/>
        </w:trPr>
        <w:tc>
          <w:tcPr>
            <w:tcW w:w="8901" w:type="dxa"/>
            <w:gridSpan w:val="1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Академска каријера</w:t>
            </w:r>
          </w:p>
        </w:tc>
      </w:tr>
      <w:tr>
        <w:trPr>
          <w:trHeight w:val="427" w:hRule="atLeast"/>
        </w:trPr>
        <w:tc>
          <w:tcPr>
            <w:tcW w:w="158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90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Година </w:t>
            </w:r>
          </w:p>
        </w:tc>
        <w:tc>
          <w:tcPr>
            <w:tcW w:w="2712"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Институција </w:t>
            </w:r>
          </w:p>
        </w:tc>
        <w:tc>
          <w:tcPr>
            <w:tcW w:w="182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rPr>
              <w:t>Научна или уметничка о</w:t>
            </w:r>
            <w:r>
              <w:rPr>
                <w:rFonts w:ascii="Times New Roman" w:hAnsi="Times New Roman"/>
                <w:sz w:val="20"/>
                <w:szCs w:val="20"/>
                <w:lang w:val="sr-CS"/>
              </w:rPr>
              <w:t xml:space="preserve">бласт </w:t>
            </w:r>
          </w:p>
        </w:tc>
        <w:tc>
          <w:tcPr>
            <w:tcW w:w="1869"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trPr>
          <w:trHeight w:val="427" w:hRule="atLeast"/>
        </w:trPr>
        <w:tc>
          <w:tcPr>
            <w:tcW w:w="158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Избор у звање</w:t>
            </w:r>
          </w:p>
        </w:tc>
        <w:tc>
          <w:tcPr>
            <w:tcW w:w="909" w:type="dxa"/>
            <w:gridSpan w:val="4"/>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rPr>
            </w:pPr>
            <w:r>
              <w:rPr>
                <w:rFonts w:ascii="Times New Roman" w:hAnsi="Times New Roman"/>
                <w:lang w:val="sr-CS"/>
              </w:rPr>
              <w:t>2019</w:t>
            </w:r>
          </w:p>
        </w:tc>
        <w:tc>
          <w:tcPr>
            <w:tcW w:w="2712"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Природно-математички Факултет, Нови Сад</w:t>
            </w:r>
          </w:p>
        </w:tc>
        <w:tc>
          <w:tcPr>
            <w:tcW w:w="182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Рачунарске науке</w:t>
            </w:r>
          </w:p>
        </w:tc>
        <w:tc>
          <w:tcPr>
            <w:tcW w:w="1869"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Рачунарске науке</w:t>
            </w:r>
          </w:p>
        </w:tc>
      </w:tr>
      <w:tr>
        <w:trPr>
          <w:trHeight w:val="427" w:hRule="atLeast"/>
        </w:trPr>
        <w:tc>
          <w:tcPr>
            <w:tcW w:w="158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Докторат</w:t>
            </w:r>
          </w:p>
        </w:tc>
        <w:tc>
          <w:tcPr>
            <w:tcW w:w="909" w:type="dxa"/>
            <w:gridSpan w:val="4"/>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rPr>
            </w:pPr>
            <w:r>
              <w:rPr>
                <w:rFonts w:ascii="Times New Roman" w:hAnsi="Times New Roman"/>
                <w:lang w:val="sr-CS"/>
              </w:rPr>
              <w:t>2019</w:t>
            </w:r>
          </w:p>
        </w:tc>
        <w:tc>
          <w:tcPr>
            <w:tcW w:w="2712"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Природно-математички Факултет, Нови Сад</w:t>
            </w:r>
          </w:p>
        </w:tc>
        <w:tc>
          <w:tcPr>
            <w:tcW w:w="182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Рачунарске науке</w:t>
            </w:r>
          </w:p>
        </w:tc>
        <w:tc>
          <w:tcPr>
            <w:tcW w:w="1869"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Рачунарске науке</w:t>
            </w:r>
          </w:p>
        </w:tc>
      </w:tr>
      <w:tr>
        <w:trPr>
          <w:trHeight w:val="427" w:hRule="atLeast"/>
        </w:trPr>
        <w:tc>
          <w:tcPr>
            <w:tcW w:w="158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Мастер</w:t>
            </w:r>
          </w:p>
        </w:tc>
        <w:tc>
          <w:tcPr>
            <w:tcW w:w="909" w:type="dxa"/>
            <w:gridSpan w:val="4"/>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rPr>
            </w:pPr>
            <w:r>
              <w:rPr>
                <w:rFonts w:ascii="Times New Roman" w:hAnsi="Times New Roman"/>
                <w:lang w:val="sr-CS"/>
              </w:rPr>
              <w:t>2010</w:t>
            </w:r>
          </w:p>
        </w:tc>
        <w:tc>
          <w:tcPr>
            <w:tcW w:w="2712"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Природно-математички Факултет, Нови Сад</w:t>
            </w:r>
          </w:p>
        </w:tc>
        <w:tc>
          <w:tcPr>
            <w:tcW w:w="182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Рачунарске науке</w:t>
            </w:r>
          </w:p>
        </w:tc>
        <w:tc>
          <w:tcPr>
            <w:tcW w:w="1869"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Рачунарске науке</w:t>
            </w:r>
          </w:p>
        </w:tc>
      </w:tr>
      <w:tr>
        <w:trPr>
          <w:trHeight w:val="427" w:hRule="atLeast"/>
        </w:trPr>
        <w:tc>
          <w:tcPr>
            <w:tcW w:w="158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Диплома</w:t>
            </w:r>
          </w:p>
        </w:tc>
        <w:tc>
          <w:tcPr>
            <w:tcW w:w="909" w:type="dxa"/>
            <w:gridSpan w:val="4"/>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rPr>
            </w:pPr>
            <w:r>
              <w:rPr>
                <w:rFonts w:ascii="Times New Roman" w:hAnsi="Times New Roman"/>
                <w:lang w:val="sr-CS"/>
              </w:rPr>
              <w:t>2007</w:t>
            </w:r>
          </w:p>
        </w:tc>
        <w:tc>
          <w:tcPr>
            <w:tcW w:w="2712"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Природно-математички Факултет, Нови Сад</w:t>
            </w:r>
          </w:p>
        </w:tc>
        <w:tc>
          <w:tcPr>
            <w:tcW w:w="182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Рачунарске науке</w:t>
            </w:r>
          </w:p>
        </w:tc>
        <w:tc>
          <w:tcPr>
            <w:tcW w:w="1869"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Times New Roman" w:hAnsi="Times New Roman"/>
              </w:rPr>
            </w:pPr>
            <w:r>
              <w:rPr>
                <w:rFonts w:ascii="Times New Roman" w:hAnsi="Times New Roman"/>
                <w:lang w:val="sr-CS"/>
              </w:rPr>
              <w:t>Рачунарске науке</w:t>
            </w:r>
          </w:p>
        </w:tc>
      </w:tr>
      <w:tr>
        <w:trPr>
          <w:trHeight w:val="427" w:hRule="atLeast"/>
        </w:trPr>
        <w:tc>
          <w:tcPr>
            <w:tcW w:w="8901" w:type="dxa"/>
            <w:gridSpan w:val="1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lang w:val="sr-CS"/>
              </w:rPr>
              <w:t xml:space="preserve">Списак предмета за  које  је наставник акредитован </w:t>
            </w:r>
            <w:r>
              <w:rPr>
                <w:rFonts w:ascii="Times New Roman" w:hAnsi="Times New Roman"/>
                <w:b/>
                <w:sz w:val="20"/>
                <w:szCs w:val="20"/>
              </w:rPr>
              <w:t>на првом или другом степену студија</w:t>
            </w:r>
          </w:p>
        </w:tc>
      </w:tr>
      <w:tr>
        <w:trPr>
          <w:trHeight w:val="822" w:hRule="atLeast"/>
        </w:trPr>
        <w:tc>
          <w:tcPr>
            <w:tcW w:w="8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Р.Б.</w:t>
            </w:r>
          </w:p>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1</w:t>
            </w:r>
            <w:r>
              <w:rPr>
                <w:rFonts w:ascii="Times New Roman" w:hAnsi="Times New Roman"/>
                <w:sz w:val="20"/>
                <w:szCs w:val="20"/>
              </w:rPr>
              <w:t>,2,3...</w:t>
            </w:r>
            <w:r>
              <w:rPr>
                <w:rFonts w:ascii="Times New Roman" w:hAnsi="Times New Roman"/>
                <w:sz w:val="20"/>
                <w:szCs w:val="20"/>
                <w:lang w:val="sr-CS"/>
              </w:rPr>
              <w:t>.</w:t>
            </w:r>
          </w:p>
        </w:tc>
        <w:tc>
          <w:tcPr>
            <w:tcW w:w="1064"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Ознака предмета</w:t>
            </w:r>
          </w:p>
        </w:tc>
        <w:tc>
          <w:tcPr>
            <w:tcW w:w="2571"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iCs/>
                <w:sz w:val="20"/>
                <w:szCs w:val="20"/>
              </w:rPr>
              <w:t>Назив предмета</w:t>
            </w:r>
            <w:r>
              <w:rPr>
                <w:rFonts w:ascii="Times New Roman" w:hAnsi="Times New Roman"/>
                <w:iCs/>
                <w:sz w:val="20"/>
                <w:szCs w:val="20"/>
                <w:lang w:val="sr-CS"/>
              </w:rPr>
              <w:t xml:space="preserve">     </w:t>
            </w:r>
          </w:p>
        </w:tc>
        <w:tc>
          <w:tcPr>
            <w:tcW w:w="13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Вид наставе</w:t>
            </w:r>
          </w:p>
        </w:tc>
        <w:tc>
          <w:tcPr>
            <w:tcW w:w="156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15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iCs/>
                <w:sz w:val="20"/>
                <w:szCs w:val="20"/>
              </w:rPr>
              <w:t>В</w:t>
            </w:r>
            <w:r>
              <w:rPr>
                <w:rFonts w:ascii="Times New Roman" w:hAnsi="Times New Roman"/>
                <w:iCs/>
                <w:sz w:val="20"/>
                <w:szCs w:val="20"/>
                <w:lang w:val="sr-CS"/>
              </w:rPr>
              <w:t>рста студија (</w:t>
            </w:r>
            <w:r>
              <w:rPr>
                <w:rFonts w:ascii="Times New Roman" w:hAnsi="Times New Roman"/>
                <w:iCs/>
                <w:sz w:val="20"/>
                <w:szCs w:val="20"/>
              </w:rPr>
              <w:t>ОСС, ССС, ОАС, МСС, МАС, САС)</w:t>
            </w:r>
          </w:p>
        </w:tc>
      </w:tr>
      <w:tr>
        <w:trPr>
          <w:trHeight w:val="427" w:hRule="atLeast"/>
        </w:trPr>
        <w:tc>
          <w:tcPr>
            <w:tcW w:w="8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1</w:t>
            </w:r>
          </w:p>
        </w:tc>
        <w:tc>
          <w:tcPr>
            <w:tcW w:w="1064"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2571"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Алгоритми над графовима и стаблима</w:t>
            </w:r>
          </w:p>
        </w:tc>
        <w:tc>
          <w:tcPr>
            <w:tcW w:w="13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П+В+ПВ</w:t>
            </w:r>
          </w:p>
        </w:tc>
        <w:tc>
          <w:tcPr>
            <w:tcW w:w="156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Мастер вештачка интелигенција</w:t>
            </w:r>
          </w:p>
        </w:tc>
        <w:tc>
          <w:tcPr>
            <w:tcW w:w="15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МАС</w:t>
            </w:r>
          </w:p>
        </w:tc>
      </w:tr>
      <w:tr>
        <w:trPr>
          <w:trHeight w:val="427" w:hRule="atLeast"/>
        </w:trPr>
        <w:tc>
          <w:tcPr>
            <w:tcW w:w="8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2</w:t>
            </w:r>
          </w:p>
        </w:tc>
        <w:tc>
          <w:tcPr>
            <w:tcW w:w="1064"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2571"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pBdr/>
              <w:tabs>
                <w:tab w:val="clear" w:pos="720"/>
                <w:tab w:val="left" w:pos="567" w:leader="none"/>
              </w:tabs>
              <w:spacing w:before="0" w:after="60"/>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lang w:val="sr-CS"/>
              </w:rPr>
              <w:t>Увод у структуре података</w:t>
            </w:r>
          </w:p>
        </w:tc>
        <w:tc>
          <w:tcPr>
            <w:tcW w:w="13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П+ПВ</w:t>
            </w:r>
          </w:p>
        </w:tc>
        <w:tc>
          <w:tcPr>
            <w:tcW w:w="156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Биоинформатика</w:t>
            </w:r>
          </w:p>
        </w:tc>
        <w:tc>
          <w:tcPr>
            <w:tcW w:w="15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8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3</w:t>
            </w:r>
          </w:p>
        </w:tc>
        <w:tc>
          <w:tcPr>
            <w:tcW w:w="1064"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2571"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pBdr/>
              <w:tabs>
                <w:tab w:val="clear" w:pos="720"/>
                <w:tab w:val="left" w:pos="567" w:leader="none"/>
              </w:tabs>
              <w:spacing w:before="0" w:after="60"/>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lang w:val="sr-CS"/>
              </w:rPr>
              <w:t>Алгоритми и структуре података</w:t>
            </w:r>
          </w:p>
        </w:tc>
        <w:tc>
          <w:tcPr>
            <w:tcW w:w="13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П+ПВ</w:t>
            </w:r>
          </w:p>
        </w:tc>
        <w:tc>
          <w:tcPr>
            <w:tcW w:w="156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Биоинформатика</w:t>
            </w:r>
          </w:p>
        </w:tc>
        <w:tc>
          <w:tcPr>
            <w:tcW w:w="15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8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4</w:t>
            </w:r>
          </w:p>
        </w:tc>
        <w:tc>
          <w:tcPr>
            <w:tcW w:w="1064"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eastAsia="Times New Roman" w:cs="Times New Roman"/>
                <w:color w:val="000000"/>
                <w:sz w:val="21"/>
                <w:szCs w:val="21"/>
              </w:rPr>
            </w:pPr>
            <w:r>
              <w:rPr>
                <w:rFonts w:eastAsia="Times New Roman" w:cs="Times New Roman" w:ascii="Times New Roman" w:hAnsi="Times New Roman"/>
                <w:color w:val="000000"/>
                <w:sz w:val="21"/>
                <w:szCs w:val="21"/>
              </w:rPr>
              <w:t>IT601</w:t>
            </w:r>
          </w:p>
        </w:tc>
        <w:tc>
          <w:tcPr>
            <w:tcW w:w="2571"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eastAsia="Times New Roman" w:cs="Times New Roman"/>
                <w:color w:val="000000"/>
                <w:sz w:val="21"/>
                <w:szCs w:val="21"/>
              </w:rPr>
            </w:pPr>
            <w:r>
              <w:rPr>
                <w:rFonts w:eastAsia="Times New Roman" w:cs="Times New Roman" w:ascii="Times New Roman" w:hAnsi="Times New Roman"/>
                <w:color w:val="000000"/>
                <w:sz w:val="21"/>
                <w:szCs w:val="21"/>
              </w:rPr>
              <w:t>Софтверски практикум 1</w:t>
            </w:r>
          </w:p>
        </w:tc>
        <w:tc>
          <w:tcPr>
            <w:tcW w:w="13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П+ПВ</w:t>
            </w:r>
          </w:p>
        </w:tc>
        <w:tc>
          <w:tcPr>
            <w:tcW w:w="156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Биоинформатика</w:t>
            </w:r>
          </w:p>
        </w:tc>
        <w:tc>
          <w:tcPr>
            <w:tcW w:w="15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8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5</w:t>
            </w:r>
          </w:p>
        </w:tc>
        <w:tc>
          <w:tcPr>
            <w:tcW w:w="1064"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eastAsia="Times New Roman" w:cs="Times New Roman"/>
                <w:color w:val="000000"/>
                <w:sz w:val="21"/>
                <w:szCs w:val="21"/>
              </w:rPr>
            </w:pPr>
            <w:r>
              <w:rPr>
                <w:rFonts w:eastAsia="Times New Roman" w:cs="Times New Roman" w:ascii="Times New Roman" w:hAnsi="Times New Roman"/>
                <w:color w:val="000000"/>
                <w:sz w:val="21"/>
                <w:szCs w:val="21"/>
              </w:rPr>
              <w:t>IT615</w:t>
            </w:r>
          </w:p>
        </w:tc>
        <w:tc>
          <w:tcPr>
            <w:tcW w:w="2571"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eastAsia="Times New Roman" w:cs="Times New Roman"/>
                <w:color w:val="000000"/>
                <w:sz w:val="21"/>
                <w:szCs w:val="21"/>
              </w:rPr>
            </w:pPr>
            <w:r>
              <w:rPr>
                <w:rFonts w:eastAsia="Times New Roman" w:cs="Times New Roman" w:ascii="Times New Roman" w:hAnsi="Times New Roman"/>
                <w:color w:val="000000"/>
                <w:sz w:val="21"/>
                <w:szCs w:val="21"/>
              </w:rPr>
              <w:t>Софтверски практикум 2</w:t>
            </w:r>
          </w:p>
        </w:tc>
        <w:tc>
          <w:tcPr>
            <w:tcW w:w="13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П+ПВ</w:t>
            </w:r>
          </w:p>
        </w:tc>
        <w:tc>
          <w:tcPr>
            <w:tcW w:w="156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Биоинформатика</w:t>
            </w:r>
          </w:p>
        </w:tc>
        <w:tc>
          <w:tcPr>
            <w:tcW w:w="15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8901" w:type="dxa"/>
            <w:gridSpan w:val="1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Репрезентативне референце (минимално 5 не више од 10)</w:t>
            </w:r>
          </w:p>
        </w:tc>
      </w:tr>
      <w:tr>
        <w:trPr>
          <w:trHeight w:val="427" w:hRule="atLeast"/>
        </w:trPr>
        <w:tc>
          <w:tcPr>
            <w:tcW w:w="1629"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7272"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pPr>
            <w:r>
              <w:rPr>
                <w:b/>
                <w:bCs/>
                <w:sz w:val="16"/>
                <w:szCs w:val="16"/>
                <w:lang w:val="sr-CS"/>
              </w:rPr>
              <w:t>Pracner D.</w:t>
            </w:r>
            <w:r>
              <w:rPr>
                <w:sz w:val="16"/>
                <w:szCs w:val="16"/>
                <w:lang w:val="sr-CS"/>
              </w:rPr>
              <w:t>, Budimac Z., (2017) Enabling code transformations with FermaT on simplified bytecode, J SOFTW-EVOL PROC (ISSN: 2047-7473), Vol 29, No 5, 2017, pp. e1857-n/a. doi: 10.1002/smr.1857. (IF 1.305)</w:t>
            </w:r>
          </w:p>
        </w:tc>
      </w:tr>
      <w:tr>
        <w:trPr>
          <w:trHeight w:val="427" w:hRule="atLeast"/>
        </w:trPr>
        <w:tc>
          <w:tcPr>
            <w:tcW w:w="1629"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7272"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pPr>
            <w:r>
              <w:rPr>
                <w:b/>
                <w:bCs/>
                <w:sz w:val="16"/>
                <w:szCs w:val="16"/>
                <w:lang w:val="sr-CS"/>
              </w:rPr>
              <w:t>Pracner D.</w:t>
            </w:r>
            <w:r>
              <w:rPr>
                <w:sz w:val="16"/>
                <w:szCs w:val="16"/>
                <w:lang w:val="sr-CS"/>
              </w:rPr>
              <w:t>, Tomašev N., Radovanović M., Ivanović M. (2007) “Categorizing Evolved CoreWar Warriors Using EM and Attribute Evaluation”. In: Machine Learning and Data Mining in Pattern Recognition: MLDM 2007. Ed. by Petra Perner. Vol. 4571. Lecture Notes in Computer Science. Berlin, Heidelberg: Springer-Verlag, 2007, pp. 681–693. isbn: 978-3-540-73498-7. doi: http://dx.doi.org/10.1007/978-3-540-73499-4_51. (IF 0.402)</w:t>
            </w:r>
          </w:p>
        </w:tc>
      </w:tr>
      <w:tr>
        <w:trPr>
          <w:trHeight w:val="427" w:hRule="atLeast"/>
        </w:trPr>
        <w:tc>
          <w:tcPr>
            <w:tcW w:w="1629"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7272"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pPr>
            <w:r>
              <w:rPr>
                <w:sz w:val="16"/>
                <w:szCs w:val="16"/>
                <w:lang w:val="sr-CS"/>
              </w:rPr>
              <w:t xml:space="preserve">Tomašev N., </w:t>
            </w:r>
            <w:r>
              <w:rPr>
                <w:b/>
                <w:bCs/>
                <w:sz w:val="16"/>
                <w:szCs w:val="16"/>
                <w:lang w:val="sr-CS"/>
              </w:rPr>
              <w:t>Pracner D.</w:t>
            </w:r>
            <w:r>
              <w:rPr>
                <w:sz w:val="16"/>
                <w:szCs w:val="16"/>
                <w:lang w:val="sr-CS"/>
              </w:rPr>
              <w:t>, Radovanović M.,, Ivanović M. (2007) “Automatic Categorization of Human-Coded and Evolved CoreWar Warriors”. In: Knowledge Discovery in Databases: PKDD 2007. Ed. by Joost Kok, Jacek Koronacki, Ramon Lopez de Mantaras, Stan Matwin, Dunja Mladenic, and Andrzej Skowron. Vol. 4702. Lecture Notes in Computer Science. Berlin, Heidelberg: SpringerVerlag, 2007, pp. 589–596. isbn: 978-3-540-74975-2. doi: http://dx.doi.org/10.1007/9783-540-74976-9_62. (IF 0.402)</w:t>
            </w:r>
          </w:p>
        </w:tc>
      </w:tr>
      <w:tr>
        <w:trPr>
          <w:trHeight w:val="427" w:hRule="atLeast"/>
        </w:trPr>
        <w:tc>
          <w:tcPr>
            <w:tcW w:w="1629"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7272"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pPr>
            <w:r>
              <w:rPr>
                <w:sz w:val="16"/>
                <w:szCs w:val="16"/>
                <w:lang w:val="sr-CS"/>
              </w:rPr>
              <w:t xml:space="preserve">Sukur N., </w:t>
            </w:r>
            <w:r>
              <w:rPr>
                <w:b/>
                <w:bCs/>
                <w:sz w:val="16"/>
                <w:szCs w:val="16"/>
                <w:lang w:val="sr-CS"/>
              </w:rPr>
              <w:t>Pracner D.</w:t>
            </w:r>
            <w:r>
              <w:rPr>
                <w:sz w:val="16"/>
                <w:szCs w:val="16"/>
                <w:lang w:val="sr-CS"/>
              </w:rPr>
              <w:t xml:space="preserve"> (2018) “Evaluating Fitness Functions for Automated Code Transformations”. In: SQAMIA 2018, 7th Workshop of Software Quality, Analysis, Monitoring, Improvement, and Applications. Ed. by Budimac Z. Department of Mathematics and Informatics, Faculty of Sciences, University of Novi Sad, Serbia, 2018, 18:01–18:08. url: </w:t>
            </w:r>
            <w:hyperlink r:id="rId2">
              <w:r>
                <w:rPr>
                  <w:rStyle w:val="InternetLink"/>
                  <w:sz w:val="16"/>
                  <w:szCs w:val="16"/>
                  <w:lang w:val="sr-CS"/>
                </w:rPr>
                <w:t>http://ceur-ws.org/Vol-2217/</w:t>
              </w:r>
            </w:hyperlink>
            <w:r>
              <w:rPr>
                <w:sz w:val="16"/>
                <w:szCs w:val="16"/>
                <w:lang w:val="sr-CS"/>
              </w:rPr>
              <w:t>.</w:t>
            </w:r>
          </w:p>
        </w:tc>
      </w:tr>
      <w:tr>
        <w:trPr>
          <w:trHeight w:val="427" w:hRule="atLeast"/>
        </w:trPr>
        <w:tc>
          <w:tcPr>
            <w:tcW w:w="1629"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7272"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pPr>
            <w:r>
              <w:rPr>
                <w:sz w:val="16"/>
                <w:szCs w:val="16"/>
                <w:lang w:val="sr-CS"/>
              </w:rPr>
              <w:t>Pracner, Doni, Budimac Z. (2017) “A Practical Tutorial for FermaT and WSL Transformations”. In: Proceedings of the 6th Workshop on Software Quality Analysis, Monitoring, Improvement, and Applications. Ed. by Budimac Z. Department of Mathematics and Informatics, Faculty of Sciences, University of Novi Sad, Serbia, Sept. 2017, 11:01–11:08. url: http://ceur-ws.org/Vol-1938/.</w:t>
            </w:r>
          </w:p>
        </w:tc>
      </w:tr>
      <w:tr>
        <w:trPr>
          <w:trHeight w:val="427" w:hRule="atLeast"/>
        </w:trPr>
        <w:tc>
          <w:tcPr>
            <w:tcW w:w="1629"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7272"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pPr>
            <w:r>
              <w:rPr>
                <w:sz w:val="16"/>
                <w:szCs w:val="16"/>
                <w:lang w:val="sr-CS"/>
              </w:rPr>
              <w:t xml:space="preserve">Pribela I., </w:t>
            </w:r>
            <w:r>
              <w:rPr>
                <w:b/>
                <w:bCs/>
                <w:sz w:val="16"/>
                <w:szCs w:val="16"/>
                <w:lang w:val="sr-CS"/>
              </w:rPr>
              <w:t>Pracner D.</w:t>
            </w:r>
            <w:r>
              <w:rPr>
                <w:sz w:val="16"/>
                <w:szCs w:val="16"/>
                <w:lang w:val="sr-CS"/>
              </w:rPr>
              <w:t xml:space="preserve"> (2017) “A Temporal File System for Student’s Assignments in The System Svetovid”. In: Proceedings of the 6th Workshop on Software Quality Analysis, Monitoring, Improvement, and Applications. Ed. by Budimac Z. Department of Mathematics and Informatics, Faculty of Sciences, University of Novi Sad, Serbia, Sept. 2017, 12:01–12:08. url: </w:t>
            </w:r>
            <w:hyperlink r:id="rId3">
              <w:r>
                <w:rPr>
                  <w:rStyle w:val="InternetLink"/>
                  <w:sz w:val="16"/>
                  <w:szCs w:val="16"/>
                  <w:lang w:val="sr-CS"/>
                </w:rPr>
                <w:t>http://ceur-ws.org/Vol-1938/</w:t>
              </w:r>
            </w:hyperlink>
            <w:r>
              <w:rPr>
                <w:sz w:val="16"/>
                <w:szCs w:val="16"/>
                <w:lang w:val="sr-CS"/>
              </w:rPr>
              <w:t>.</w:t>
            </w:r>
          </w:p>
        </w:tc>
      </w:tr>
      <w:tr>
        <w:trPr>
          <w:trHeight w:val="427" w:hRule="atLeast"/>
        </w:trPr>
        <w:tc>
          <w:tcPr>
            <w:tcW w:w="1629"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7272"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pPr>
            <w:r>
              <w:rPr>
                <w:sz w:val="16"/>
                <w:szCs w:val="16"/>
                <w:lang w:val="sr-CS"/>
              </w:rPr>
              <w:t xml:space="preserve">Pribela I., </w:t>
            </w:r>
            <w:r>
              <w:rPr>
                <w:b/>
                <w:bCs/>
                <w:sz w:val="16"/>
                <w:szCs w:val="16"/>
                <w:lang w:val="sr-CS"/>
              </w:rPr>
              <w:t xml:space="preserve">Pracner D, </w:t>
            </w:r>
            <w:r>
              <w:rPr>
                <w:sz w:val="16"/>
                <w:szCs w:val="16"/>
                <w:lang w:val="sr-CS"/>
              </w:rPr>
              <w:t xml:space="preserve">Budimac Z. (2015) “Bringing Together Manual and Automated Code Assessment”. In: Proc. of Symposium on Computer Languages, Implementations and Tools (SCLIT 2014) held within International Conference on Numerical Analysis and Applied Mathematics ICNAAM 2014. Vol. 1648. 1. 2015. </w:t>
            </w:r>
          </w:p>
          <w:p>
            <w:pPr>
              <w:pStyle w:val="Normal"/>
              <w:widowControl w:val="false"/>
              <w:rPr/>
            </w:pPr>
            <w:r>
              <w:rPr>
                <w:sz w:val="16"/>
                <w:szCs w:val="16"/>
                <w:lang w:val="sr-CS"/>
              </w:rPr>
              <w:t>doi: http : / / dx . doi . org / 10 . 1063 / 1 . 4912560.</w:t>
            </w:r>
          </w:p>
        </w:tc>
      </w:tr>
      <w:tr>
        <w:trPr>
          <w:trHeight w:val="427" w:hRule="atLeast"/>
        </w:trPr>
        <w:tc>
          <w:tcPr>
            <w:tcW w:w="1629"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7272"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pPr>
            <w:r>
              <w:rPr>
                <w:sz w:val="16"/>
                <w:szCs w:val="16"/>
                <w:lang w:val="sr-CS"/>
              </w:rPr>
              <w:t xml:space="preserve">Pribela I., </w:t>
            </w:r>
            <w:r>
              <w:rPr>
                <w:b/>
                <w:bCs/>
                <w:sz w:val="16"/>
                <w:szCs w:val="16"/>
                <w:lang w:val="sr-CS"/>
              </w:rPr>
              <w:t xml:space="preserve">Pracner D, </w:t>
            </w:r>
            <w:r>
              <w:rPr>
                <w:sz w:val="16"/>
                <w:szCs w:val="16"/>
                <w:lang w:val="sr-CS"/>
              </w:rPr>
              <w:t>Budimac Z. (2014) “Tool for Testing Bad Student Programs”. In: Proceedings of the 3nd Workshop on Software Quality Analysis, Monitoring, Improvement, and Applications. Ed. by Budimac Z. and Tihana Galinac Grbac. Department of Mathematics and Informatics, Faculty of Sciences, University of Novi Sad, Serbia, Sept. 2014, pp. 67–74. isbn: 97886-7031-374-3. url: http://www.riteh.uniri.hr/SQAMIA/2014/.</w:t>
            </w:r>
          </w:p>
        </w:tc>
      </w:tr>
      <w:tr>
        <w:trPr>
          <w:trHeight w:val="427" w:hRule="atLeast"/>
        </w:trPr>
        <w:tc>
          <w:tcPr>
            <w:tcW w:w="8901" w:type="dxa"/>
            <w:gridSpan w:val="1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 xml:space="preserve">Збирни подаци научне, односно уметничке и стручне активности наставника </w:t>
            </w:r>
          </w:p>
        </w:tc>
      </w:tr>
      <w:tr>
        <w:trPr>
          <w:trHeight w:val="427" w:hRule="atLeast"/>
        </w:trPr>
        <w:tc>
          <w:tcPr>
            <w:tcW w:w="4075"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Укупан број цитата</w:t>
            </w:r>
          </w:p>
        </w:tc>
        <w:tc>
          <w:tcPr>
            <w:tcW w:w="4826"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40 (Google Scholar)</w:t>
            </w:r>
          </w:p>
        </w:tc>
      </w:tr>
      <w:tr>
        <w:trPr>
          <w:trHeight w:val="427" w:hRule="atLeast"/>
        </w:trPr>
        <w:tc>
          <w:tcPr>
            <w:tcW w:w="4075"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Укупан број радова са SCI (SSCI) листе</w:t>
            </w:r>
          </w:p>
        </w:tc>
        <w:tc>
          <w:tcPr>
            <w:tcW w:w="4826"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3</w:t>
            </w:r>
          </w:p>
        </w:tc>
      </w:tr>
      <w:tr>
        <w:trPr>
          <w:trHeight w:val="278" w:hRule="atLeast"/>
        </w:trPr>
        <w:tc>
          <w:tcPr>
            <w:tcW w:w="4075"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Тренутно учешће на пројектима</w:t>
            </w:r>
          </w:p>
        </w:tc>
        <w:tc>
          <w:tcPr>
            <w:tcW w:w="1545"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Домаћи </w:t>
            </w:r>
            <w:r>
              <w:rPr>
                <w:rFonts w:ascii="Times New Roman" w:hAnsi="Times New Roman"/>
                <w:sz w:val="20"/>
                <w:szCs w:val="20"/>
                <w:lang w:val="sr-CS"/>
              </w:rPr>
              <w:t>2</w:t>
            </w:r>
          </w:p>
        </w:tc>
        <w:tc>
          <w:tcPr>
            <w:tcW w:w="3281"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Међународни </w:t>
            </w:r>
            <w:r>
              <w:rPr>
                <w:rFonts w:ascii="Times New Roman" w:hAnsi="Times New Roman"/>
                <w:sz w:val="20"/>
                <w:szCs w:val="20"/>
                <w:lang w:val="sr-CS"/>
              </w:rPr>
              <w:t>0</w:t>
            </w:r>
          </w:p>
        </w:tc>
      </w:tr>
      <w:tr>
        <w:trPr>
          <w:trHeight w:val="427" w:hRule="atLeast"/>
        </w:trPr>
        <w:tc>
          <w:tcPr>
            <w:tcW w:w="2213"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Усавршавања </w:t>
            </w:r>
          </w:p>
        </w:tc>
        <w:tc>
          <w:tcPr>
            <w:tcW w:w="6688"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Хум</w:t>
            </w:r>
            <w:r>
              <w:rPr>
                <w:rFonts w:ascii="Times New Roman" w:hAnsi="Times New Roman"/>
                <w:sz w:val="20"/>
                <w:szCs w:val="20"/>
                <w:lang w:val="sr-CS"/>
              </w:rPr>
              <w:t>б</w:t>
            </w:r>
            <w:r>
              <w:rPr>
                <w:rFonts w:ascii="Times New Roman" w:hAnsi="Times New Roman"/>
                <w:sz w:val="20"/>
                <w:szCs w:val="20"/>
                <w:lang w:val="sr-CS"/>
              </w:rPr>
              <w:t>олт Универзитет, Берлин, Немачка, 2010, две недеље</w:t>
            </w:r>
          </w:p>
        </w:tc>
      </w:tr>
      <w:tr>
        <w:trPr>
          <w:trHeight w:val="427" w:hRule="atLeast"/>
        </w:trPr>
        <w:tc>
          <w:tcPr>
            <w:tcW w:w="8901" w:type="dxa"/>
            <w:gridSpan w:val="1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Други подаци које сматрате релевантним</w:t>
            </w:r>
          </w:p>
        </w:tc>
      </w:tr>
      <w:tr>
        <w:trPr>
          <w:trHeight w:val="427" w:hRule="atLeast"/>
        </w:trPr>
        <w:tc>
          <w:tcPr>
            <w:tcW w:w="8901" w:type="dxa"/>
            <w:gridSpan w:val="1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Ове податке дати за сваког наставника, или користећи исту форму формулара формирати књигу свих наставника у установи, која се у том слушају даје као прилог. Ова табела несме прећи једну А4 страну.</w:t>
            </w:r>
          </w:p>
        </w:tc>
      </w:tr>
    </w:tbl>
    <w:p>
      <w:pPr>
        <w:pStyle w:val="Normal"/>
        <w:rPr/>
      </w:pPr>
      <w:r>
        <w:rPr/>
      </w:r>
    </w:p>
    <w:sectPr>
      <w:type w:val="nextPage"/>
      <w:pgSz w:w="11906" w:h="16838"/>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color w:val="000000" w:themeColor="text1"/>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f78f4"/>
    <w:pPr>
      <w:widowControl/>
      <w:bidi w:val="0"/>
      <w:spacing w:before="0" w:after="0"/>
      <w:jc w:val="left"/>
    </w:pPr>
    <w:rPr>
      <w:rFonts w:ascii="Calibri" w:hAnsi="Calibri" w:eastAsia="Calibri" w:cs="Times New Roman"/>
      <w:color w:val="auto"/>
      <w:kern w:val="0"/>
      <w:sz w:val="22"/>
      <w:szCs w:val="22"/>
      <w:lang w:val="sr-RS" w:eastAsia="en-US" w:bidi="ar-SA"/>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sid w:val="000f78f4"/>
    <w:rPr>
      <w:sz w:val="16"/>
      <w:szCs w:val="16"/>
    </w:rPr>
  </w:style>
  <w:style w:type="character" w:styleId="CommentTextChar" w:customStyle="1">
    <w:name w:val="Comment Text Char"/>
    <w:basedOn w:val="DefaultParagraphFont"/>
    <w:link w:val="CommentText"/>
    <w:uiPriority w:val="99"/>
    <w:semiHidden/>
    <w:qFormat/>
    <w:rsid w:val="000f78f4"/>
    <w:rPr>
      <w:rFonts w:ascii="Calibri" w:hAnsi="Calibri" w:eastAsia="Calibri"/>
      <w:color w:val="auto"/>
      <w:sz w:val="20"/>
      <w:szCs w:val="20"/>
      <w:lang w:val="sr-RS"/>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Annotationtext">
    <w:name w:val="annotation text"/>
    <w:basedOn w:val="Normal"/>
    <w:link w:val="CommentTextChar"/>
    <w:uiPriority w:val="99"/>
    <w:semiHidden/>
    <w:unhideWhenUsed/>
    <w:qFormat/>
    <w:rsid w:val="000f78f4"/>
    <w:pPr/>
    <w:rPr>
      <w:sz w:val="20"/>
      <w:szCs w:val="20"/>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ceur-ws.org/Vol-2217/" TargetMode="External"/><Relationship Id="rId3" Type="http://schemas.openxmlformats.org/officeDocument/2006/relationships/hyperlink" Target="http://ceur-ws.org/Vol-1938/"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LibreOffice/7.0.4.2$Linux_X86_64 LibreOffice_project/00$Build-2</Application>
  <AppVersion>15.0000</AppVersion>
  <Pages>2</Pages>
  <Words>680</Words>
  <Characters>4219</Characters>
  <CharactersWithSpaces>4811</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2022-03-08T13:44:00Z</dcterms:created>
  <dc:creator>Nebojša Andrić</dc:creator>
  <dc:description/>
  <dc:language>en-GB</dc:language>
  <cp:lastModifiedBy/>
  <dcterms:modified xsi:type="dcterms:W3CDTF">2022-04-12T22:15:04Z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