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20414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720"/>
        <w:gridCol w:w="90"/>
        <w:gridCol w:w="360"/>
        <w:gridCol w:w="630"/>
        <w:gridCol w:w="2606"/>
        <w:gridCol w:w="94"/>
        <w:gridCol w:w="105"/>
        <w:gridCol w:w="705"/>
        <w:gridCol w:w="336"/>
        <w:gridCol w:w="196"/>
        <w:gridCol w:w="998"/>
        <w:gridCol w:w="653"/>
        <w:gridCol w:w="1777"/>
        <w:gridCol w:w="5223"/>
        <w:gridCol w:w="5471"/>
        <w:tblGridChange w:id="0">
          <w:tblGrid>
            <w:gridCol w:w="450"/>
            <w:gridCol w:w="720"/>
            <w:gridCol w:w="90"/>
            <w:gridCol w:w="360"/>
            <w:gridCol w:w="630"/>
            <w:gridCol w:w="2606"/>
            <w:gridCol w:w="94"/>
            <w:gridCol w:w="105"/>
            <w:gridCol w:w="705"/>
            <w:gridCol w:w="336"/>
            <w:gridCol w:w="196"/>
            <w:gridCol w:w="998"/>
            <w:gridCol w:w="653"/>
            <w:gridCol w:w="1777"/>
            <w:gridCol w:w="5223"/>
            <w:gridCol w:w="547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Maja  Караман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 15.06.2020.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15.06.2020. 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Микробиологија/биохемија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/физиологија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1997.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Микробиологија/таксономија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ОЕ001, ОЕ002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Систематика алги и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ОАС, ИАС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ОБ030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Јестиве и отровне гљиве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ОБЕ011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Лековити агенси алги и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ОБ052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Микологија 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Биодеградације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МБ19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Биоактивни метаболити микроорганизама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46.972656249999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Диверзитет и заштита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МБ21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Експериментална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95.1342773437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spacing w:after="200" w:line="276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Одабрана поглавља из микологије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Rašeta M, Čapelja E, Rakić M (2021) Diversity, Chemistry, and Environmental Contamination of Wild Growing Medicinal Mushroom Medicinal mushrooms Species as Sources of Biologically Active Substances (AntioxidantsAntioxidants, Anti-Diabetics, and AChEAcetylcholinesterase enzyme (AChE) Inhibitors).</w:t>
            </w:r>
            <w:r w:rsidDel="00000000" w:rsidR="00000000" w:rsidRPr="00000000">
              <w:rPr>
                <w:rFonts w:ascii="Courier New" w:cs="Courier New" w:eastAsia="Courier New" w:hAnsi="Courier Ne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Arun Arya and Katerina Rusevska (Eds):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Springer Verlag Book: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Biology, Cultivation and Applications of Mushrooms, 978-981-16-6256-0, 513314_1_En, (Chapter 8), DOI : 10.1007/978-981-16-6257-7 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Rašeta M, Popović M, Knežević P, Šibul F, Kaišarević 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(2020) Bioactive Phenolic Compounds of Two Medicinal Mushroom Species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Trametes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versicolor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 and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 Stereum subtomentosum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 as Antioxidant and Antiproliferative Agent. Chemistry &amp; Biodiversity 17 (12), e2000683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, Janjušević L, Jakovljević D, Šibul F, Pejin B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(2019).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Anti-hydroxyl radical activity, redox potential and anti-AChE activity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Amanita strobiliformis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 polysaccharide extract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Natural product research 33 (10): 1522-1526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6">
            <w:pPr>
              <w:tabs>
                <w:tab w:val="left" w:pos="4320"/>
                <w:tab w:val="left" w:pos="8820"/>
                <w:tab w:val="left" w:pos="9672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Vesić M, Stahl, M, Janjić Lj, Novaković M,  Matavuly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Bioactive properties of Wild-Growing Mushroom Species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4"/>
                <w:szCs w:val="14"/>
                <w:rtl w:val="0"/>
              </w:rPr>
              <w:t xml:space="preserve">Ganoderma applanatum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 (Pers.) Pat. from Fruska Gora Forest (Serbia). RPMP Vol. 32: Ethnomedicine and Therapeutic Validation, pp. 361-377.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Novaković MS, Matavuly MN (2012): Fundamental Fungal Strategies in Restoration of Natural Environment. 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Fungi: Types, Environmental Impact and Role in Disease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Editors: Paz Silva A. and Sol M., 2012 Nova Science Publishers, Inc., ISBN: 978-1-61942-671-9. Chapter X, pp: 167-214.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2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shd w:fill="f5f9fa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Karaman M,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Matavulj M, Janjic Lj (2012): Antibacterial agents from lignicolous macrofungi. In: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“Antimicrobial agents”,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shd w:fill="f5f9fa" w:val="clear"/>
                <w:rtl w:val="0"/>
              </w:rPr>
              <w:t xml:space="preserve">ed. by Varaprasad Bobbarala, InTech, September 9, 2012,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Chapter 18. pp: 361-386.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Jovin E., Malbaša R., Matavuly M., Popović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(2010):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Medicinal and edible lignicolous fungi as natural sources of antioxidative and antibacterial agents.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Phytotherapy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24 (10): 1473–1481.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474,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-index: 13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45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C7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2005 -2007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месец дана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Biotechnical faculty, University of Ljubljana, Biology,  </w:t>
            </w:r>
          </w:p>
          <w:p w:rsidR="00000000" w:rsidDel="00000000" w:rsidP="00000000" w:rsidRDefault="00000000" w:rsidRPr="00000000" w14:paraId="000001C8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highlight w:val="white"/>
                <w:rtl w:val="0"/>
              </w:rPr>
              <w:t xml:space="preserve">2016. год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. - месец дана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Alma Mater Studiorum Universitá di Bologna, Dipartimento di Scienze Agrarie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 ( Italy)</w:t>
            </w:r>
          </w:p>
          <w:p w:rsidR="00000000" w:rsidDel="00000000" w:rsidP="00000000" w:rsidRDefault="00000000" w:rsidRPr="00000000" w14:paraId="000001C9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2018.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год. - 10 дана: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Bialystok University of Technology, Poland, Politechnika Bialostocka,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Faculty of Forestry in Hajnowka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CA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2019.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год. (15/05/019 – 23/05/2019) - Åbo Academi University, Finland, International Credit Mobility Program  for Staff training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D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Други подаци које сматрате релевантним: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2021-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данас, руководилац пројекта</w:t>
            </w:r>
            <w:r w:rsidDel="00000000" w:rsidR="00000000" w:rsidRPr="00000000">
              <w:rPr>
                <w:rFonts w:ascii="Roboto Slab" w:cs="Roboto Slab" w:eastAsia="Roboto Slab" w:hAnsi="Roboto Slab"/>
                <w:color w:val="707271"/>
                <w:sz w:val="19"/>
                <w:szCs w:val="19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„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Изградња миколошких капацитета за одрживо управљање ресурсима: Фунгаријум и колекција култура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“ Покрајинског секретаријата за високо образовање и научноистраживачку делатност,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4"/>
                  <w:szCs w:val="14"/>
                  <w:u w:val="single"/>
                  <w:rtl w:val="0"/>
                </w:rPr>
                <w:t xml:space="preserve">https://www.dbe.uns.ac.rs/nauka/laboratorije/fungarijum/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2018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- данас - руководилац Лабораторије за микологију ProFungi, ПМФ, Нови Сад,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4"/>
                  <w:szCs w:val="14"/>
                  <w:u w:val="single"/>
                  <w:rtl w:val="0"/>
                </w:rPr>
                <w:t xml:space="preserve">https://www.dbe.uns.ac.rs/nauka/laboratorije/profungi/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Чланства у организацијама: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члан Микробиолошког и Миколошког Савеза Србије, 2013. – данас - члан ОPTIMA организације (The Organization for the Phyto-Taxonomic Investigation of the Mediterranean Area): у Комисији je за гљиве, за таксономска и друга проучавања гљива Медитерана, заједно са још 14 научника из медитеранских држава.</w:t>
            </w:r>
          </w:p>
        </w:tc>
      </w:tr>
    </w:tbl>
    <w:p w:rsidR="00000000" w:rsidDel="00000000" w:rsidP="00000000" w:rsidRDefault="00000000" w:rsidRPr="00000000" w14:paraId="000001E6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Roboto Slab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E3E0C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AE3E0C"/>
    <w:pPr>
      <w:spacing w:after="0" w:line="240" w:lineRule="auto"/>
    </w:pPr>
    <w:rPr>
      <w:rFonts w:ascii="Calibri" w:cs="Times New Roman" w:eastAsia="Times New Roman" w:hAnsi="Calibri"/>
    </w:rPr>
  </w:style>
  <w:style w:type="character" w:styleId="apple-converted-space" w:customStyle="1">
    <w:name w:val="apple-converted-space"/>
    <w:rsid w:val="00791787"/>
  </w:style>
  <w:style w:type="paragraph" w:styleId="ListParagraph">
    <w:name w:val="List Paragraph"/>
    <w:basedOn w:val="Normal"/>
    <w:uiPriority w:val="34"/>
    <w:qFormat w:val="1"/>
    <w:rsid w:val="00791787"/>
    <w:pPr>
      <w:ind w:left="720"/>
      <w:contextualSpacing w:val="1"/>
    </w:pPr>
    <w:rPr>
      <w:rFonts w:ascii="Verdana" w:eastAsia="Times New Roman" w:hAnsi="Verdana"/>
      <w:color w:val="003572"/>
      <w:sz w:val="24"/>
      <w:szCs w:val="24"/>
    </w:rPr>
  </w:style>
  <w:style w:type="paragraph" w:styleId="body" w:customStyle="1">
    <w:name w:val="body"/>
    <w:basedOn w:val="Normal"/>
    <w:uiPriority w:val="99"/>
    <w:qFormat w:val="1"/>
    <w:rsid w:val="00791787"/>
    <w:pPr>
      <w:spacing w:afterAutospacing="1" w:beforeAutospacing="1" w:line="240" w:lineRule="atLeast"/>
    </w:pPr>
    <w:rPr>
      <w:rFonts w:ascii="Verdana" w:cs="Verdana" w:eastAsia="Times New Roman" w:hAnsi="Verdana"/>
      <w:sz w:val="18"/>
      <w:szCs w:val="18"/>
      <w:lang w:bidi="hi-IN"/>
    </w:rPr>
  </w:style>
  <w:style w:type="character" w:styleId="anchortext" w:customStyle="1">
    <w:name w:val="anchortext"/>
    <w:basedOn w:val="DefaultParagraphFont"/>
    <w:rsid w:val="00211E0A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11E0A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11E0A"/>
    <w:rPr>
      <w:rFonts w:ascii="Tahoma" w:cs="Tahoma" w:eastAsia="Calibri" w:hAnsi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211E0A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styleId="BodyTextIndent2Char" w:customStyle="1">
    <w:name w:val="Body Text Indent 2 Char"/>
    <w:basedOn w:val="DefaultParagraphFont"/>
    <w:link w:val="BodyTextIndent2"/>
    <w:rsid w:val="00211E0A"/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 w:val="1"/>
    <w:rsid w:val="004A28C0"/>
    <w:pPr>
      <w:spacing w:after="100" w:afterAutospacing="1" w:before="100" w:beforeAutospacing="1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10332C"/>
    <w:rPr>
      <w:rFonts w:ascii="Consolas" w:hAnsi="Consolas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10332C"/>
    <w:rPr>
      <w:rFonts w:ascii="Consolas" w:cs="Times New Roman" w:eastAsia="Calibri" w:hAnsi="Consolas"/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151E12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dbe.uns.ac.rs/nauka/laboratorije/fungarijum/" TargetMode="External"/><Relationship Id="rId8" Type="http://schemas.openxmlformats.org/officeDocument/2006/relationships/hyperlink" Target="https://www.dbe.uns.ac.rs/nauka/laboratorije/profungi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6v3rq+F6luSvWS40wpPuyHOXMQ==">AMUW2mXve3GZRtZ+cvxIlIaLBLXFuMcW0EZaFzO/yjudSnN25l+g4Q+TnBfi8uHogdQLEvhCUt4Og2n07uQtsui92rO1MK6jFiI8fKv137Mh0vP7dQ0BiUw=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2022-05-24T14:57:00Z</dcterms:created>
  <dc:creator>Windows User</dc:creator>
</cp:coreProperties>
</file>