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567"/>
        </w:tabs>
        <w:spacing w:after="60" w:lineRule="auto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0"/>
          <w:szCs w:val="20"/>
          <w:rtl w:val="0"/>
        </w:rPr>
        <w:t xml:space="preserve">Табела 9.1.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 Научне, уметничке и стручне квалификације наставника и задужења у настави</w:t>
      </w:r>
    </w:p>
    <w:tbl>
      <w:tblPr>
        <w:tblStyle w:val="Table1"/>
        <w:tblW w:w="10890.0" w:type="dxa"/>
        <w:jc w:val="left"/>
        <w:tblInd w:w="-79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20"/>
        <w:gridCol w:w="810"/>
        <w:gridCol w:w="180"/>
        <w:gridCol w:w="90"/>
        <w:gridCol w:w="630"/>
        <w:gridCol w:w="1350"/>
        <w:gridCol w:w="1080"/>
        <w:gridCol w:w="104"/>
        <w:gridCol w:w="346"/>
        <w:gridCol w:w="810"/>
        <w:gridCol w:w="515"/>
        <w:gridCol w:w="205"/>
        <w:gridCol w:w="1530"/>
        <w:gridCol w:w="2520"/>
        <w:tblGridChange w:id="0">
          <w:tblGrid>
            <w:gridCol w:w="720"/>
            <w:gridCol w:w="810"/>
            <w:gridCol w:w="180"/>
            <w:gridCol w:w="90"/>
            <w:gridCol w:w="630"/>
            <w:gridCol w:w="1350"/>
            <w:gridCol w:w="1080"/>
            <w:gridCol w:w="104"/>
            <w:gridCol w:w="346"/>
            <w:gridCol w:w="810"/>
            <w:gridCol w:w="515"/>
            <w:gridCol w:w="205"/>
            <w:gridCol w:w="1530"/>
            <w:gridCol w:w="2520"/>
          </w:tblGrid>
        </w:tblGridChange>
      </w:tblGrid>
      <w:tr>
        <w:trPr>
          <w:cantSplit w:val="0"/>
          <w:trHeight w:val="332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0B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Драган Радновић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1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19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27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УНС, пуно радно време oд 01.04.1989.</w:t>
            </w:r>
          </w:p>
        </w:tc>
      </w:tr>
      <w:tr>
        <w:trPr>
          <w:cantSplit w:val="0"/>
          <w:trHeight w:val="368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2011.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УНСПМФ</w:t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2001.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УНСПМФ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1995.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УНСПМФ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242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8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1988.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УНСПМФ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Зооологија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629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ОБ001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 алги и гљива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ОЕ013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Општа микробиологија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B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5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shd w:fill="f6f6f6" w:val="clear"/>
                <w:rtl w:val="0"/>
              </w:rPr>
              <w:t xml:space="preserve">ОПБ009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Општа микробиологија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C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професор биологије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ИАС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ОЕ33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Екологија микроорганизама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D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ИБ40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Микробиолошки практикум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E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МБ20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Микробиолошки мониторинг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F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25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МБ18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 животне средине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0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0C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A">
            <w:pPr>
              <w:numPr>
                <w:ilvl w:val="0"/>
                <w:numId w:val="1"/>
              </w:numPr>
              <w:tabs>
                <w:tab w:val="left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1B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Chromiková, Z., Chovanová, R. K., Tamindžija, Д., Bártová, B.,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Radnović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Д., Bernier-Latmani, R., &amp; Barák, I. (2022). Implantation of Bacillus pseudomycoides Chromate Transporter Increases Chromate Tolerance in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Bacillus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subtilis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Frontiers in microbiology, 13, 842623.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https://doi.org/10.3389/fmicb.2022.842623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8">
            <w:pPr>
              <w:numPr>
                <w:ilvl w:val="0"/>
                <w:numId w:val="1"/>
              </w:numPr>
              <w:tabs>
                <w:tab w:val="left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Ana Volarić, A., Svirčev, Z., Tamindžija,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Radnović,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(2021): Microbial bioremediation of heavy metals. Hem. Ind. 75 (2) 103-115.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563c1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http://www.doiserbia.nb.rs/img/doi/0367-598X/2021/0367-598X2102103V.pdf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6">
            <w:pPr>
              <w:numPr>
                <w:ilvl w:val="0"/>
                <w:numId w:val="1"/>
              </w:numPr>
              <w:tabs>
                <w:tab w:val="left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Tamindžija, Д., Chromikova, Z., Spaić, A., Barak, I., Bernier Latmani, R.,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Radnović,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(2019) Chromate tolerance and removal of bacterial strains isolated from uncontaminated and chromium-polluted environments. World Journal of Microbiology and Biotechnology, pp. 35-56 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563c1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https://www.frontiersin.org/articles/10.3389/fmicb.2022.842623/full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4">
            <w:pPr>
              <w:numPr>
                <w:ilvl w:val="0"/>
                <w:numId w:val="1"/>
              </w:numPr>
              <w:tabs>
                <w:tab w:val="left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Čučak, D., Babić, O., Tamaš, I., Simeunović, J., Karaman, M., Blagojević (Kovač), D., Rakić (Novaković), M., Markov, S., Knežević, P., Stojanov, I., Obradović, V. and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Radnović,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(2018): Prevalence, Antibiotic Resistance and Diversity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Salmonella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Isolates from Soils and Sediments in Serbia. International Journal of Environmental Research, 12 (6), pp. 829-841 </w:t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563c1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https://link.springer.com/article/10.1007/s41742-018-0138-3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2">
            <w:pPr>
              <w:numPr>
                <w:ilvl w:val="0"/>
                <w:numId w:val="1"/>
              </w:numPr>
              <w:tabs>
                <w:tab w:val="left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53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Čučak, D., Beljin, J., Babić, O., Maletić, S., Simeunović, J., Rončević, S., Dalmacija, B., Tamaš, I.,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Radnović,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(2017): A chemical and microbiological characterization and toxicity assessment of the Pančevo industrial complex wastewater canal sediments, Serbia. Environ. Science and Pollution Research, 24 (9), pp. 8458-8468 </w:t>
            </w: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https://link.springer.com/article/10.1007/s11356-017-8513-8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365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60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314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16E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76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468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17C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СЦИ (ССЦИ) листе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84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28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18A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92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  3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95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 -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98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19B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ETHZ, Швајцарска 6 (месеци)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A6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1A9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Члан Друштва микробиолога Србије, Федерације европских микробиолошких друштава (FEMS), </w:t>
            </w:r>
          </w:p>
        </w:tc>
      </w:tr>
    </w:tbl>
    <w:p w:rsidR="00000000" w:rsidDel="00000000" w:rsidP="00000000" w:rsidRDefault="00000000" w:rsidRPr="00000000" w14:paraId="000001B4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40" w:w="1190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F78F4"/>
    <w:rPr>
      <w:rFonts w:ascii="Calibri" w:eastAsia="Calibri" w:hAnsi="Calibri"/>
      <w:color w:val="auto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0F78F4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0F78F4"/>
    <w:rPr>
      <w:rFonts w:ascii="Calibri" w:eastAsia="Calibri" w:hAnsi="Calibri"/>
      <w:color w:val="auto"/>
      <w:sz w:val="20"/>
      <w:szCs w:val="20"/>
    </w:rPr>
  </w:style>
  <w:style w:type="character" w:styleId="articlecitationvolume" w:customStyle="1">
    <w:name w:val="articlecitation_volume"/>
    <w:basedOn w:val="DefaultParagraphFont"/>
    <w:rsid w:val="00AB0C5B"/>
  </w:style>
  <w:style w:type="character" w:styleId="articlecitationpages" w:customStyle="1">
    <w:name w:val="articlecitation_pages"/>
    <w:basedOn w:val="DefaultParagraphFont"/>
    <w:rsid w:val="00AB0C5B"/>
  </w:style>
  <w:style w:type="paragraph" w:styleId="BodyText2">
    <w:name w:val="Body Text 2"/>
    <w:basedOn w:val="Normal"/>
    <w:link w:val="BodyText2Char"/>
    <w:rsid w:val="00AB0C5B"/>
    <w:rPr>
      <w:rFonts w:ascii="Times New Roman" w:eastAsia="Times New Roman" w:hAnsi="Times New Roman"/>
      <w:szCs w:val="24"/>
    </w:rPr>
  </w:style>
  <w:style w:type="character" w:styleId="BodyText2Char" w:customStyle="1">
    <w:name w:val="Body Text 2 Char"/>
    <w:basedOn w:val="DefaultParagraphFont"/>
    <w:link w:val="BodyText2"/>
    <w:rsid w:val="00AB0C5B"/>
    <w:rPr>
      <w:rFonts w:eastAsia="Times New Roman"/>
      <w:color w:val="auto"/>
      <w:szCs w:val="24"/>
    </w:rPr>
  </w:style>
  <w:style w:type="paragraph" w:styleId="ListParagraph">
    <w:name w:val="List Paragraph"/>
    <w:basedOn w:val="Normal"/>
    <w:uiPriority w:val="34"/>
    <w:qFormat w:val="1"/>
    <w:rsid w:val="005B37C9"/>
    <w:pPr>
      <w:spacing w:after="200" w:line="276" w:lineRule="auto"/>
      <w:ind w:left="720"/>
      <w:contextualSpacing w:val="1"/>
    </w:pPr>
    <w:rPr>
      <w:rFonts w:asciiTheme="minorHAnsi" w:cstheme="minorBidi" w:eastAsiaTheme="minorHAnsi" w:hAnsiTheme="minorHAnsi"/>
    </w:rPr>
  </w:style>
  <w:style w:type="paragraph" w:styleId="a" w:customStyle="1">
    <w:name w:val="Референце"/>
    <w:basedOn w:val="Normal"/>
    <w:link w:val="Char"/>
    <w:qFormat w:val="1"/>
    <w:rsid w:val="00130F5A"/>
    <w:pPr>
      <w:widowControl w:val="0"/>
      <w:autoSpaceDE w:val="0"/>
      <w:autoSpaceDN w:val="0"/>
      <w:adjustRightInd w:val="0"/>
      <w:jc w:val="both"/>
    </w:pPr>
    <w:rPr>
      <w:rFonts w:ascii="Times New Roman" w:eastAsia="Cambria" w:hAnsi="Times New Roman"/>
      <w:sz w:val="20"/>
      <w:szCs w:val="20"/>
      <w:lang w:eastAsia="sr-Latn-CS" w:val="sr-Latn-CS"/>
    </w:rPr>
  </w:style>
  <w:style w:type="character" w:styleId="Char" w:customStyle="1">
    <w:name w:val="Референце Char"/>
    <w:basedOn w:val="DefaultParagraphFont"/>
    <w:link w:val="a"/>
    <w:rsid w:val="00130F5A"/>
    <w:rPr>
      <w:rFonts w:eastAsia="Cambria"/>
      <w:color w:val="auto"/>
      <w:sz w:val="20"/>
      <w:szCs w:val="20"/>
      <w:lang w:eastAsia="sr-Latn-CS" w:val="sr-Latn-CS"/>
    </w:rPr>
  </w:style>
  <w:style w:type="character" w:styleId="Hyperlink">
    <w:name w:val="Hyperlink"/>
    <w:basedOn w:val="DefaultParagraphFont"/>
    <w:uiPriority w:val="99"/>
    <w:unhideWhenUsed w:val="1"/>
    <w:rsid w:val="00A73A69"/>
    <w:rPr>
      <w:color w:val="0563c1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link.springer.com/article/10.1007/s11356-017-8513-8" TargetMode="External"/><Relationship Id="rId10" Type="http://schemas.openxmlformats.org/officeDocument/2006/relationships/hyperlink" Target="https://link.springer.com/article/10.1007/s41742-018-0138-3" TargetMode="External"/><Relationship Id="rId9" Type="http://schemas.openxmlformats.org/officeDocument/2006/relationships/hyperlink" Target="https://www.frontiersin.org/articles/10.3389/fmicb.2022.842623/full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oi.org/10.3389/fmicb.2022.842623" TargetMode="External"/><Relationship Id="rId8" Type="http://schemas.openxmlformats.org/officeDocument/2006/relationships/hyperlink" Target="http://www.doiserbia.nb.rs/img/doi/0367-598X/2021/0367-598X2102103V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RDlBV9zzKmk4Bzz6UwbtZXShzA==">AMUW2mWgPK51X09mTziAqhNT1ns4Hz/EM6a0zKpExqTZGqiX9F9PtebDwhEoDTVWDAJeswzybvZuI0dUt5KgXYoMdgqhuJoU9Le0VfGVlOP4vdAYn2L6Ue9F++vtpHf2SpDefWLzpZr4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2022-05-22T23:26:00Z</dcterms:created>
  <dc:creator>Nebojša Andrić</dc:creator>
</cp:coreProperties>
</file>