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90"/>
        <w:gridCol w:w="900"/>
        <w:gridCol w:w="180"/>
        <w:gridCol w:w="720"/>
        <w:gridCol w:w="1775"/>
        <w:gridCol w:w="205"/>
        <w:gridCol w:w="450"/>
        <w:gridCol w:w="720"/>
        <w:gridCol w:w="270"/>
        <w:gridCol w:w="990"/>
        <w:gridCol w:w="990"/>
        <w:gridCol w:w="1400"/>
        <w:gridCol w:w="8690"/>
      </w:tblGrid>
      <w:tr w:rsidR="00655F70" w:rsidRPr="00491993" w:rsidTr="007655F0">
        <w:trPr>
          <w:gridAfter w:val="1"/>
          <w:wAfter w:w="8690" w:type="dxa"/>
          <w:trHeight w:val="427"/>
        </w:trPr>
        <w:tc>
          <w:tcPr>
            <w:tcW w:w="4770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370" w:type="dxa"/>
            <w:gridSpan w:val="5"/>
            <w:vAlign w:val="center"/>
          </w:tcPr>
          <w:p w:rsidR="00655F70" w:rsidRPr="00491993" w:rsidRDefault="00B57E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Светлана Фа Недељков</w:t>
            </w:r>
            <w:r w:rsidR="00F471BF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ћ</w:t>
            </w:r>
          </w:p>
        </w:tc>
      </w:tr>
      <w:tr w:rsidR="00655F70" w:rsidRPr="00491993" w:rsidTr="007655F0">
        <w:trPr>
          <w:gridAfter w:val="1"/>
          <w:wAfter w:w="8690" w:type="dxa"/>
          <w:trHeight w:val="427"/>
        </w:trPr>
        <w:tc>
          <w:tcPr>
            <w:tcW w:w="4770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370" w:type="dxa"/>
            <w:gridSpan w:val="5"/>
            <w:vAlign w:val="center"/>
          </w:tcPr>
          <w:p w:rsidR="00655F70" w:rsidRPr="00491993" w:rsidRDefault="00B57E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Виши научни сарадник</w:t>
            </w:r>
          </w:p>
        </w:tc>
      </w:tr>
      <w:tr w:rsidR="00655F70" w:rsidRPr="00491993" w:rsidTr="007655F0">
        <w:trPr>
          <w:gridAfter w:val="1"/>
          <w:wAfter w:w="8690" w:type="dxa"/>
          <w:trHeight w:val="427"/>
        </w:trPr>
        <w:tc>
          <w:tcPr>
            <w:tcW w:w="4770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370" w:type="dxa"/>
            <w:gridSpan w:val="5"/>
            <w:vAlign w:val="center"/>
          </w:tcPr>
          <w:p w:rsidR="00655F70" w:rsidRPr="00491993" w:rsidRDefault="0042403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Универзитет у Новом Саду, од </w:t>
            </w:r>
            <w:r w:rsidR="00B57E6B">
              <w:rPr>
                <w:rFonts w:ascii="Times New Roman" w:hAnsi="Times New Roman"/>
                <w:sz w:val="20"/>
                <w:szCs w:val="20"/>
                <w:lang w:val="sr-Cyrl-CS"/>
              </w:rPr>
              <w:t>2007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 године</w:t>
            </w:r>
          </w:p>
        </w:tc>
      </w:tr>
      <w:tr w:rsidR="00655F70" w:rsidRPr="00491993" w:rsidTr="007655F0">
        <w:trPr>
          <w:gridAfter w:val="1"/>
          <w:wAfter w:w="8690" w:type="dxa"/>
          <w:trHeight w:val="427"/>
        </w:trPr>
        <w:tc>
          <w:tcPr>
            <w:tcW w:w="4770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370" w:type="dxa"/>
            <w:gridSpan w:val="5"/>
            <w:vAlign w:val="center"/>
          </w:tcPr>
          <w:p w:rsidR="00655F70" w:rsidRPr="00491993" w:rsidRDefault="00B57E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</w:tr>
      <w:tr w:rsidR="00655F70" w:rsidRPr="00491993" w:rsidTr="007655F0">
        <w:trPr>
          <w:gridAfter w:val="1"/>
          <w:wAfter w:w="8690" w:type="dxa"/>
          <w:trHeight w:val="305"/>
        </w:trPr>
        <w:tc>
          <w:tcPr>
            <w:tcW w:w="9140" w:type="dxa"/>
            <w:gridSpan w:val="1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24033" w:rsidRPr="00491993" w:rsidTr="007655F0">
        <w:trPr>
          <w:gridAfter w:val="1"/>
          <w:wAfter w:w="8690" w:type="dxa"/>
          <w:trHeight w:val="710"/>
        </w:trPr>
        <w:tc>
          <w:tcPr>
            <w:tcW w:w="144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90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424033" w:rsidRPr="00491993" w:rsidTr="007655F0">
        <w:trPr>
          <w:gridAfter w:val="1"/>
          <w:wAfter w:w="8690" w:type="dxa"/>
          <w:trHeight w:val="427"/>
        </w:trPr>
        <w:tc>
          <w:tcPr>
            <w:tcW w:w="144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2"/>
            <w:vAlign w:val="center"/>
          </w:tcPr>
          <w:p w:rsidR="00655F70" w:rsidRPr="00491993" w:rsidRDefault="00B57E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655F70" w:rsidRPr="00491993" w:rsidRDefault="00F471B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  <w:r w:rsidR="00424033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655F70" w:rsidRPr="00491993" w:rsidRDefault="00B57E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90" w:type="dxa"/>
            <w:gridSpan w:val="2"/>
            <w:shd w:val="clear" w:color="auto" w:fill="auto"/>
            <w:vAlign w:val="center"/>
          </w:tcPr>
          <w:p w:rsidR="00655F70" w:rsidRPr="00491993" w:rsidRDefault="00B57E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 ћелије</w:t>
            </w:r>
          </w:p>
        </w:tc>
      </w:tr>
      <w:tr w:rsidR="00424033" w:rsidRPr="00491993" w:rsidTr="007655F0">
        <w:trPr>
          <w:gridAfter w:val="1"/>
          <w:wAfter w:w="8690" w:type="dxa"/>
          <w:trHeight w:val="427"/>
        </w:trPr>
        <w:tc>
          <w:tcPr>
            <w:tcW w:w="144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2"/>
            <w:vAlign w:val="center"/>
          </w:tcPr>
          <w:p w:rsidR="00655F70" w:rsidRPr="00491993" w:rsidRDefault="00B57E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655F70" w:rsidRPr="00491993" w:rsidRDefault="00F471B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Универзитет у Новом Саду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655F70" w:rsidRPr="00491993" w:rsidRDefault="0042403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  <w:tc>
          <w:tcPr>
            <w:tcW w:w="2390" w:type="dxa"/>
            <w:gridSpan w:val="2"/>
            <w:shd w:val="clear" w:color="auto" w:fill="auto"/>
            <w:vAlign w:val="center"/>
          </w:tcPr>
          <w:p w:rsidR="00655F70" w:rsidRPr="00491993" w:rsidRDefault="00EF4D2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</w:t>
            </w:r>
            <w:r w:rsidR="00424033">
              <w:rPr>
                <w:rFonts w:ascii="Times New Roman" w:hAnsi="Times New Roman"/>
                <w:sz w:val="20"/>
                <w:szCs w:val="20"/>
                <w:lang w:val="sr-Cyrl-CS"/>
              </w:rPr>
              <w:t>иологија животиња</w:t>
            </w:r>
          </w:p>
        </w:tc>
      </w:tr>
      <w:tr w:rsidR="00424033" w:rsidRPr="00491993" w:rsidTr="007655F0">
        <w:trPr>
          <w:gridAfter w:val="1"/>
          <w:wAfter w:w="8690" w:type="dxa"/>
          <w:trHeight w:val="427"/>
        </w:trPr>
        <w:tc>
          <w:tcPr>
            <w:tcW w:w="144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2"/>
            <w:vAlign w:val="center"/>
          </w:tcPr>
          <w:p w:rsidR="00655F70" w:rsidRPr="00491993" w:rsidRDefault="00B57E6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3150" w:type="dxa"/>
            <w:gridSpan w:val="4"/>
            <w:shd w:val="clear" w:color="auto" w:fill="auto"/>
            <w:vAlign w:val="center"/>
          </w:tcPr>
          <w:p w:rsidR="00655F70" w:rsidRPr="00491993" w:rsidRDefault="00F471B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ПМФ, Универзитет у Новом Саду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655F70" w:rsidRPr="00491993" w:rsidRDefault="0042403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390" w:type="dxa"/>
            <w:gridSpan w:val="2"/>
            <w:shd w:val="clear" w:color="auto" w:fill="auto"/>
            <w:vAlign w:val="center"/>
          </w:tcPr>
          <w:p w:rsidR="00655F70" w:rsidRPr="00491993" w:rsidRDefault="0042403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Генетика</w:t>
            </w:r>
          </w:p>
        </w:tc>
      </w:tr>
      <w:tr w:rsidR="00655F70" w:rsidRPr="00491993" w:rsidTr="007655F0">
        <w:trPr>
          <w:gridAfter w:val="1"/>
          <w:wAfter w:w="8690" w:type="dxa"/>
          <w:trHeight w:val="427"/>
        </w:trPr>
        <w:tc>
          <w:tcPr>
            <w:tcW w:w="9140" w:type="dxa"/>
            <w:gridSpan w:val="13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57E6B" w:rsidRPr="00491993" w:rsidTr="007258DD">
        <w:trPr>
          <w:gridAfter w:val="1"/>
          <w:wAfter w:w="8690" w:type="dxa"/>
          <w:trHeight w:val="512"/>
        </w:trPr>
        <w:tc>
          <w:tcPr>
            <w:tcW w:w="540" w:type="dxa"/>
            <w:gridSpan w:val="2"/>
            <w:shd w:val="clear" w:color="auto" w:fill="auto"/>
            <w:vAlign w:val="center"/>
          </w:tcPr>
          <w:p w:rsidR="00655F70" w:rsidRPr="00F471BF" w:rsidRDefault="00F471BF" w:rsidP="00F471BF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55F70" w:rsidRPr="00491993" w:rsidRDefault="00655F70" w:rsidP="005A343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B57E6B" w:rsidRPr="00491993" w:rsidTr="007258DD">
        <w:trPr>
          <w:gridAfter w:val="1"/>
          <w:wAfter w:w="8690" w:type="dxa"/>
          <w:trHeight w:val="638"/>
        </w:trPr>
        <w:tc>
          <w:tcPr>
            <w:tcW w:w="540" w:type="dxa"/>
            <w:gridSpan w:val="2"/>
            <w:shd w:val="clear" w:color="auto" w:fill="auto"/>
            <w:vAlign w:val="center"/>
          </w:tcPr>
          <w:p w:rsidR="00655F70" w:rsidRPr="00491993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F471BF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55F70" w:rsidRPr="00491993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РБ01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655F70" w:rsidRPr="00BE7736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E7736">
              <w:rPr>
                <w:rFonts w:ascii="Times New Roman" w:hAnsi="Times New Roman"/>
                <w:sz w:val="20"/>
                <w:szCs w:val="20"/>
              </w:rPr>
              <w:t>Физиологија</w:t>
            </w:r>
            <w:proofErr w:type="spellEnd"/>
            <w:r w:rsidRPr="00BE773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E7736">
              <w:rPr>
                <w:rFonts w:ascii="Times New Roman" w:hAnsi="Times New Roman"/>
                <w:sz w:val="20"/>
                <w:szCs w:val="20"/>
              </w:rPr>
              <w:t>ендокринологија</w:t>
            </w:r>
            <w:proofErr w:type="spellEnd"/>
            <w:r w:rsidRPr="00BE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7736">
              <w:rPr>
                <w:rFonts w:ascii="Times New Roman" w:hAnsi="Times New Roman"/>
                <w:sz w:val="20"/>
                <w:szCs w:val="20"/>
              </w:rPr>
              <w:t>женског</w:t>
            </w:r>
            <w:proofErr w:type="spellEnd"/>
            <w:r w:rsidRPr="00BE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7736">
              <w:rPr>
                <w:rFonts w:ascii="Times New Roman" w:hAnsi="Times New Roman"/>
                <w:sz w:val="20"/>
                <w:szCs w:val="20"/>
              </w:rPr>
              <w:t>репродуктивног</w:t>
            </w:r>
            <w:proofErr w:type="spellEnd"/>
            <w:r w:rsidRPr="00BE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7736">
              <w:rPr>
                <w:rFonts w:ascii="Times New Roman" w:hAnsi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655F70" w:rsidRPr="00C13EB2" w:rsidRDefault="007258D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C13EB2">
              <w:rPr>
                <w:rFonts w:ascii="Times New Roman" w:hAnsi="Times New Roman"/>
                <w:sz w:val="20"/>
                <w:szCs w:val="20"/>
              </w:rPr>
              <w:t>редавања</w:t>
            </w:r>
            <w:proofErr w:type="spellEnd"/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655F70" w:rsidRPr="00491993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репродуктивна биологија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55F70" w:rsidRPr="00491993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57E6B" w:rsidRPr="00491993" w:rsidTr="007258DD">
        <w:trPr>
          <w:gridAfter w:val="1"/>
          <w:wAfter w:w="8690" w:type="dxa"/>
          <w:trHeight w:val="427"/>
        </w:trPr>
        <w:tc>
          <w:tcPr>
            <w:tcW w:w="540" w:type="dxa"/>
            <w:gridSpan w:val="2"/>
            <w:shd w:val="clear" w:color="auto" w:fill="auto"/>
            <w:vAlign w:val="center"/>
          </w:tcPr>
          <w:p w:rsidR="00655F70" w:rsidRPr="00491993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55F70" w:rsidRPr="00491993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РБ18</w:t>
            </w:r>
          </w:p>
        </w:tc>
        <w:tc>
          <w:tcPr>
            <w:tcW w:w="2700" w:type="dxa"/>
            <w:gridSpan w:val="3"/>
            <w:shd w:val="clear" w:color="auto" w:fill="auto"/>
            <w:vAlign w:val="center"/>
          </w:tcPr>
          <w:p w:rsidR="00655F70" w:rsidRPr="00BE7736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BE7736">
              <w:rPr>
                <w:rFonts w:ascii="Times New Roman" w:hAnsi="Times New Roman"/>
                <w:sz w:val="20"/>
                <w:szCs w:val="20"/>
              </w:rPr>
              <w:t>Ендокрини</w:t>
            </w:r>
            <w:proofErr w:type="spellEnd"/>
            <w:r w:rsidRPr="00BE77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E7736">
              <w:rPr>
                <w:rFonts w:ascii="Times New Roman" w:hAnsi="Times New Roman"/>
                <w:sz w:val="20"/>
                <w:szCs w:val="20"/>
              </w:rPr>
              <w:t>ометачи</w:t>
            </w:r>
            <w:proofErr w:type="spellEnd"/>
            <w:r w:rsidRPr="00BE773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BE7736">
              <w:rPr>
                <w:rFonts w:ascii="Times New Roman" w:hAnsi="Times New Roman"/>
                <w:sz w:val="20"/>
                <w:szCs w:val="20"/>
              </w:rPr>
              <w:t>репродукција</w:t>
            </w:r>
            <w:proofErr w:type="spellEnd"/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655F70" w:rsidRPr="00491993" w:rsidRDefault="007258D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655F70" w:rsidRPr="00491993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репродуктивна биологија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655F70" w:rsidRPr="00491993" w:rsidRDefault="0048762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7655F0">
        <w:trPr>
          <w:gridAfter w:val="1"/>
          <w:wAfter w:w="8690" w:type="dxa"/>
          <w:trHeight w:val="427"/>
        </w:trPr>
        <w:tc>
          <w:tcPr>
            <w:tcW w:w="9140" w:type="dxa"/>
            <w:gridSpan w:val="1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655F0" w:rsidRPr="00491993" w:rsidTr="007655F0">
        <w:trPr>
          <w:trHeight w:val="427"/>
        </w:trPr>
        <w:tc>
          <w:tcPr>
            <w:tcW w:w="450" w:type="dxa"/>
            <w:vAlign w:val="center"/>
          </w:tcPr>
          <w:p w:rsidR="007655F0" w:rsidRDefault="007655F0" w:rsidP="005A343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EF4D2A" w:rsidRDefault="007655F0" w:rsidP="000D61F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Pogrmic-Majkic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K.,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Samardzija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Nenadov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D.,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Tesic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B., </w:t>
            </w:r>
            <w:proofErr w:type="spellStart"/>
            <w:r w:rsidRPr="00EF4D2A">
              <w:rPr>
                <w:rFonts w:ascii="Times New Roman" w:eastAsiaTheme="minorHAnsi" w:hAnsi="Times New Roman"/>
                <w:b/>
                <w:sz w:val="16"/>
                <w:szCs w:val="16"/>
              </w:rPr>
              <w:t>Fa</w:t>
            </w:r>
            <w:proofErr w:type="spellEnd"/>
            <w:r w:rsidRPr="00EF4D2A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F4D2A">
              <w:rPr>
                <w:rFonts w:ascii="Times New Roman" w:eastAsiaTheme="minorHAnsi" w:hAnsi="Times New Roman"/>
                <w:b/>
                <w:sz w:val="16"/>
                <w:szCs w:val="16"/>
              </w:rPr>
              <w:t>Nedeljkovic</w:t>
            </w:r>
            <w:proofErr w:type="spellEnd"/>
            <w:r w:rsidRPr="00EF4D2A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S.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Kokai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D.,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Stanic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B., Andric N. (2022) Mapping DEHP to the adverse outcome pathway network for human female reproductive toxicity.</w:t>
            </w:r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Arch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Toxicol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96(10):2799-2813.</w:t>
            </w:r>
          </w:p>
        </w:tc>
        <w:tc>
          <w:tcPr>
            <w:tcW w:w="8690" w:type="dxa"/>
            <w:vAlign w:val="center"/>
          </w:tcPr>
          <w:p w:rsidR="007655F0" w:rsidRPr="00EA20A6" w:rsidRDefault="007655F0" w:rsidP="00A568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16"/>
                <w:szCs w:val="16"/>
              </w:rPr>
            </w:pPr>
          </w:p>
        </w:tc>
      </w:tr>
      <w:tr w:rsidR="007655F0" w:rsidRPr="00491993" w:rsidTr="007655F0">
        <w:trPr>
          <w:trHeight w:val="427"/>
        </w:trPr>
        <w:tc>
          <w:tcPr>
            <w:tcW w:w="450" w:type="dxa"/>
            <w:vAlign w:val="center"/>
          </w:tcPr>
          <w:p w:rsidR="007655F0" w:rsidRDefault="007655F0" w:rsidP="005A343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EF4D2A" w:rsidRDefault="007655F0" w:rsidP="000D61F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Nenadov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DS.,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Pogrmic-Majkic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K.,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Tesic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B.,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Kokai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D., </w:t>
            </w:r>
            <w:proofErr w:type="spellStart"/>
            <w:r w:rsidRPr="00EF4D2A">
              <w:rPr>
                <w:rFonts w:ascii="Times New Roman" w:eastAsiaTheme="minorHAnsi" w:hAnsi="Times New Roman"/>
                <w:b/>
                <w:sz w:val="16"/>
                <w:szCs w:val="16"/>
              </w:rPr>
              <w:t>Fa</w:t>
            </w:r>
            <w:proofErr w:type="spellEnd"/>
            <w:r w:rsidRPr="00EF4D2A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F4D2A">
              <w:rPr>
                <w:rFonts w:ascii="Times New Roman" w:eastAsiaTheme="minorHAnsi" w:hAnsi="Times New Roman"/>
                <w:b/>
                <w:sz w:val="16"/>
                <w:szCs w:val="16"/>
              </w:rPr>
              <w:t>Nedeljkovic</w:t>
            </w:r>
            <w:proofErr w:type="spellEnd"/>
            <w:r w:rsidRPr="00EF4D2A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S.,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Stanic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B., Andric N.(2022) Impact of In Vitro Long-Term Low-Level DEHP Exposure on Gene Expression Profile in Human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Granulosa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Cells. Cells 11(15):2304.</w:t>
            </w:r>
          </w:p>
        </w:tc>
        <w:tc>
          <w:tcPr>
            <w:tcW w:w="8690" w:type="dxa"/>
            <w:vAlign w:val="center"/>
          </w:tcPr>
          <w:p w:rsidR="007655F0" w:rsidRPr="00EA20A6" w:rsidRDefault="007655F0" w:rsidP="00A568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16"/>
                <w:szCs w:val="16"/>
              </w:rPr>
            </w:pPr>
          </w:p>
        </w:tc>
      </w:tr>
      <w:tr w:rsidR="007655F0" w:rsidRPr="00491993" w:rsidTr="007655F0">
        <w:trPr>
          <w:trHeight w:val="427"/>
        </w:trPr>
        <w:tc>
          <w:tcPr>
            <w:tcW w:w="450" w:type="dxa"/>
            <w:vAlign w:val="center"/>
          </w:tcPr>
          <w:p w:rsidR="007655F0" w:rsidRPr="00491993" w:rsidRDefault="007655F0" w:rsidP="005A3434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EF4D2A" w:rsidRDefault="007655F0" w:rsidP="000D61F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Tesic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B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Samardzija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Nenadov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D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Tomanic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T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,</w:t>
            </w:r>
            <w:r w:rsidRPr="00555073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55073">
              <w:rPr>
                <w:rFonts w:ascii="Times New Roman" w:eastAsiaTheme="minorHAnsi" w:hAnsi="Times New Roman"/>
                <w:b/>
                <w:sz w:val="16"/>
                <w:szCs w:val="16"/>
              </w:rPr>
              <w:t>Fa</w:t>
            </w:r>
            <w:proofErr w:type="spellEnd"/>
            <w:r w:rsidRPr="00555073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E3164">
              <w:rPr>
                <w:rFonts w:ascii="Times New Roman" w:eastAsiaTheme="minorHAnsi" w:hAnsi="Times New Roman"/>
                <w:b/>
                <w:sz w:val="16"/>
                <w:szCs w:val="16"/>
              </w:rPr>
              <w:t>Nedeljkovic</w:t>
            </w:r>
            <w:proofErr w:type="spellEnd"/>
            <w:r w:rsidRPr="00BE3164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S.,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Milatovic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S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Stanic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B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Pogrmic-Majkic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K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Andric N. (2023) DEHP Decreases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Steroidogenesis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through the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cAMP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and ERK1/2 Signaling Pathways in FSH-Stimulated Human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Granulosa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Cells. Cells 12(3):398.</w:t>
            </w:r>
          </w:p>
        </w:tc>
        <w:tc>
          <w:tcPr>
            <w:tcW w:w="8690" w:type="dxa"/>
            <w:vAlign w:val="center"/>
          </w:tcPr>
          <w:p w:rsidR="007655F0" w:rsidRPr="00EA20A6" w:rsidRDefault="007655F0" w:rsidP="00A5689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16"/>
                <w:szCs w:val="16"/>
              </w:rPr>
            </w:pPr>
          </w:p>
        </w:tc>
      </w:tr>
      <w:tr w:rsidR="007655F0" w:rsidRPr="00491993" w:rsidTr="007655F0">
        <w:trPr>
          <w:gridAfter w:val="1"/>
          <w:wAfter w:w="8690" w:type="dxa"/>
          <w:trHeight w:val="427"/>
        </w:trPr>
        <w:tc>
          <w:tcPr>
            <w:tcW w:w="450" w:type="dxa"/>
            <w:vAlign w:val="center"/>
          </w:tcPr>
          <w:p w:rsidR="007655F0" w:rsidRPr="00491993" w:rsidRDefault="007655F0" w:rsidP="000D61F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5A3434" w:rsidRDefault="007655F0" w:rsidP="005A343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BE316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Fa</w:t>
            </w:r>
            <w:proofErr w:type="spellEnd"/>
            <w:r w:rsidRPr="00BE316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S.</w:t>
            </w:r>
            <w:r w:rsidRPr="00BE3164">
              <w:rPr>
                <w:rFonts w:ascii="Times New Roman" w:eastAsiaTheme="minorHAnsi" w:hAnsi="Times New Roman"/>
                <w:b/>
                <w:sz w:val="16"/>
                <w:szCs w:val="16"/>
              </w:rPr>
              <w:t>,</w:t>
            </w:r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Larsen T.V.,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Bilde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K.,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Daugaard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T.F., Ernst E.H.,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Lykke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-Hartmann K.,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Olesen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R.H.,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Mamsen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L.S., Ernst E., Larsen A., Nielsen A.L. (2018) Changes in First Trimester Fetal CYP1A1 and AHRR DNA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Methylation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and mRNA Expression in Response to Exposure to Maternal Cigarette Smoking. Environ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Toxicol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Pharmacol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57:19-27.</w:t>
            </w:r>
          </w:p>
        </w:tc>
      </w:tr>
      <w:tr w:rsidR="007655F0" w:rsidRPr="00491993" w:rsidTr="007655F0">
        <w:trPr>
          <w:gridAfter w:val="1"/>
          <w:wAfter w:w="8690" w:type="dxa"/>
          <w:trHeight w:val="427"/>
        </w:trPr>
        <w:tc>
          <w:tcPr>
            <w:tcW w:w="450" w:type="dxa"/>
            <w:vAlign w:val="center"/>
          </w:tcPr>
          <w:p w:rsidR="007655F0" w:rsidRDefault="007655F0" w:rsidP="000D61F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7655F0" w:rsidRDefault="007655F0" w:rsidP="007655F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655F0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Fa</w:t>
            </w:r>
            <w:proofErr w:type="spellEnd"/>
            <w:r w:rsidRPr="007655F0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S.</w:t>
            </w:r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 xml:space="preserve">, Larsen T.V., </w:t>
            </w:r>
            <w:proofErr w:type="spellStart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>Bilde</w:t>
            </w:r>
            <w:proofErr w:type="spellEnd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 xml:space="preserve"> K., </w:t>
            </w:r>
            <w:proofErr w:type="spellStart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>Daugaard</w:t>
            </w:r>
            <w:proofErr w:type="spellEnd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 xml:space="preserve"> T.F., Ernst E.H., </w:t>
            </w:r>
            <w:proofErr w:type="spellStart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>Olesen</w:t>
            </w:r>
            <w:proofErr w:type="spellEnd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 xml:space="preserve"> R.H., </w:t>
            </w:r>
            <w:proofErr w:type="spellStart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>Mamsen</w:t>
            </w:r>
            <w:proofErr w:type="spellEnd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 xml:space="preserve"> L.S., Ernst E., Larsen A., Nielsen AL. (2016) Assessment of global DNA </w:t>
            </w:r>
            <w:proofErr w:type="spellStart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>methylation</w:t>
            </w:r>
            <w:proofErr w:type="spellEnd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 xml:space="preserve"> in the first trimester fetal tissues exposed to maternal cigarette smoking. </w:t>
            </w:r>
            <w:proofErr w:type="spellStart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>Clin</w:t>
            </w:r>
            <w:proofErr w:type="spellEnd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>Epigenetics</w:t>
            </w:r>
            <w:proofErr w:type="spellEnd"/>
            <w:r w:rsidRPr="007655F0">
              <w:rPr>
                <w:rFonts w:ascii="Times New Roman" w:eastAsiaTheme="minorHAnsi" w:hAnsi="Times New Roman"/>
                <w:sz w:val="16"/>
                <w:szCs w:val="16"/>
              </w:rPr>
              <w:t xml:space="preserve"> 8:128.</w:t>
            </w:r>
          </w:p>
        </w:tc>
      </w:tr>
      <w:tr w:rsidR="007655F0" w:rsidRPr="00491993" w:rsidTr="007655F0">
        <w:trPr>
          <w:gridAfter w:val="1"/>
          <w:wAfter w:w="8690" w:type="dxa"/>
          <w:trHeight w:val="427"/>
        </w:trPr>
        <w:tc>
          <w:tcPr>
            <w:tcW w:w="450" w:type="dxa"/>
            <w:vAlign w:val="center"/>
          </w:tcPr>
          <w:p w:rsidR="007655F0" w:rsidRPr="00491993" w:rsidRDefault="007655F0" w:rsidP="000D61F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5A3434" w:rsidRDefault="007655F0" w:rsidP="005A343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Hrubik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J.,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Glisic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B.,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Samardzija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D.,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Stanic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B.,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Pogrmic-Majkic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K., </w:t>
            </w:r>
            <w:proofErr w:type="spellStart"/>
            <w:r w:rsidRPr="00EA20A6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Fa</w:t>
            </w:r>
            <w:proofErr w:type="spellEnd"/>
            <w:r w:rsidRPr="00EA20A6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S</w:t>
            </w:r>
            <w:r w:rsidRPr="005A343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.</w:t>
            </w:r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, Andric N. (2016) Effect of PMA-induced protein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kinase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C activation on development and apoptosis in early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zebrafish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embryos. </w:t>
            </w:r>
            <w:proofErr w:type="gram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Comp</w:t>
            </w:r>
            <w:proofErr w:type="gram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Biochem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Physiol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C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Toxicol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>Pharmacol</w:t>
            </w:r>
            <w:proofErr w:type="spellEnd"/>
            <w:r w:rsidRPr="005A3434">
              <w:rPr>
                <w:rFonts w:ascii="Times New Roman" w:eastAsiaTheme="minorHAnsi" w:hAnsi="Times New Roman"/>
                <w:sz w:val="16"/>
                <w:szCs w:val="16"/>
              </w:rPr>
              <w:t xml:space="preserve"> 190:24-31.</w:t>
            </w:r>
          </w:p>
        </w:tc>
      </w:tr>
      <w:tr w:rsidR="007655F0" w:rsidRPr="00491993" w:rsidTr="007655F0">
        <w:trPr>
          <w:gridAfter w:val="1"/>
          <w:wAfter w:w="8690" w:type="dxa"/>
          <w:trHeight w:val="427"/>
        </w:trPr>
        <w:tc>
          <w:tcPr>
            <w:tcW w:w="450" w:type="dxa"/>
            <w:vAlign w:val="center"/>
          </w:tcPr>
          <w:p w:rsidR="007655F0" w:rsidRPr="00491993" w:rsidRDefault="007655F0" w:rsidP="000D61F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EF4D2A" w:rsidRDefault="007655F0" w:rsidP="00EF4D2A">
            <w:pPr>
              <w:spacing w:before="100" w:beforeAutospacing="1" w:after="100" w:afterAutospacing="1"/>
              <w:outlineLvl w:val="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EF4D2A">
              <w:rPr>
                <w:rFonts w:ascii="Times New Roman" w:hAnsi="Times New Roman"/>
                <w:sz w:val="16"/>
                <w:szCs w:val="16"/>
                <w:lang w:val="sr-Cyrl-CS"/>
              </w:rPr>
              <w:t>Hrubik J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  <w:r w:rsidRPr="00EF4D2A">
              <w:rPr>
                <w:rFonts w:ascii="Times New Roman" w:hAnsi="Times New Roman"/>
                <w:sz w:val="16"/>
                <w:szCs w:val="16"/>
                <w:lang w:val="sr-Cyrl-CS"/>
              </w:rPr>
              <w:t>, Glisic B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  <w:r w:rsidRPr="00EF4D2A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EF4D2A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Fa S.,</w:t>
            </w:r>
            <w:r w:rsidRPr="00EF4D2A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Pogrmic-Majkic K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  <w:r w:rsidRPr="00EF4D2A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Andric N. 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(2016) </w:t>
            </w:r>
            <w:r w:rsidRPr="00EF4D2A">
              <w:rPr>
                <w:rFonts w:ascii="Times New Roman" w:hAnsi="Times New Roman"/>
                <w:sz w:val="16"/>
                <w:szCs w:val="16"/>
                <w:lang w:val="sr-Cyrl-CS"/>
              </w:rPr>
              <w:t>Erk-Creb pathway suppresses glutathione-S-transferase pi expression under basal and oxidative stress c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onditions in zebrafish embryos. </w:t>
            </w:r>
            <w:r w:rsidRPr="00EF4D2A">
              <w:rPr>
                <w:rFonts w:ascii="Times New Roman" w:hAnsi="Times New Roman"/>
                <w:sz w:val="16"/>
                <w:szCs w:val="16"/>
                <w:lang w:val="sr-Cyrl-CS"/>
              </w:rPr>
              <w:t>Toxicol</w:t>
            </w:r>
            <w:r w:rsidR="00DB3B34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Lett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EF4D2A">
              <w:rPr>
                <w:rFonts w:ascii="Times New Roman" w:hAnsi="Times New Roman"/>
                <w:sz w:val="16"/>
                <w:szCs w:val="16"/>
                <w:lang w:val="sr-Cyrl-CS"/>
              </w:rPr>
              <w:t>240(1):81-92.</w:t>
            </w:r>
          </w:p>
        </w:tc>
      </w:tr>
      <w:tr w:rsidR="007655F0" w:rsidRPr="00491993" w:rsidTr="007655F0">
        <w:trPr>
          <w:gridAfter w:val="1"/>
          <w:wAfter w:w="8690" w:type="dxa"/>
          <w:trHeight w:val="427"/>
        </w:trPr>
        <w:tc>
          <w:tcPr>
            <w:tcW w:w="450" w:type="dxa"/>
            <w:vAlign w:val="center"/>
          </w:tcPr>
          <w:p w:rsidR="007655F0" w:rsidRPr="00491993" w:rsidRDefault="007655F0" w:rsidP="000D61F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EF4D2A" w:rsidRDefault="007655F0" w:rsidP="000D61F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EF4D2A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Fa</w:t>
            </w:r>
            <w:proofErr w:type="spellEnd"/>
            <w:r w:rsidRPr="00EF4D2A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S.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Pogrmic-Majkic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K.,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Samardzija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D.,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Hrubik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J.,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Glisic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B.,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Kovacevic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R., </w:t>
            </w:r>
            <w:proofErr w:type="gram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Andric</w:t>
            </w:r>
            <w:proofErr w:type="gram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N. (2015) HBCDD-induced sustained reduction in mitochondrial membrane potential, ATP and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steroidogenesis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in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peripubertal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rat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Leyd</w:t>
            </w:r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ig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cells.Toxicol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Appl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Pharmacol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282 (1):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20-29.</w:t>
            </w:r>
          </w:p>
        </w:tc>
      </w:tr>
      <w:tr w:rsidR="007655F0" w:rsidRPr="00491993" w:rsidTr="007655F0">
        <w:trPr>
          <w:gridAfter w:val="1"/>
          <w:wAfter w:w="8690" w:type="dxa"/>
          <w:trHeight w:val="427"/>
        </w:trPr>
        <w:tc>
          <w:tcPr>
            <w:tcW w:w="450" w:type="dxa"/>
            <w:vAlign w:val="center"/>
          </w:tcPr>
          <w:p w:rsidR="007655F0" w:rsidRPr="00491993" w:rsidRDefault="007655F0" w:rsidP="000D61F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EF4D2A" w:rsidRDefault="007655F0" w:rsidP="000D61F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EF4D2A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Fa</w:t>
            </w:r>
            <w:proofErr w:type="spellEnd"/>
            <w:r w:rsidRPr="00EF4D2A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S.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Pogrmic-Majkic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K.,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Samardzija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D.,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Glisic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B.,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Kaisarevic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S.,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Kovacevic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R., Andric N. (2013) Involvement of ERK1/2 signaling pathway in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atrazine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action on FSH-stimulated LHR and CYP19A1 expression in rat granulos</w:t>
            </w:r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e cells.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Toxicol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Appl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Pharmacol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270 (1):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1-8.</w:t>
            </w:r>
          </w:p>
        </w:tc>
      </w:tr>
      <w:tr w:rsidR="007655F0" w:rsidRPr="00491993" w:rsidTr="007655F0">
        <w:trPr>
          <w:gridAfter w:val="1"/>
          <w:wAfter w:w="8690" w:type="dxa"/>
          <w:trHeight w:val="427"/>
        </w:trPr>
        <w:tc>
          <w:tcPr>
            <w:tcW w:w="450" w:type="dxa"/>
            <w:vAlign w:val="center"/>
          </w:tcPr>
          <w:p w:rsidR="007655F0" w:rsidRPr="00491993" w:rsidRDefault="007655F0" w:rsidP="000D61F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8690" w:type="dxa"/>
            <w:gridSpan w:val="12"/>
            <w:shd w:val="clear" w:color="auto" w:fill="auto"/>
            <w:vAlign w:val="center"/>
          </w:tcPr>
          <w:p w:rsidR="007655F0" w:rsidRPr="00EF4D2A" w:rsidRDefault="007655F0" w:rsidP="000D61F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EF4D2A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Fa</w:t>
            </w:r>
            <w:proofErr w:type="spellEnd"/>
            <w:r w:rsidRPr="00EF4D2A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S.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Pogrmic-Majkic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K.,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Dakic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V.,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Kaisarevic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S.,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Hrubik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J., Andric N.,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Stojilkovic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S.,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Kovacevic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R. (2013) Acute effects of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hexabromocyclododecane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on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Leydig</w:t>
            </w:r>
            <w:proofErr w:type="spellEnd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cell cyclic nucleotide signaling and </w:t>
            </w:r>
            <w:proofErr w:type="spellStart"/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>steroidogenesis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in vitro.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Toxicol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>Lett</w:t>
            </w:r>
            <w:proofErr w:type="spellEnd"/>
            <w:r w:rsidR="00DB3B34">
              <w:rPr>
                <w:rFonts w:ascii="Times New Roman" w:eastAsiaTheme="minorHAnsi" w:hAnsi="Times New Roman"/>
                <w:sz w:val="16"/>
                <w:szCs w:val="16"/>
              </w:rPr>
              <w:t xml:space="preserve"> 218 (1):</w:t>
            </w:r>
            <w:r w:rsidRPr="00EF4D2A">
              <w:rPr>
                <w:rFonts w:ascii="Times New Roman" w:eastAsiaTheme="minorHAnsi" w:hAnsi="Times New Roman"/>
                <w:sz w:val="16"/>
                <w:szCs w:val="16"/>
              </w:rPr>
              <w:t xml:space="preserve"> 81-90.</w:t>
            </w:r>
          </w:p>
        </w:tc>
      </w:tr>
      <w:tr w:rsidR="007655F0" w:rsidRPr="00491993" w:rsidTr="007655F0">
        <w:trPr>
          <w:gridAfter w:val="1"/>
          <w:wAfter w:w="8690" w:type="dxa"/>
          <w:trHeight w:val="314"/>
        </w:trPr>
        <w:tc>
          <w:tcPr>
            <w:tcW w:w="9140" w:type="dxa"/>
            <w:gridSpan w:val="13"/>
            <w:vAlign w:val="center"/>
          </w:tcPr>
          <w:p w:rsidR="007655F0" w:rsidRPr="00491993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655F0" w:rsidRPr="00491993" w:rsidTr="007655F0">
        <w:trPr>
          <w:gridAfter w:val="1"/>
          <w:wAfter w:w="8690" w:type="dxa"/>
          <w:trHeight w:val="260"/>
        </w:trPr>
        <w:tc>
          <w:tcPr>
            <w:tcW w:w="4115" w:type="dxa"/>
            <w:gridSpan w:val="6"/>
            <w:vAlign w:val="center"/>
          </w:tcPr>
          <w:p w:rsidR="007655F0" w:rsidRPr="00491993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25" w:type="dxa"/>
            <w:gridSpan w:val="7"/>
            <w:vAlign w:val="center"/>
          </w:tcPr>
          <w:p w:rsidR="007655F0" w:rsidRPr="00BC24EE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</w:t>
            </w:r>
          </w:p>
        </w:tc>
      </w:tr>
      <w:tr w:rsidR="007655F0" w:rsidRPr="00491993" w:rsidTr="007655F0">
        <w:trPr>
          <w:gridAfter w:val="1"/>
          <w:wAfter w:w="8690" w:type="dxa"/>
          <w:trHeight w:val="233"/>
        </w:trPr>
        <w:tc>
          <w:tcPr>
            <w:tcW w:w="4115" w:type="dxa"/>
            <w:gridSpan w:val="6"/>
            <w:vAlign w:val="center"/>
          </w:tcPr>
          <w:p w:rsidR="007655F0" w:rsidRPr="00491993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25" w:type="dxa"/>
            <w:gridSpan w:val="7"/>
            <w:vAlign w:val="center"/>
          </w:tcPr>
          <w:p w:rsidR="007655F0" w:rsidRPr="00BC24EE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7655F0" w:rsidRPr="00491993" w:rsidTr="007655F0">
        <w:trPr>
          <w:gridAfter w:val="1"/>
          <w:wAfter w:w="8690" w:type="dxa"/>
          <w:trHeight w:val="197"/>
        </w:trPr>
        <w:tc>
          <w:tcPr>
            <w:tcW w:w="4115" w:type="dxa"/>
            <w:gridSpan w:val="6"/>
            <w:vAlign w:val="center"/>
          </w:tcPr>
          <w:p w:rsidR="007655F0" w:rsidRPr="00491993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45" w:type="dxa"/>
            <w:gridSpan w:val="4"/>
            <w:vAlign w:val="center"/>
          </w:tcPr>
          <w:p w:rsidR="007655F0" w:rsidRPr="00BC24EE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2</w:t>
            </w:r>
          </w:p>
        </w:tc>
        <w:tc>
          <w:tcPr>
            <w:tcW w:w="3380" w:type="dxa"/>
            <w:gridSpan w:val="3"/>
            <w:vAlign w:val="center"/>
          </w:tcPr>
          <w:p w:rsidR="007655F0" w:rsidRPr="00BC24EE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-</w:t>
            </w:r>
          </w:p>
        </w:tc>
      </w:tr>
      <w:tr w:rsidR="007655F0" w:rsidRPr="00491993" w:rsidTr="007655F0">
        <w:trPr>
          <w:gridAfter w:val="1"/>
          <w:wAfter w:w="8690" w:type="dxa"/>
          <w:trHeight w:val="427"/>
        </w:trPr>
        <w:tc>
          <w:tcPr>
            <w:tcW w:w="1440" w:type="dxa"/>
            <w:gridSpan w:val="3"/>
            <w:vAlign w:val="center"/>
          </w:tcPr>
          <w:p w:rsidR="007655F0" w:rsidRPr="00491993" w:rsidRDefault="007655F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700" w:type="dxa"/>
            <w:gridSpan w:val="10"/>
            <w:vAlign w:val="center"/>
          </w:tcPr>
          <w:p w:rsidR="007655F0" w:rsidRPr="00DB3B34" w:rsidRDefault="007655F0" w:rsidP="005D5A3C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20"/>
                <w:szCs w:val="20"/>
                <w:lang/>
              </w:rPr>
            </w:pPr>
            <w:proofErr w:type="spell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Постдокторско</w:t>
            </w:r>
            <w:proofErr w:type="spellEnd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усавршавање</w:t>
            </w:r>
            <w:proofErr w:type="spellEnd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Епигенетика</w:t>
            </w:r>
            <w:proofErr w:type="spellEnd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раног</w:t>
            </w:r>
            <w:proofErr w:type="spellEnd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развића</w:t>
            </w:r>
            <w:proofErr w:type="spellEnd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Архусу</w:t>
            </w:r>
            <w:proofErr w:type="spellEnd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Данска</w:t>
            </w:r>
            <w:proofErr w:type="spellEnd"/>
            <w:r>
              <w:rPr>
                <w:rFonts w:ascii="TimesNewRoman" w:eastAsiaTheme="minorHAnsi" w:hAnsi="TimesNewRoman" w:cs="TimesNewRoman"/>
                <w:sz w:val="20"/>
                <w:szCs w:val="20"/>
              </w:rPr>
              <w:t>, 2015</w:t>
            </w:r>
            <w:r w:rsidR="00DB3B34">
              <w:rPr>
                <w:rFonts w:ascii="TimesNewRoman" w:eastAsiaTheme="minorHAnsi" w:hAnsi="TimesNewRoman" w:cs="TimesNewRoman"/>
                <w:sz w:val="20"/>
                <w:szCs w:val="20"/>
              </w:rPr>
              <w:t>.</w:t>
            </w:r>
            <w:r>
              <w:rPr>
                <w:rFonts w:ascii="Times-Roman" w:eastAsiaTheme="minorHAnsi" w:hAnsi="Times-Roman" w:cs="Times-Roman"/>
                <w:sz w:val="20"/>
                <w:szCs w:val="20"/>
              </w:rPr>
              <w:t>-2016</w:t>
            </w:r>
            <w:r w:rsidR="00DB3B34">
              <w:rPr>
                <w:rFonts w:ascii="Times-Roman" w:eastAsiaTheme="minorHAnsi" w:hAnsi="Times-Roman" w:cs="Times-Roman"/>
                <w:sz w:val="20"/>
                <w:szCs w:val="20"/>
              </w:rPr>
              <w:t>. године</w:t>
            </w:r>
          </w:p>
        </w:tc>
      </w:tr>
    </w:tbl>
    <w:p w:rsidR="00187D86" w:rsidRPr="007258DD" w:rsidRDefault="00187D86"/>
    <w:sectPr w:rsidR="00187D86" w:rsidRPr="007258DD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647FD"/>
    <w:rsid w:val="001472F2"/>
    <w:rsid w:val="00187D86"/>
    <w:rsid w:val="00213CFC"/>
    <w:rsid w:val="00424033"/>
    <w:rsid w:val="00487624"/>
    <w:rsid w:val="004E4F42"/>
    <w:rsid w:val="00555073"/>
    <w:rsid w:val="005A3434"/>
    <w:rsid w:val="00655F70"/>
    <w:rsid w:val="007258DD"/>
    <w:rsid w:val="007655F0"/>
    <w:rsid w:val="00A41F98"/>
    <w:rsid w:val="00AC7A9A"/>
    <w:rsid w:val="00B57E6B"/>
    <w:rsid w:val="00BC24EE"/>
    <w:rsid w:val="00BE3164"/>
    <w:rsid w:val="00BE7736"/>
    <w:rsid w:val="00C13EB2"/>
    <w:rsid w:val="00DB3B34"/>
    <w:rsid w:val="00EA20A6"/>
    <w:rsid w:val="00EF4D2A"/>
    <w:rsid w:val="00F471BF"/>
    <w:rsid w:val="00F714C0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EA20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8762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A20A6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0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SVETLANA FA</cp:lastModifiedBy>
  <cp:revision>9</cp:revision>
  <dcterms:created xsi:type="dcterms:W3CDTF">2023-07-11T06:19:00Z</dcterms:created>
  <dcterms:modified xsi:type="dcterms:W3CDTF">2023-07-12T15:28:00Z</dcterms:modified>
</cp:coreProperties>
</file>