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37E" w:rsidRPr="008A0705" w:rsidRDefault="0056537E" w:rsidP="0056537E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8A0705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8A0705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72"/>
        <w:gridCol w:w="862"/>
        <w:gridCol w:w="172"/>
        <w:gridCol w:w="880"/>
        <w:gridCol w:w="649"/>
        <w:gridCol w:w="992"/>
        <w:gridCol w:w="320"/>
        <w:gridCol w:w="247"/>
        <w:gridCol w:w="993"/>
        <w:gridCol w:w="58"/>
        <w:gridCol w:w="138"/>
        <w:gridCol w:w="1475"/>
        <w:gridCol w:w="176"/>
        <w:gridCol w:w="1529"/>
        <w:gridCol w:w="26"/>
      </w:tblGrid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5103" w:type="dxa"/>
            <w:gridSpan w:val="9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56537E" w:rsidRPr="008A0705" w:rsidRDefault="0056537E" w:rsidP="00D251DC">
            <w:pPr>
              <w:keepNext/>
              <w:outlineLvl w:val="0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bCs/>
                <w:sz w:val="18"/>
                <w:szCs w:val="18"/>
              </w:rPr>
              <w:t>Кристина</w:t>
            </w:r>
            <w:proofErr w:type="spellEnd"/>
            <w:r w:rsidRPr="008A0705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Cs/>
                <w:sz w:val="18"/>
                <w:szCs w:val="18"/>
              </w:rPr>
              <w:t>Кошић</w:t>
            </w:r>
            <w:proofErr w:type="spellEnd"/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5103" w:type="dxa"/>
            <w:gridSpan w:val="9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56537E" w:rsidRPr="008A0705" w:rsidRDefault="000012BD" w:rsidP="00D251D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5103" w:type="dxa"/>
            <w:gridSpan w:val="9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56537E" w:rsidRPr="008A0705" w:rsidRDefault="0056537E" w:rsidP="00D251D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Департман за географију, туризам и хотелијерство, од 15.11.2001.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5103" w:type="dxa"/>
            <w:gridSpan w:val="9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56537E" w:rsidRPr="008A0705" w:rsidRDefault="0056537E" w:rsidP="00D251D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9472" w:type="dxa"/>
            <w:gridSpan w:val="15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2015" w:type="dxa"/>
            <w:gridSpan w:val="4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2015" w:type="dxa"/>
            <w:gridSpan w:val="4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  <w:vAlign w:val="center"/>
          </w:tcPr>
          <w:p w:rsidR="0056537E" w:rsidRPr="008A0705" w:rsidRDefault="000012BD" w:rsidP="000012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2020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56537E" w:rsidRPr="008A0705" w:rsidRDefault="00BA54BA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56537E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,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2015" w:type="dxa"/>
            <w:gridSpan w:val="4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2009.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56537E" w:rsidRPr="008A0705" w:rsidRDefault="00BA54BA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56537E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,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2015" w:type="dxa"/>
            <w:gridSpan w:val="4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2004.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56537E" w:rsidRPr="008A0705" w:rsidRDefault="00BA54BA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56537E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="005653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2015" w:type="dxa"/>
            <w:gridSpan w:val="4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2000.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56537E" w:rsidRPr="008A0705" w:rsidRDefault="00BA54BA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ДГТХ, </w:t>
            </w:r>
            <w:r w:rsidR="0056537E"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9472" w:type="dxa"/>
            <w:gridSpan w:val="15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56537E" w:rsidRPr="008A0705" w:rsidTr="00D251DC">
        <w:trPr>
          <w:gridAfter w:val="1"/>
          <w:wAfter w:w="26" w:type="dxa"/>
          <w:trHeight w:val="511"/>
        </w:trPr>
        <w:tc>
          <w:tcPr>
            <w:tcW w:w="709" w:type="dxa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>,2,3...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8A070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847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8A070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Т317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Менаџмент туристичке дестинације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847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Т336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Рурални туризам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56537E" w:rsidRPr="008A0705" w:rsidRDefault="0056537E" w:rsidP="00D251D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Т335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Wellnes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и spa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туризам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847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56537E" w:rsidRPr="008A0705" w:rsidRDefault="0056537E" w:rsidP="00D251D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МТ206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Принципи и методи туристичке валоризације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</w:t>
            </w:r>
          </w:p>
        </w:tc>
        <w:tc>
          <w:tcPr>
            <w:tcW w:w="1847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A0705">
              <w:rPr>
                <w:rFonts w:ascii="Times New Roman" w:hAnsi="Times New Roman"/>
                <w:sz w:val="18"/>
                <w:szCs w:val="18"/>
              </w:rPr>
              <w:t>Г106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Туристичка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847" w:type="dxa"/>
            <w:gridSpan w:val="4"/>
            <w:shd w:val="clear" w:color="auto" w:fill="auto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56537E" w:rsidRPr="008A0705" w:rsidRDefault="0056537E" w:rsidP="00D251D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6537E" w:rsidRPr="008A0705" w:rsidTr="00D251DC">
        <w:trPr>
          <w:gridAfter w:val="1"/>
          <w:wAfter w:w="26" w:type="dxa"/>
          <w:trHeight w:val="427"/>
        </w:trPr>
        <w:tc>
          <w:tcPr>
            <w:tcW w:w="9472" w:type="dxa"/>
            <w:gridSpan w:val="15"/>
            <w:vAlign w:val="center"/>
          </w:tcPr>
          <w:p w:rsidR="0056537E" w:rsidRPr="008A0705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6537E" w:rsidRPr="008A0705" w:rsidTr="00D251DC">
        <w:trPr>
          <w:trHeight w:val="227"/>
        </w:trPr>
        <w:tc>
          <w:tcPr>
            <w:tcW w:w="981" w:type="dxa"/>
            <w:gridSpan w:val="2"/>
            <w:vAlign w:val="center"/>
          </w:tcPr>
          <w:p w:rsidR="0056537E" w:rsidRPr="008A0705" w:rsidRDefault="0056537E" w:rsidP="00D251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7" w:type="dxa"/>
            <w:gridSpan w:val="14"/>
            <w:shd w:val="clear" w:color="auto" w:fill="auto"/>
            <w:vAlign w:val="center"/>
          </w:tcPr>
          <w:p w:rsidR="0056537E" w:rsidRPr="000012BD" w:rsidRDefault="000012BD" w:rsidP="000012B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Томић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Н, </w:t>
            </w:r>
            <w:proofErr w:type="spellStart"/>
            <w:r w:rsidRPr="000012BD">
              <w:rPr>
                <w:rFonts w:ascii="Times New Roman" w:hAnsi="Times New Roman"/>
                <w:b/>
                <w:sz w:val="18"/>
                <w:szCs w:val="18"/>
              </w:rPr>
              <w:t>Кошић</w:t>
            </w:r>
            <w:proofErr w:type="spellEnd"/>
            <w:r w:rsidRPr="000012BD">
              <w:rPr>
                <w:rFonts w:ascii="Times New Roman" w:hAnsi="Times New Roman"/>
                <w:b/>
                <w:sz w:val="18"/>
                <w:szCs w:val="18"/>
              </w:rPr>
              <w:t xml:space="preserve"> 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(2020): </w:t>
            </w:r>
            <w:r w:rsidRPr="000012BD">
              <w:rPr>
                <w:rFonts w:ascii="Times New Roman" w:hAnsi="Times New Roman"/>
                <w:sz w:val="18"/>
                <w:szCs w:val="18"/>
              </w:rPr>
              <w:t xml:space="preserve">Developing the Spa Assessment Model (SAM) and its application on the </w:t>
            </w:r>
            <w:proofErr w:type="spellStart"/>
            <w:r w:rsidRPr="000012BD">
              <w:rPr>
                <w:rFonts w:ascii="Times New Roman" w:hAnsi="Times New Roman"/>
                <w:sz w:val="18"/>
                <w:szCs w:val="18"/>
              </w:rPr>
              <w:t>Kopaonik-Jastrebac</w:t>
            </w:r>
            <w:proofErr w:type="spellEnd"/>
            <w:r w:rsidRPr="000012BD">
              <w:rPr>
                <w:rFonts w:ascii="Times New Roman" w:hAnsi="Times New Roman"/>
                <w:sz w:val="18"/>
                <w:szCs w:val="18"/>
              </w:rPr>
              <w:t xml:space="preserve"> spa zone (Serbia)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012BD">
              <w:rPr>
                <w:rFonts w:ascii="Times New Roman" w:hAnsi="Times New Roman"/>
                <w:sz w:val="18"/>
                <w:szCs w:val="18"/>
              </w:rPr>
              <w:t>Tourism management perspectives ISSN: 2211-9736</w:t>
            </w:r>
            <w:r>
              <w:rPr>
                <w:rFonts w:ascii="Times New Roman" w:hAnsi="Times New Roman"/>
                <w:sz w:val="18"/>
                <w:szCs w:val="18"/>
              </w:rPr>
              <w:t>, vol.36.</w:t>
            </w:r>
          </w:p>
        </w:tc>
      </w:tr>
      <w:tr w:rsidR="000012BD" w:rsidRPr="008A0705" w:rsidTr="00D251DC">
        <w:trPr>
          <w:trHeight w:val="227"/>
        </w:trPr>
        <w:tc>
          <w:tcPr>
            <w:tcW w:w="981" w:type="dxa"/>
            <w:gridSpan w:val="2"/>
            <w:vAlign w:val="center"/>
          </w:tcPr>
          <w:p w:rsidR="000012BD" w:rsidRPr="008A0705" w:rsidRDefault="000012BD" w:rsidP="00D251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7" w:type="dxa"/>
            <w:gridSpan w:val="14"/>
            <w:shd w:val="clear" w:color="auto" w:fill="auto"/>
            <w:vAlign w:val="center"/>
          </w:tcPr>
          <w:p w:rsidR="000012BD" w:rsidRPr="008A0705" w:rsidRDefault="000012BD" w:rsidP="0070246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b/>
                <w:bCs/>
                <w:sz w:val="18"/>
                <w:szCs w:val="18"/>
              </w:rPr>
              <w:t>Кошић</w:t>
            </w:r>
            <w:proofErr w:type="spellEnd"/>
            <w:r w:rsidRPr="008A0705">
              <w:rPr>
                <w:rFonts w:ascii="Times New Roman" w:hAnsi="Times New Roman"/>
                <w:b/>
                <w:bCs/>
                <w:sz w:val="18"/>
                <w:szCs w:val="18"/>
              </w:rPr>
              <w:t>, К.</w:t>
            </w:r>
            <w:r w:rsidRPr="008A0705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,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sr-Cyrl-CS"/>
              </w:rPr>
              <w:t>Пивац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 xml:space="preserve"> Т.,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sr-Cyrl-CS"/>
              </w:rPr>
              <w:t>Ромелић,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 xml:space="preserve"> Ј.,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sr-Cyrl-CS"/>
              </w:rPr>
              <w:t>Лазић,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 xml:space="preserve"> Л.,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sr-Cyrl-CS"/>
              </w:rPr>
              <w:t xml:space="preserve"> Стојановић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 xml:space="preserve">, В. </w:t>
            </w:r>
            <w:r>
              <w:rPr>
                <w:rFonts w:ascii="Times New Roman" w:eastAsia="TimesNewRomanPSMT" w:hAnsi="Times New Roman"/>
                <w:sz w:val="18"/>
                <w:szCs w:val="18"/>
              </w:rPr>
              <w:t>(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201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): 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 xml:space="preserve">Characteristics of thermal–mineral waters in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Backa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region (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>) and their exploitation in spa tourism. Renewable and Sustainable Energy Reviews, Volume 15, Issue 1, pages 801-807.</w:t>
            </w:r>
          </w:p>
        </w:tc>
      </w:tr>
      <w:tr w:rsidR="0056537E" w:rsidRPr="008A0705" w:rsidTr="00D251DC">
        <w:trPr>
          <w:trHeight w:val="227"/>
        </w:trPr>
        <w:tc>
          <w:tcPr>
            <w:tcW w:w="981" w:type="dxa"/>
            <w:gridSpan w:val="2"/>
            <w:vAlign w:val="center"/>
          </w:tcPr>
          <w:p w:rsidR="0056537E" w:rsidRPr="008A0705" w:rsidRDefault="0056537E" w:rsidP="00D251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7" w:type="dxa"/>
            <w:gridSpan w:val="14"/>
            <w:shd w:val="clear" w:color="auto" w:fill="auto"/>
            <w:vAlign w:val="center"/>
          </w:tcPr>
          <w:p w:rsidR="0056537E" w:rsidRPr="008A0705" w:rsidRDefault="0056537E" w:rsidP="0070246D">
            <w:pPr>
              <w:rPr>
                <w:rFonts w:ascii="Times New Roman" w:eastAsia="TimesNewRomanPSMT" w:hAnsi="Times New Roman"/>
                <w:sz w:val="18"/>
                <w:szCs w:val="18"/>
              </w:rPr>
            </w:pP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Ивков Џигурски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 xml:space="preserve"> А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.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, Бабић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, В.,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 xml:space="preserve">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Драгин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, А.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r w:rsidRPr="008A0705">
              <w:rPr>
                <w:rFonts w:ascii="Times New Roman" w:eastAsia="TimesNewRomanPSMT" w:hAnsi="Times New Roman"/>
                <w:b/>
                <w:bCs/>
                <w:sz w:val="18"/>
                <w:szCs w:val="18"/>
                <w:lang w:val="ru-RU"/>
              </w:rPr>
              <w:t>Кошић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 xml:space="preserve"> К.,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 xml:space="preserve"> Блешић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, И.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 xml:space="preserve"> </w:t>
            </w:r>
            <w:r w:rsidR="0070246D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(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>2012</w:t>
            </w:r>
            <w:r w:rsidR="0070246D">
              <w:rPr>
                <w:rFonts w:ascii="Times New Roman" w:eastAsia="TimesNewRomanPSMT" w:hAnsi="Times New Roman"/>
                <w:sz w:val="18"/>
                <w:szCs w:val="18"/>
                <w:lang w:val="ru-RU"/>
              </w:rPr>
              <w:t xml:space="preserve">): </w:t>
            </w:r>
            <w:r w:rsidRPr="008A0705">
              <w:rPr>
                <w:rFonts w:ascii="Times New Roman" w:eastAsia="TimesNewRomanPSMT" w:hAnsi="Times New Roman"/>
                <w:iCs/>
                <w:sz w:val="18"/>
                <w:szCs w:val="18"/>
              </w:rPr>
              <w:t xml:space="preserve">The Mystery of </w:t>
            </w:r>
            <w:proofErr w:type="spellStart"/>
            <w:r w:rsidRPr="008A0705">
              <w:rPr>
                <w:rFonts w:ascii="Times New Roman" w:eastAsia="TimesNewRomanPSMT" w:hAnsi="Times New Roman"/>
                <w:iCs/>
                <w:sz w:val="18"/>
                <w:szCs w:val="18"/>
              </w:rPr>
              <w:t>Vlach</w:t>
            </w:r>
            <w:proofErr w:type="spellEnd"/>
            <w:r w:rsidRPr="008A0705">
              <w:rPr>
                <w:rFonts w:ascii="Times New Roman" w:eastAsia="TimesNewRomanPSMT" w:hAnsi="Times New Roman"/>
                <w:iCs/>
                <w:sz w:val="18"/>
                <w:szCs w:val="18"/>
              </w:rPr>
              <w:t xml:space="preserve"> Magic in the Rural Areas of 21st century Serbia</w:t>
            </w:r>
            <w:r w:rsidR="0070246D">
              <w:rPr>
                <w:rFonts w:ascii="Times New Roman" w:eastAsia="TimesNewRomanPSMT" w:hAnsi="Times New Roman"/>
                <w:sz w:val="18"/>
                <w:szCs w:val="18"/>
              </w:rPr>
              <w:t xml:space="preserve">. Eastern European Countryside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18</w:t>
            </w:r>
            <w:r w:rsidR="0070246D">
              <w:rPr>
                <w:rFonts w:ascii="Times New Roman" w:eastAsia="TimesNewRomanPSMT" w:hAnsi="Times New Roman"/>
                <w:sz w:val="18"/>
                <w:szCs w:val="18"/>
              </w:rPr>
              <w:t xml:space="preserve">: </w:t>
            </w:r>
            <w:r w:rsidRPr="008A0705">
              <w:rPr>
                <w:rFonts w:ascii="Times New Roman" w:eastAsia="TimesNewRomanPSMT" w:hAnsi="Times New Roman"/>
                <w:sz w:val="18"/>
                <w:szCs w:val="18"/>
              </w:rPr>
              <w:t>61-83.</w:t>
            </w:r>
          </w:p>
        </w:tc>
      </w:tr>
      <w:tr w:rsidR="0056537E" w:rsidRPr="008A0705" w:rsidTr="00D251DC">
        <w:trPr>
          <w:trHeight w:val="227"/>
        </w:trPr>
        <w:tc>
          <w:tcPr>
            <w:tcW w:w="981" w:type="dxa"/>
            <w:gridSpan w:val="2"/>
            <w:vAlign w:val="center"/>
          </w:tcPr>
          <w:p w:rsidR="0056537E" w:rsidRPr="008A0705" w:rsidRDefault="0056537E" w:rsidP="00D251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7" w:type="dxa"/>
            <w:gridSpan w:val="14"/>
            <w:shd w:val="clear" w:color="auto" w:fill="auto"/>
            <w:vAlign w:val="center"/>
          </w:tcPr>
          <w:p w:rsidR="0056537E" w:rsidRPr="008A0705" w:rsidRDefault="0056537E" w:rsidP="007024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Koшић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 xml:space="preserve">, К. </w:t>
            </w:r>
            <w:r w:rsidR="0070246D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>2012</w:t>
            </w:r>
            <w:r w:rsidR="0070246D">
              <w:rPr>
                <w:rFonts w:ascii="Times New Roman" w:hAnsi="Times New Roman"/>
                <w:sz w:val="18"/>
                <w:szCs w:val="18"/>
              </w:rPr>
              <w:t>):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Рурални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туризам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Војводине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>. M</w:t>
            </w:r>
            <w:r w:rsidRPr="008A0705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онографија.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Природно-математички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факултет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Департман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географију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тури</w:t>
            </w:r>
            <w:r w:rsidR="0070246D">
              <w:rPr>
                <w:rFonts w:ascii="Times New Roman" w:hAnsi="Times New Roman"/>
                <w:sz w:val="18"/>
                <w:szCs w:val="18"/>
              </w:rPr>
              <w:t>зам</w:t>
            </w:r>
            <w:proofErr w:type="spellEnd"/>
            <w:r w:rsidR="0070246D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70246D">
              <w:rPr>
                <w:rFonts w:ascii="Times New Roman" w:hAnsi="Times New Roman"/>
                <w:sz w:val="18"/>
                <w:szCs w:val="18"/>
              </w:rPr>
              <w:t>хотелијерство</w:t>
            </w:r>
            <w:proofErr w:type="spellEnd"/>
            <w:r w:rsidR="0070246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0246D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="007024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0246D"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 w:rsidR="0070246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стр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>. 1-283, ISBN 978-86-7031-279-1.</w:t>
            </w:r>
          </w:p>
        </w:tc>
      </w:tr>
      <w:tr w:rsidR="0056537E" w:rsidRPr="008A0705" w:rsidTr="00D251DC">
        <w:trPr>
          <w:trHeight w:val="403"/>
        </w:trPr>
        <w:tc>
          <w:tcPr>
            <w:tcW w:w="981" w:type="dxa"/>
            <w:gridSpan w:val="2"/>
            <w:vAlign w:val="center"/>
          </w:tcPr>
          <w:p w:rsidR="0056537E" w:rsidRPr="008A0705" w:rsidRDefault="0056537E" w:rsidP="00D251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7" w:type="dxa"/>
            <w:gridSpan w:val="14"/>
            <w:shd w:val="clear" w:color="auto" w:fill="auto"/>
            <w:vAlign w:val="center"/>
          </w:tcPr>
          <w:p w:rsidR="0056537E" w:rsidRPr="008A0705" w:rsidRDefault="0056537E" w:rsidP="0070246D">
            <w:pPr>
              <w:spacing w:before="80" w:after="8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Лазић Л., </w:t>
            </w: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Кошић К. </w:t>
            </w:r>
            <w:r w:rsidR="0070246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  <w:r w:rsidR="0070246D">
              <w:rPr>
                <w:rFonts w:ascii="Times New Roman" w:hAnsi="Times New Roman"/>
                <w:sz w:val="18"/>
                <w:szCs w:val="18"/>
                <w:lang w:val="sr-Cyrl-CS"/>
              </w:rPr>
              <w:t>):</w:t>
            </w: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Туристичка географија. уџбеник.</w:t>
            </w: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8A0705">
              <w:rPr>
                <w:rFonts w:ascii="Times New Roman" w:hAnsi="Times New Roman"/>
                <w:sz w:val="18"/>
                <w:szCs w:val="18"/>
                <w:lang w:val="sr-Cyrl-CS"/>
              </w:rPr>
              <w:t>ПМФ, Департман за географију, туризам и хотелијерство</w:t>
            </w:r>
            <w:r w:rsidRPr="008A070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>ISBN: 86-7031-123-7</w:t>
            </w:r>
          </w:p>
        </w:tc>
      </w:tr>
      <w:tr w:rsidR="0056537E" w:rsidRPr="008A0705" w:rsidTr="00D251DC">
        <w:trPr>
          <w:trHeight w:val="776"/>
        </w:trPr>
        <w:tc>
          <w:tcPr>
            <w:tcW w:w="981" w:type="dxa"/>
            <w:gridSpan w:val="2"/>
            <w:vAlign w:val="center"/>
          </w:tcPr>
          <w:p w:rsidR="0056537E" w:rsidRPr="008A0705" w:rsidRDefault="0056537E" w:rsidP="00D251D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7" w:type="dxa"/>
            <w:gridSpan w:val="14"/>
            <w:shd w:val="clear" w:color="auto" w:fill="auto"/>
            <w:vAlign w:val="center"/>
          </w:tcPr>
          <w:p w:rsidR="0056537E" w:rsidRPr="008A0705" w:rsidRDefault="0056537E" w:rsidP="000D5D0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Кошић</w:t>
            </w:r>
            <w:proofErr w:type="spellEnd"/>
            <w:r w:rsidRPr="008A0705">
              <w:rPr>
                <w:rFonts w:ascii="Times New Roman" w:hAnsi="Times New Roman"/>
                <w:b/>
                <w:sz w:val="18"/>
                <w:szCs w:val="18"/>
              </w:rPr>
              <w:t>, К.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Демировић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, Д.,,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Пејановић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, Р.,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Лазић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 xml:space="preserve">, Л.,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Стаменковић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>, И.</w:t>
            </w:r>
            <w:r w:rsidR="000D5D05">
              <w:rPr>
                <w:rFonts w:ascii="Times New Roman" w:hAnsi="Times New Roman"/>
                <w:sz w:val="18"/>
                <w:szCs w:val="18"/>
              </w:rPr>
              <w:t>(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 xml:space="preserve"> 2015</w:t>
            </w:r>
            <w:r w:rsidR="000D5D05">
              <w:rPr>
                <w:rFonts w:ascii="Times New Roman" w:hAnsi="Times New Roman"/>
                <w:sz w:val="18"/>
                <w:szCs w:val="18"/>
              </w:rPr>
              <w:t xml:space="preserve">): 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 xml:space="preserve">Key principles of rural tourism households development strategy- Case study of </w:t>
            </w:r>
            <w:proofErr w:type="spellStart"/>
            <w:r w:rsidRPr="008A0705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A0705">
              <w:rPr>
                <w:rFonts w:ascii="Times New Roman" w:hAnsi="Times New Roman"/>
                <w:sz w:val="18"/>
                <w:szCs w:val="18"/>
              </w:rPr>
              <w:t>”. Economics of agriculture</w:t>
            </w:r>
            <w:r w:rsidR="000D5D05">
              <w:rPr>
                <w:rFonts w:ascii="Times New Roman" w:hAnsi="Times New Roman"/>
                <w:sz w:val="18"/>
                <w:szCs w:val="18"/>
              </w:rPr>
              <w:t xml:space="preserve"> 62 (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>4</w:t>
            </w:r>
            <w:r w:rsidR="000D5D05">
              <w:rPr>
                <w:rFonts w:ascii="Times New Roman" w:hAnsi="Times New Roman"/>
                <w:sz w:val="18"/>
                <w:szCs w:val="18"/>
              </w:rPr>
              <w:t xml:space="preserve">): </w:t>
            </w:r>
            <w:r w:rsidRPr="008A0705">
              <w:rPr>
                <w:rFonts w:ascii="Times New Roman" w:hAnsi="Times New Roman"/>
                <w:sz w:val="18"/>
                <w:szCs w:val="18"/>
              </w:rPr>
              <w:t>975-989.</w:t>
            </w:r>
          </w:p>
        </w:tc>
      </w:tr>
      <w:tr w:rsidR="0056537E" w:rsidRPr="00D5111D" w:rsidTr="00D251DC">
        <w:trPr>
          <w:trHeight w:val="427"/>
        </w:trPr>
        <w:tc>
          <w:tcPr>
            <w:tcW w:w="9498" w:type="dxa"/>
            <w:gridSpan w:val="16"/>
            <w:vAlign w:val="center"/>
          </w:tcPr>
          <w:p w:rsidR="0056537E" w:rsidRPr="00D5111D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111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6537E" w:rsidRPr="00D5111D" w:rsidTr="00D251DC">
        <w:trPr>
          <w:trHeight w:val="427"/>
        </w:trPr>
        <w:tc>
          <w:tcPr>
            <w:tcW w:w="4856" w:type="dxa"/>
            <w:gridSpan w:val="8"/>
            <w:vAlign w:val="center"/>
          </w:tcPr>
          <w:p w:rsidR="0056537E" w:rsidRPr="00893988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111D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4642" w:type="dxa"/>
            <w:gridSpan w:val="8"/>
            <w:vAlign w:val="center"/>
          </w:tcPr>
          <w:p w:rsidR="0056537E" w:rsidRPr="009B0328" w:rsidRDefault="00893988" w:rsidP="008939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 (Google Scholar), 41 (Scopus)</w:t>
            </w:r>
          </w:p>
        </w:tc>
      </w:tr>
      <w:tr w:rsidR="0056537E" w:rsidRPr="00D5111D" w:rsidTr="00D251DC">
        <w:trPr>
          <w:trHeight w:val="427"/>
        </w:trPr>
        <w:tc>
          <w:tcPr>
            <w:tcW w:w="4856" w:type="dxa"/>
            <w:gridSpan w:val="8"/>
            <w:vAlign w:val="center"/>
          </w:tcPr>
          <w:p w:rsidR="0056537E" w:rsidRPr="00D5111D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111D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4642" w:type="dxa"/>
            <w:gridSpan w:val="8"/>
            <w:vAlign w:val="center"/>
          </w:tcPr>
          <w:p w:rsidR="0056537E" w:rsidRPr="000012BD" w:rsidRDefault="000012BD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56537E" w:rsidRPr="00D5111D" w:rsidTr="00D251DC">
        <w:trPr>
          <w:trHeight w:val="278"/>
        </w:trPr>
        <w:tc>
          <w:tcPr>
            <w:tcW w:w="4856" w:type="dxa"/>
            <w:gridSpan w:val="8"/>
            <w:vAlign w:val="center"/>
          </w:tcPr>
          <w:p w:rsidR="0056537E" w:rsidRPr="00D5111D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111D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56537E" w:rsidRPr="000012BD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11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Домаћи: </w:t>
            </w:r>
            <w:r w:rsidR="000012B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06" w:type="dxa"/>
            <w:gridSpan w:val="4"/>
            <w:vAlign w:val="center"/>
          </w:tcPr>
          <w:p w:rsidR="0056537E" w:rsidRPr="000012BD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11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Међународни. </w:t>
            </w:r>
            <w:r w:rsidR="000012B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6537E" w:rsidRPr="00D5111D" w:rsidTr="00D251DC">
        <w:trPr>
          <w:trHeight w:val="427"/>
        </w:trPr>
        <w:tc>
          <w:tcPr>
            <w:tcW w:w="2895" w:type="dxa"/>
            <w:gridSpan w:val="5"/>
            <w:vAlign w:val="center"/>
          </w:tcPr>
          <w:p w:rsidR="0056537E" w:rsidRPr="00D5111D" w:rsidRDefault="0056537E" w:rsidP="00D251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11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603" w:type="dxa"/>
            <w:gridSpan w:val="11"/>
          </w:tcPr>
          <w:p w:rsidR="0056537E" w:rsidRPr="00D5111D" w:rsidRDefault="0056537E" w:rsidP="00D251DC">
            <w:pPr>
              <w:rPr>
                <w:rFonts w:ascii="Times New Roman" w:hAnsi="Times New Roman"/>
                <w:sz w:val="18"/>
                <w:szCs w:val="18"/>
              </w:rPr>
            </w:pPr>
            <w:r w:rsidRPr="00D5111D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Tempus </w:t>
            </w:r>
            <w:proofErr w:type="spellStart"/>
            <w:r w:rsidRPr="00D5111D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Proje</w:t>
            </w:r>
            <w:proofErr w:type="spellEnd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>ct</w:t>
            </w:r>
            <w:r w:rsidRPr="00D5111D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„</w:t>
            </w:r>
            <w:r w:rsidRPr="00D5111D">
              <w:rPr>
                <w:rFonts w:ascii="Times New Roman" w:hAnsi="Times New Roman"/>
                <w:sz w:val="18"/>
                <w:szCs w:val="18"/>
              </w:rPr>
              <w:t xml:space="preserve">Advance regional cooperation in South-Eastern Europe: development of postgraduate curriculum for hospitality and tourism studies”, </w:t>
            </w:r>
            <w:proofErr w:type="spellStart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>Солун</w:t>
            </w:r>
            <w:proofErr w:type="spellEnd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>Грчка</w:t>
            </w:r>
            <w:proofErr w:type="spellEnd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>октобар</w:t>
            </w:r>
            <w:proofErr w:type="spellEnd"/>
            <w:r w:rsidRPr="00D511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2005.</w:t>
            </w:r>
          </w:p>
        </w:tc>
      </w:tr>
    </w:tbl>
    <w:p w:rsidR="000161E0" w:rsidRPr="0070246D" w:rsidRDefault="003919BC" w:rsidP="0056537E"/>
    <w:sectPr w:rsidR="000161E0" w:rsidRPr="0070246D" w:rsidSect="0056537E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7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56537E"/>
    <w:rsid w:val="000012BD"/>
    <w:rsid w:val="000A5358"/>
    <w:rsid w:val="000D5D05"/>
    <w:rsid w:val="00202574"/>
    <w:rsid w:val="00224A14"/>
    <w:rsid w:val="002732AF"/>
    <w:rsid w:val="00353716"/>
    <w:rsid w:val="00380EC6"/>
    <w:rsid w:val="003919BC"/>
    <w:rsid w:val="0056537E"/>
    <w:rsid w:val="0070246D"/>
    <w:rsid w:val="008846D6"/>
    <w:rsid w:val="00893988"/>
    <w:rsid w:val="008F3E9B"/>
    <w:rsid w:val="009B0328"/>
    <w:rsid w:val="00A36F08"/>
    <w:rsid w:val="00BA54BA"/>
    <w:rsid w:val="00D90725"/>
    <w:rsid w:val="00EC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7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537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424</Words>
  <Characters>2419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dcterms:created xsi:type="dcterms:W3CDTF">2022-02-25T11:02:00Z</dcterms:created>
  <dcterms:modified xsi:type="dcterms:W3CDTF">2022-03-10T07:44:00Z</dcterms:modified>
</cp:coreProperties>
</file>