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819"/>
        <w:gridCol w:w="256"/>
        <w:gridCol w:w="356"/>
        <w:gridCol w:w="123"/>
        <w:gridCol w:w="1002"/>
        <w:gridCol w:w="799"/>
        <w:gridCol w:w="251"/>
        <w:gridCol w:w="234"/>
        <w:gridCol w:w="713"/>
        <w:gridCol w:w="429"/>
        <w:gridCol w:w="174"/>
        <w:gridCol w:w="1284"/>
        <w:gridCol w:w="285"/>
        <w:gridCol w:w="2605"/>
      </w:tblGrid>
      <w:tr w:rsidR="0043607C" w:rsidRPr="00491993" w14:paraId="0903010E" w14:textId="77777777" w:rsidTr="0043607C">
        <w:trPr>
          <w:trHeight w:val="242"/>
        </w:trPr>
        <w:tc>
          <w:tcPr>
            <w:tcW w:w="4657" w:type="dxa"/>
            <w:gridSpan w:val="9"/>
            <w:vAlign w:val="center"/>
          </w:tcPr>
          <w:p w14:paraId="3C1F5A62" w14:textId="7DDBDB24" w:rsidR="0043607C" w:rsidRPr="00491993" w:rsidRDefault="007173C1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RS"/>
              </w:rPr>
              <w:t xml:space="preserve"> </w:t>
            </w:r>
            <w:r w:rsidR="0043607C"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490" w:type="dxa"/>
            <w:gridSpan w:val="6"/>
            <w:vAlign w:val="center"/>
          </w:tcPr>
          <w:p w14:paraId="19DB3167" w14:textId="04400E0E" w:rsidR="0043607C" w:rsidRPr="00491993" w:rsidRDefault="00031DC8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Зорица Свирчев</w:t>
            </w:r>
          </w:p>
        </w:tc>
      </w:tr>
      <w:tr w:rsidR="0043607C" w:rsidRPr="00491993" w14:paraId="37A99182" w14:textId="77777777" w:rsidTr="0043607C">
        <w:trPr>
          <w:trHeight w:val="215"/>
        </w:trPr>
        <w:tc>
          <w:tcPr>
            <w:tcW w:w="4657" w:type="dxa"/>
            <w:gridSpan w:val="9"/>
            <w:vAlign w:val="center"/>
          </w:tcPr>
          <w:p w14:paraId="534C383F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490" w:type="dxa"/>
            <w:gridSpan w:val="6"/>
            <w:vAlign w:val="center"/>
          </w:tcPr>
          <w:p w14:paraId="2E16B1A3" w14:textId="0A6DF22A" w:rsidR="0043607C" w:rsidRPr="00491993" w:rsidRDefault="00A073E0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Редовни</w:t>
            </w:r>
            <w:r w:rsidR="00213C2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професор</w:t>
            </w:r>
          </w:p>
        </w:tc>
      </w:tr>
      <w:tr w:rsidR="0043607C" w:rsidRPr="00491993" w14:paraId="278F690E" w14:textId="77777777" w:rsidTr="0043607C">
        <w:trPr>
          <w:trHeight w:val="188"/>
        </w:trPr>
        <w:tc>
          <w:tcPr>
            <w:tcW w:w="4657" w:type="dxa"/>
            <w:gridSpan w:val="9"/>
            <w:vAlign w:val="center"/>
          </w:tcPr>
          <w:p w14:paraId="7F3FF327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490" w:type="dxa"/>
            <w:gridSpan w:val="6"/>
            <w:vAlign w:val="center"/>
          </w:tcPr>
          <w:p w14:paraId="53601195" w14:textId="779CB966" w:rsidR="0043607C" w:rsidRPr="00491993" w:rsidRDefault="00CD7777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95592">
              <w:rPr>
                <w:rFonts w:ascii="Times New Roman" w:hAnsi="Times New Roman"/>
                <w:sz w:val="20"/>
                <w:szCs w:val="20"/>
              </w:rPr>
              <w:t xml:space="preserve">ПМФ, Департман за </w:t>
            </w:r>
            <w:r>
              <w:rPr>
                <w:rFonts w:ascii="Times New Roman" w:hAnsi="Times New Roman"/>
                <w:sz w:val="20"/>
                <w:szCs w:val="20"/>
              </w:rPr>
              <w:t>биологију и екологију</w:t>
            </w:r>
            <w:r w:rsidRPr="00D95592">
              <w:rPr>
                <w:rFonts w:ascii="Times New Roman" w:hAnsi="Times New Roman"/>
                <w:sz w:val="20"/>
                <w:szCs w:val="20"/>
              </w:rPr>
              <w:t xml:space="preserve">, Нови Сад, </w:t>
            </w:r>
            <w:r w:rsidR="00A073E0">
              <w:rPr>
                <w:rFonts w:ascii="Times New Roman" w:hAnsi="Times New Roman"/>
                <w:sz w:val="20"/>
                <w:szCs w:val="20"/>
                <w:lang w:val="sr-Cyrl-CS"/>
              </w:rPr>
              <w:t>01.01.1987.</w:t>
            </w:r>
          </w:p>
        </w:tc>
      </w:tr>
      <w:tr w:rsidR="0043607C" w:rsidRPr="00491993" w14:paraId="217EA891" w14:textId="77777777" w:rsidTr="0043607C">
        <w:trPr>
          <w:trHeight w:val="197"/>
        </w:trPr>
        <w:tc>
          <w:tcPr>
            <w:tcW w:w="4657" w:type="dxa"/>
            <w:gridSpan w:val="9"/>
            <w:vAlign w:val="center"/>
          </w:tcPr>
          <w:p w14:paraId="43BE1574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490" w:type="dxa"/>
            <w:gridSpan w:val="6"/>
            <w:vAlign w:val="center"/>
          </w:tcPr>
          <w:p w14:paraId="6E49D509" w14:textId="5B2DD59B" w:rsidR="0043607C" w:rsidRPr="00491993" w:rsidRDefault="00213C2D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Хидробиологија</w:t>
            </w:r>
          </w:p>
        </w:tc>
      </w:tr>
      <w:tr w:rsidR="0043607C" w:rsidRPr="00491993" w14:paraId="3B8A6F03" w14:textId="77777777" w:rsidTr="0043607C">
        <w:trPr>
          <w:trHeight w:val="70"/>
        </w:trPr>
        <w:tc>
          <w:tcPr>
            <w:tcW w:w="10147" w:type="dxa"/>
            <w:gridSpan w:val="15"/>
            <w:vAlign w:val="center"/>
          </w:tcPr>
          <w:p w14:paraId="1315848A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43607C" w:rsidRPr="00491993" w14:paraId="286A98D8" w14:textId="77777777" w:rsidTr="0043607C">
        <w:trPr>
          <w:trHeight w:val="233"/>
        </w:trPr>
        <w:tc>
          <w:tcPr>
            <w:tcW w:w="2371" w:type="dxa"/>
            <w:gridSpan w:val="5"/>
            <w:vAlign w:val="center"/>
          </w:tcPr>
          <w:p w14:paraId="48D18781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02" w:type="dxa"/>
            <w:vAlign w:val="center"/>
          </w:tcPr>
          <w:p w14:paraId="2948294B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997" w:type="dxa"/>
            <w:gridSpan w:val="4"/>
            <w:shd w:val="clear" w:color="auto" w:fill="auto"/>
            <w:vAlign w:val="center"/>
          </w:tcPr>
          <w:p w14:paraId="5064FC62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87" w:type="dxa"/>
            <w:gridSpan w:val="3"/>
            <w:shd w:val="clear" w:color="auto" w:fill="auto"/>
            <w:vAlign w:val="center"/>
          </w:tcPr>
          <w:p w14:paraId="4D332925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890" w:type="dxa"/>
            <w:gridSpan w:val="2"/>
            <w:shd w:val="clear" w:color="auto" w:fill="auto"/>
            <w:vAlign w:val="center"/>
          </w:tcPr>
          <w:p w14:paraId="3EBE5FB6" w14:textId="77777777" w:rsidR="0043607C" w:rsidRPr="00AC0E94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43607C" w:rsidRPr="00491993" w14:paraId="4371057D" w14:textId="77777777" w:rsidTr="0043607C">
        <w:trPr>
          <w:trHeight w:val="233"/>
        </w:trPr>
        <w:tc>
          <w:tcPr>
            <w:tcW w:w="2371" w:type="dxa"/>
            <w:gridSpan w:val="5"/>
            <w:vAlign w:val="center"/>
          </w:tcPr>
          <w:p w14:paraId="1C765423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02" w:type="dxa"/>
            <w:vAlign w:val="center"/>
          </w:tcPr>
          <w:p w14:paraId="02868900" w14:textId="293478BC" w:rsidR="0043607C" w:rsidRPr="00491993" w:rsidRDefault="00213C2D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</w:t>
            </w:r>
            <w:r w:rsidR="00A073E0">
              <w:rPr>
                <w:rFonts w:ascii="Times New Roman" w:hAnsi="Times New Roman"/>
                <w:sz w:val="20"/>
                <w:szCs w:val="20"/>
                <w:lang w:val="sr-Cyrl-CS"/>
              </w:rPr>
              <w:t>05</w:t>
            </w:r>
          </w:p>
        </w:tc>
        <w:tc>
          <w:tcPr>
            <w:tcW w:w="1997" w:type="dxa"/>
            <w:gridSpan w:val="4"/>
            <w:shd w:val="clear" w:color="auto" w:fill="auto"/>
            <w:vAlign w:val="center"/>
          </w:tcPr>
          <w:p w14:paraId="7E428702" w14:textId="356C8195" w:rsidR="0043607C" w:rsidRPr="00491993" w:rsidRDefault="00213C2D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- УНС</w:t>
            </w:r>
          </w:p>
        </w:tc>
        <w:tc>
          <w:tcPr>
            <w:tcW w:w="1887" w:type="dxa"/>
            <w:gridSpan w:val="3"/>
            <w:shd w:val="clear" w:color="auto" w:fill="auto"/>
            <w:vAlign w:val="center"/>
          </w:tcPr>
          <w:p w14:paraId="594258E7" w14:textId="224C227A" w:rsidR="0043607C" w:rsidRPr="00491993" w:rsidRDefault="00213C2D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890" w:type="dxa"/>
            <w:gridSpan w:val="2"/>
            <w:shd w:val="clear" w:color="auto" w:fill="auto"/>
            <w:vAlign w:val="center"/>
          </w:tcPr>
          <w:p w14:paraId="61598C87" w14:textId="3FD147C0" w:rsidR="0043607C" w:rsidRPr="00491993" w:rsidRDefault="00213C2D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Хидробиологија</w:t>
            </w:r>
          </w:p>
        </w:tc>
      </w:tr>
      <w:tr w:rsidR="0043607C" w:rsidRPr="00491993" w14:paraId="7A4698DD" w14:textId="77777777" w:rsidTr="0043607C">
        <w:trPr>
          <w:trHeight w:val="107"/>
        </w:trPr>
        <w:tc>
          <w:tcPr>
            <w:tcW w:w="2371" w:type="dxa"/>
            <w:gridSpan w:val="5"/>
            <w:vAlign w:val="center"/>
          </w:tcPr>
          <w:p w14:paraId="61EC5C35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02" w:type="dxa"/>
            <w:vAlign w:val="center"/>
          </w:tcPr>
          <w:p w14:paraId="439A4840" w14:textId="230C2F82" w:rsidR="0043607C" w:rsidRPr="00491993" w:rsidRDefault="00A073E0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1992</w:t>
            </w:r>
          </w:p>
        </w:tc>
        <w:tc>
          <w:tcPr>
            <w:tcW w:w="1997" w:type="dxa"/>
            <w:gridSpan w:val="4"/>
            <w:shd w:val="clear" w:color="auto" w:fill="auto"/>
            <w:vAlign w:val="center"/>
          </w:tcPr>
          <w:p w14:paraId="10D2A7C7" w14:textId="156637BF" w:rsidR="0043607C" w:rsidRPr="00213C2D" w:rsidRDefault="00A073E0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- УНС</w:t>
            </w:r>
          </w:p>
        </w:tc>
        <w:tc>
          <w:tcPr>
            <w:tcW w:w="1887" w:type="dxa"/>
            <w:gridSpan w:val="3"/>
            <w:shd w:val="clear" w:color="auto" w:fill="auto"/>
            <w:vAlign w:val="center"/>
          </w:tcPr>
          <w:p w14:paraId="7C7B3FAD" w14:textId="36CA9F3E" w:rsidR="0043607C" w:rsidRPr="00213C2D" w:rsidRDefault="00A073E0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890" w:type="dxa"/>
            <w:gridSpan w:val="2"/>
            <w:shd w:val="clear" w:color="auto" w:fill="auto"/>
            <w:vAlign w:val="center"/>
          </w:tcPr>
          <w:p w14:paraId="1F46CD81" w14:textId="57F21FAB" w:rsidR="0043607C" w:rsidRPr="00491993" w:rsidRDefault="00A073E0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Микробиологија</w:t>
            </w:r>
          </w:p>
        </w:tc>
      </w:tr>
      <w:tr w:rsidR="00213C2D" w:rsidRPr="00491993" w14:paraId="07C93B37" w14:textId="77777777" w:rsidTr="005F3846">
        <w:trPr>
          <w:trHeight w:val="70"/>
        </w:trPr>
        <w:tc>
          <w:tcPr>
            <w:tcW w:w="2371" w:type="dxa"/>
            <w:gridSpan w:val="5"/>
            <w:vAlign w:val="center"/>
          </w:tcPr>
          <w:p w14:paraId="2D4A6E56" w14:textId="77777777" w:rsidR="00213C2D" w:rsidRPr="00AC0E94" w:rsidRDefault="00213C2D" w:rsidP="00213C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02" w:type="dxa"/>
            <w:vAlign w:val="center"/>
          </w:tcPr>
          <w:p w14:paraId="1B77B734" w14:textId="6BBF82E5" w:rsidR="00213C2D" w:rsidRPr="00491993" w:rsidRDefault="00A073E0" w:rsidP="00213C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1988</w:t>
            </w:r>
          </w:p>
        </w:tc>
        <w:tc>
          <w:tcPr>
            <w:tcW w:w="1997" w:type="dxa"/>
            <w:gridSpan w:val="4"/>
            <w:shd w:val="clear" w:color="auto" w:fill="auto"/>
            <w:vAlign w:val="center"/>
          </w:tcPr>
          <w:p w14:paraId="5ABC1730" w14:textId="3B0C3518" w:rsidR="00213C2D" w:rsidRPr="00491993" w:rsidRDefault="00213C2D" w:rsidP="00213C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- УНС</w:t>
            </w:r>
          </w:p>
        </w:tc>
        <w:tc>
          <w:tcPr>
            <w:tcW w:w="1887" w:type="dxa"/>
            <w:gridSpan w:val="3"/>
            <w:shd w:val="clear" w:color="auto" w:fill="auto"/>
          </w:tcPr>
          <w:p w14:paraId="7CD26958" w14:textId="6E48DAA6" w:rsidR="00213C2D" w:rsidRPr="007F337E" w:rsidRDefault="00A073E0" w:rsidP="00213C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890" w:type="dxa"/>
            <w:gridSpan w:val="2"/>
            <w:shd w:val="clear" w:color="auto" w:fill="auto"/>
          </w:tcPr>
          <w:p w14:paraId="2F205E2A" w14:textId="313BC8EB" w:rsidR="00213C2D" w:rsidRPr="00A073E0" w:rsidRDefault="00A073E0" w:rsidP="00213C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Таксономија</w:t>
            </w:r>
          </w:p>
        </w:tc>
      </w:tr>
      <w:tr w:rsidR="00213C2D" w:rsidRPr="00491993" w14:paraId="7E4D8CF0" w14:textId="77777777" w:rsidTr="005F3846">
        <w:trPr>
          <w:trHeight w:val="80"/>
        </w:trPr>
        <w:tc>
          <w:tcPr>
            <w:tcW w:w="2371" w:type="dxa"/>
            <w:gridSpan w:val="5"/>
            <w:vAlign w:val="center"/>
          </w:tcPr>
          <w:p w14:paraId="4DF16B2C" w14:textId="77777777" w:rsidR="00213C2D" w:rsidRPr="00491993" w:rsidRDefault="00213C2D" w:rsidP="00213C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02" w:type="dxa"/>
            <w:vAlign w:val="center"/>
          </w:tcPr>
          <w:p w14:paraId="41A947AF" w14:textId="05F39CB4" w:rsidR="00213C2D" w:rsidRPr="00491993" w:rsidRDefault="00A073E0" w:rsidP="00213C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1983</w:t>
            </w:r>
          </w:p>
        </w:tc>
        <w:tc>
          <w:tcPr>
            <w:tcW w:w="1997" w:type="dxa"/>
            <w:gridSpan w:val="4"/>
            <w:shd w:val="clear" w:color="auto" w:fill="auto"/>
            <w:vAlign w:val="center"/>
          </w:tcPr>
          <w:p w14:paraId="162FD01B" w14:textId="5E5DBA60" w:rsidR="00213C2D" w:rsidRPr="00491993" w:rsidRDefault="00213C2D" w:rsidP="00213C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- УНС</w:t>
            </w:r>
          </w:p>
        </w:tc>
        <w:tc>
          <w:tcPr>
            <w:tcW w:w="1887" w:type="dxa"/>
            <w:gridSpan w:val="3"/>
            <w:shd w:val="clear" w:color="auto" w:fill="auto"/>
          </w:tcPr>
          <w:p w14:paraId="434F52E2" w14:textId="19FABCFF" w:rsidR="00213C2D" w:rsidRPr="007F337E" w:rsidRDefault="00A073E0" w:rsidP="00213C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890" w:type="dxa"/>
            <w:gridSpan w:val="2"/>
            <w:shd w:val="clear" w:color="auto" w:fill="auto"/>
          </w:tcPr>
          <w:p w14:paraId="552B6EFC" w14:textId="564B5649" w:rsidR="00213C2D" w:rsidRPr="007F337E" w:rsidRDefault="00A073E0" w:rsidP="00213C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</w:tr>
      <w:tr w:rsidR="0043607C" w:rsidRPr="00491993" w14:paraId="20C2CA02" w14:textId="77777777" w:rsidTr="0043607C">
        <w:trPr>
          <w:trHeight w:val="233"/>
        </w:trPr>
        <w:tc>
          <w:tcPr>
            <w:tcW w:w="10147" w:type="dxa"/>
            <w:gridSpan w:val="15"/>
            <w:vAlign w:val="center"/>
          </w:tcPr>
          <w:p w14:paraId="0024D9C3" w14:textId="77777777" w:rsidR="0043607C" w:rsidRPr="00AC0E94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43607C" w:rsidRPr="00491993" w14:paraId="1B7F688A" w14:textId="77777777" w:rsidTr="00F61DAF">
        <w:trPr>
          <w:trHeight w:val="822"/>
        </w:trPr>
        <w:tc>
          <w:tcPr>
            <w:tcW w:w="817" w:type="dxa"/>
            <w:shd w:val="clear" w:color="auto" w:fill="auto"/>
            <w:vAlign w:val="center"/>
          </w:tcPr>
          <w:p w14:paraId="6BCC8318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75" w:type="dxa"/>
            <w:gridSpan w:val="2"/>
            <w:shd w:val="clear" w:color="auto" w:fill="auto"/>
            <w:vAlign w:val="center"/>
          </w:tcPr>
          <w:p w14:paraId="1FCE2C2D" w14:textId="77777777" w:rsidR="0043607C" w:rsidRPr="00AC0E94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531" w:type="dxa"/>
            <w:gridSpan w:val="5"/>
            <w:shd w:val="clear" w:color="auto" w:fill="auto"/>
            <w:vAlign w:val="center"/>
          </w:tcPr>
          <w:p w14:paraId="438188F3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50" w:type="dxa"/>
            <w:gridSpan w:val="4"/>
            <w:shd w:val="clear" w:color="auto" w:fill="auto"/>
            <w:vAlign w:val="center"/>
          </w:tcPr>
          <w:p w14:paraId="5B6F9A82" w14:textId="77777777" w:rsidR="0043607C" w:rsidRPr="00AC0E94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569" w:type="dxa"/>
            <w:gridSpan w:val="2"/>
            <w:shd w:val="clear" w:color="auto" w:fill="auto"/>
            <w:vAlign w:val="center"/>
          </w:tcPr>
          <w:p w14:paraId="63874AF6" w14:textId="77777777" w:rsidR="0043607C" w:rsidRPr="00AC0E94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5853A21F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43607C" w:rsidRPr="00491993" w14:paraId="7A02D6F2" w14:textId="77777777" w:rsidTr="00F61DAF">
        <w:trPr>
          <w:trHeight w:val="98"/>
        </w:trPr>
        <w:tc>
          <w:tcPr>
            <w:tcW w:w="817" w:type="dxa"/>
            <w:shd w:val="clear" w:color="auto" w:fill="auto"/>
            <w:vAlign w:val="center"/>
          </w:tcPr>
          <w:p w14:paraId="01DA317B" w14:textId="77777777" w:rsidR="0043607C" w:rsidRPr="0043607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1.</w:t>
            </w:r>
          </w:p>
        </w:tc>
        <w:tc>
          <w:tcPr>
            <w:tcW w:w="1075" w:type="dxa"/>
            <w:gridSpan w:val="2"/>
            <w:shd w:val="clear" w:color="auto" w:fill="auto"/>
            <w:vAlign w:val="center"/>
          </w:tcPr>
          <w:p w14:paraId="2AA8E9C4" w14:textId="0E07A5FD" w:rsidR="0043607C" w:rsidRPr="00491993" w:rsidRDefault="0034265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ОЕ024</w:t>
            </w:r>
          </w:p>
        </w:tc>
        <w:tc>
          <w:tcPr>
            <w:tcW w:w="2531" w:type="dxa"/>
            <w:gridSpan w:val="5"/>
            <w:shd w:val="clear" w:color="auto" w:fill="auto"/>
            <w:vAlign w:val="center"/>
          </w:tcPr>
          <w:p w14:paraId="2D1CD2E2" w14:textId="0F8F2083" w:rsidR="0043607C" w:rsidRPr="00491993" w:rsidRDefault="0034265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Хидробиологија и заштита вода</w:t>
            </w:r>
          </w:p>
        </w:tc>
        <w:tc>
          <w:tcPr>
            <w:tcW w:w="1550" w:type="dxa"/>
            <w:gridSpan w:val="4"/>
            <w:shd w:val="clear" w:color="auto" w:fill="auto"/>
            <w:vAlign w:val="center"/>
          </w:tcPr>
          <w:p w14:paraId="45D2E7F1" w14:textId="25874A3F" w:rsidR="0043607C" w:rsidRPr="00491993" w:rsidRDefault="0034265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Предавања </w:t>
            </w:r>
          </w:p>
        </w:tc>
        <w:tc>
          <w:tcPr>
            <w:tcW w:w="1569" w:type="dxa"/>
            <w:gridSpan w:val="2"/>
            <w:shd w:val="clear" w:color="auto" w:fill="auto"/>
            <w:vAlign w:val="center"/>
          </w:tcPr>
          <w:p w14:paraId="4718D919" w14:textId="6DEF52A2" w:rsidR="0043607C" w:rsidRPr="00491993" w:rsidRDefault="003F11C8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Дипл. еколог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1F4D780A" w14:textId="7A58A815" w:rsidR="0043607C" w:rsidRPr="00491993" w:rsidRDefault="0034265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43607C" w:rsidRPr="00491993" w14:paraId="1685348E" w14:textId="77777777" w:rsidTr="00F61DAF">
        <w:trPr>
          <w:trHeight w:val="152"/>
        </w:trPr>
        <w:tc>
          <w:tcPr>
            <w:tcW w:w="817" w:type="dxa"/>
            <w:shd w:val="clear" w:color="auto" w:fill="auto"/>
            <w:vAlign w:val="center"/>
          </w:tcPr>
          <w:p w14:paraId="59FCEE69" w14:textId="77777777" w:rsidR="0043607C" w:rsidRPr="0043607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2.</w:t>
            </w:r>
          </w:p>
        </w:tc>
        <w:tc>
          <w:tcPr>
            <w:tcW w:w="1075" w:type="dxa"/>
            <w:gridSpan w:val="2"/>
            <w:shd w:val="clear" w:color="auto" w:fill="auto"/>
            <w:vAlign w:val="center"/>
          </w:tcPr>
          <w:p w14:paraId="57530C95" w14:textId="2DCD8012" w:rsidR="0043607C" w:rsidRPr="00491993" w:rsidRDefault="003470E6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ОБ036</w:t>
            </w:r>
          </w:p>
        </w:tc>
        <w:tc>
          <w:tcPr>
            <w:tcW w:w="2531" w:type="dxa"/>
            <w:gridSpan w:val="5"/>
            <w:shd w:val="clear" w:color="auto" w:fill="auto"/>
            <w:vAlign w:val="center"/>
          </w:tcPr>
          <w:p w14:paraId="28169330" w14:textId="772A8A62" w:rsidR="0043607C" w:rsidRPr="007173C1" w:rsidRDefault="00A073E0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Биотехнологија</w:t>
            </w:r>
            <w:r w:rsidR="007173C1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1550" w:type="dxa"/>
            <w:gridSpan w:val="4"/>
            <w:shd w:val="clear" w:color="auto" w:fill="auto"/>
            <w:vAlign w:val="center"/>
          </w:tcPr>
          <w:p w14:paraId="051950DD" w14:textId="439F249C" w:rsidR="0043607C" w:rsidRPr="00491993" w:rsidRDefault="00A073E0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Предавања </w:t>
            </w:r>
          </w:p>
        </w:tc>
        <w:tc>
          <w:tcPr>
            <w:tcW w:w="1569" w:type="dxa"/>
            <w:gridSpan w:val="2"/>
            <w:shd w:val="clear" w:color="auto" w:fill="auto"/>
            <w:vAlign w:val="center"/>
          </w:tcPr>
          <w:p w14:paraId="373FD925" w14:textId="53E079D2" w:rsidR="003F11C8" w:rsidRPr="00491993" w:rsidRDefault="003F11C8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Дипл. </w:t>
            </w:r>
            <w:r w:rsidR="007F337E">
              <w:rPr>
                <w:rFonts w:ascii="Times New Roman" w:hAnsi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иолог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277A3663" w14:textId="4588121E" w:rsidR="0043607C" w:rsidRPr="00491993" w:rsidRDefault="0034265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43607C" w:rsidRPr="00491993" w14:paraId="6B3F7E37" w14:textId="77777777" w:rsidTr="00F61DAF">
        <w:trPr>
          <w:trHeight w:val="70"/>
        </w:trPr>
        <w:tc>
          <w:tcPr>
            <w:tcW w:w="817" w:type="dxa"/>
            <w:shd w:val="clear" w:color="auto" w:fill="auto"/>
            <w:vAlign w:val="center"/>
          </w:tcPr>
          <w:p w14:paraId="0F3DF518" w14:textId="77777777" w:rsidR="0043607C" w:rsidRPr="0043607C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3.</w:t>
            </w:r>
          </w:p>
        </w:tc>
        <w:tc>
          <w:tcPr>
            <w:tcW w:w="1075" w:type="dxa"/>
            <w:gridSpan w:val="2"/>
            <w:shd w:val="clear" w:color="auto" w:fill="auto"/>
            <w:vAlign w:val="center"/>
          </w:tcPr>
          <w:p w14:paraId="56F05476" w14:textId="7D4656EA" w:rsidR="0043607C" w:rsidRPr="00491993" w:rsidRDefault="003470E6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ОБ037</w:t>
            </w:r>
          </w:p>
        </w:tc>
        <w:tc>
          <w:tcPr>
            <w:tcW w:w="2531" w:type="dxa"/>
            <w:gridSpan w:val="5"/>
            <w:shd w:val="clear" w:color="auto" w:fill="auto"/>
            <w:vAlign w:val="center"/>
          </w:tcPr>
          <w:p w14:paraId="5CE51C4A" w14:textId="6A71EF31" w:rsidR="0043607C" w:rsidRPr="00491993" w:rsidRDefault="00A073E0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Алгологија</w:t>
            </w:r>
          </w:p>
        </w:tc>
        <w:tc>
          <w:tcPr>
            <w:tcW w:w="1550" w:type="dxa"/>
            <w:gridSpan w:val="4"/>
            <w:shd w:val="clear" w:color="auto" w:fill="auto"/>
            <w:vAlign w:val="center"/>
          </w:tcPr>
          <w:p w14:paraId="5C7B3286" w14:textId="2FF22C21" w:rsidR="0043607C" w:rsidRPr="00491993" w:rsidRDefault="0034265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Предавања </w:t>
            </w:r>
          </w:p>
        </w:tc>
        <w:tc>
          <w:tcPr>
            <w:tcW w:w="1569" w:type="dxa"/>
            <w:gridSpan w:val="2"/>
            <w:shd w:val="clear" w:color="auto" w:fill="auto"/>
            <w:vAlign w:val="center"/>
          </w:tcPr>
          <w:p w14:paraId="7D4E313E" w14:textId="0CF71EBA" w:rsidR="0043607C" w:rsidRPr="00491993" w:rsidRDefault="00A073E0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Дипл. 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иолог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3BC40D50" w14:textId="3206C193" w:rsidR="0043607C" w:rsidRPr="00491993" w:rsidRDefault="00A073E0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A073E0" w:rsidRPr="00491993" w14:paraId="42CEC528" w14:textId="77777777" w:rsidTr="00F61DAF">
        <w:trPr>
          <w:trHeight w:val="70"/>
        </w:trPr>
        <w:tc>
          <w:tcPr>
            <w:tcW w:w="817" w:type="dxa"/>
            <w:shd w:val="clear" w:color="auto" w:fill="auto"/>
            <w:vAlign w:val="center"/>
          </w:tcPr>
          <w:p w14:paraId="137E2556" w14:textId="56345782" w:rsidR="00A073E0" w:rsidRPr="00A073E0" w:rsidRDefault="00A073E0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75" w:type="dxa"/>
            <w:gridSpan w:val="2"/>
            <w:shd w:val="clear" w:color="auto" w:fill="auto"/>
            <w:vAlign w:val="center"/>
          </w:tcPr>
          <w:p w14:paraId="696B1F18" w14:textId="4A63EE47" w:rsidR="00A073E0" w:rsidRPr="00491993" w:rsidRDefault="003470E6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ОБ048</w:t>
            </w:r>
          </w:p>
        </w:tc>
        <w:tc>
          <w:tcPr>
            <w:tcW w:w="2531" w:type="dxa"/>
            <w:gridSpan w:val="5"/>
            <w:shd w:val="clear" w:color="auto" w:fill="auto"/>
            <w:vAlign w:val="center"/>
          </w:tcPr>
          <w:p w14:paraId="4D94C72A" w14:textId="09283DEA" w:rsidR="00A073E0" w:rsidRDefault="00DF1AA1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Егзо</w:t>
            </w:r>
            <w:r w:rsidR="00A073E0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550" w:type="dxa"/>
            <w:gridSpan w:val="4"/>
            <w:shd w:val="clear" w:color="auto" w:fill="auto"/>
            <w:vAlign w:val="center"/>
          </w:tcPr>
          <w:p w14:paraId="5FA9823A" w14:textId="43F17DE3" w:rsidR="00A073E0" w:rsidRDefault="00A073E0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569" w:type="dxa"/>
            <w:gridSpan w:val="2"/>
            <w:shd w:val="clear" w:color="auto" w:fill="auto"/>
            <w:vAlign w:val="center"/>
          </w:tcPr>
          <w:p w14:paraId="04F5E176" w14:textId="7F6279F1" w:rsidR="00A073E0" w:rsidRDefault="00A073E0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Дипл. 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иолог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67D71F0B" w14:textId="483D024A" w:rsidR="00A073E0" w:rsidRDefault="00A073E0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43607C" w:rsidRPr="00491993" w14:paraId="2BFEED8D" w14:textId="77777777" w:rsidTr="0043607C">
        <w:trPr>
          <w:trHeight w:val="125"/>
        </w:trPr>
        <w:tc>
          <w:tcPr>
            <w:tcW w:w="10147" w:type="dxa"/>
            <w:gridSpan w:val="15"/>
            <w:vAlign w:val="center"/>
          </w:tcPr>
          <w:p w14:paraId="4B44DDD4" w14:textId="77777777"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3607C" w:rsidRPr="00491993" w14:paraId="2F73AA5D" w14:textId="77777777" w:rsidTr="0043607C">
        <w:trPr>
          <w:trHeight w:val="70"/>
        </w:trPr>
        <w:tc>
          <w:tcPr>
            <w:tcW w:w="1636" w:type="dxa"/>
            <w:gridSpan w:val="2"/>
            <w:vAlign w:val="center"/>
          </w:tcPr>
          <w:p w14:paraId="6DEC0466" w14:textId="77777777" w:rsidR="0043607C" w:rsidRPr="006D0DD1" w:rsidRDefault="0043607C" w:rsidP="004360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511" w:type="dxa"/>
            <w:gridSpan w:val="13"/>
            <w:shd w:val="clear" w:color="auto" w:fill="auto"/>
            <w:vAlign w:val="center"/>
          </w:tcPr>
          <w:p w14:paraId="1271B684" w14:textId="42CA1E86" w:rsidR="0043607C" w:rsidRPr="00F61DAF" w:rsidRDefault="00F61DA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F61DAF">
              <w:rPr>
                <w:rFonts w:ascii="Times New Roman" w:hAnsi="Times New Roman"/>
                <w:sz w:val="14"/>
                <w:szCs w:val="14"/>
              </w:rPr>
              <w:t>Obreht</w:t>
            </w:r>
            <w:r w:rsidR="00154271">
              <w:rPr>
                <w:rFonts w:ascii="Times New Roman" w:hAnsi="Times New Roman"/>
                <w:sz w:val="14"/>
                <w:szCs w:val="14"/>
                <w:lang w:val="sr-Latn-RS"/>
              </w:rPr>
              <w:t xml:space="preserve"> (Svirčev)</w:t>
            </w:r>
            <w:r w:rsidRPr="00F61DAF">
              <w:rPr>
                <w:rFonts w:ascii="Times New Roman" w:hAnsi="Times New Roman"/>
                <w:sz w:val="14"/>
                <w:szCs w:val="14"/>
              </w:rPr>
              <w:t xml:space="preserve">, Z., Kerby, N.W., Gantar, M., Rowell, P.(1993): Effect of root associated N2-fixing cyanobacteria on the growth and nitrogen content of wheat (Triticum vulgare L.) seedlings. Biol. Fertil. Soil. 15: 68-72. </w:t>
            </w:r>
          </w:p>
        </w:tc>
      </w:tr>
      <w:tr w:rsidR="0043607C" w:rsidRPr="00491993" w14:paraId="1A55F894" w14:textId="77777777" w:rsidTr="0043607C">
        <w:trPr>
          <w:trHeight w:val="70"/>
        </w:trPr>
        <w:tc>
          <w:tcPr>
            <w:tcW w:w="1636" w:type="dxa"/>
            <w:gridSpan w:val="2"/>
            <w:vAlign w:val="center"/>
          </w:tcPr>
          <w:p w14:paraId="035B8569" w14:textId="77777777" w:rsidR="0043607C" w:rsidRPr="006D0DD1" w:rsidRDefault="0043607C" w:rsidP="0043607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511" w:type="dxa"/>
            <w:gridSpan w:val="13"/>
            <w:shd w:val="clear" w:color="auto" w:fill="auto"/>
            <w:vAlign w:val="center"/>
          </w:tcPr>
          <w:p w14:paraId="6919B587" w14:textId="32176BB2" w:rsidR="0043607C" w:rsidRPr="006D0DD1" w:rsidRDefault="00F61DA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F61DAF">
              <w:rPr>
                <w:rFonts w:ascii="Times New Roman" w:hAnsi="Times New Roman"/>
                <w:sz w:val="14"/>
                <w:szCs w:val="14"/>
              </w:rPr>
              <w:t>Svirčev, Z., Tamaš, I., Nenin, P., Drobac, A. (1997): Co-cultivation of N2-fixing cyanobacteria and some agriculturally important plants in liquid and sand cultures. Applied Soil Ecology 6: 301-308.</w:t>
            </w:r>
          </w:p>
        </w:tc>
      </w:tr>
      <w:tr w:rsidR="00154271" w:rsidRPr="00491993" w14:paraId="413E06E5" w14:textId="77777777" w:rsidTr="0043607C">
        <w:trPr>
          <w:trHeight w:val="70"/>
        </w:trPr>
        <w:tc>
          <w:tcPr>
            <w:tcW w:w="1636" w:type="dxa"/>
            <w:gridSpan w:val="2"/>
            <w:vAlign w:val="center"/>
          </w:tcPr>
          <w:p w14:paraId="6F2DF4E5" w14:textId="77777777" w:rsidR="00154271" w:rsidRPr="00F61DAF" w:rsidRDefault="00154271" w:rsidP="0015427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511" w:type="dxa"/>
            <w:gridSpan w:val="13"/>
            <w:shd w:val="clear" w:color="auto" w:fill="auto"/>
            <w:vAlign w:val="center"/>
          </w:tcPr>
          <w:p w14:paraId="5118D8B2" w14:textId="5E7B5B58" w:rsidR="00154271" w:rsidRPr="006D0DD1" w:rsidRDefault="00154271" w:rsidP="0015427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F61DAF">
              <w:rPr>
                <w:rFonts w:ascii="Times New Roman" w:hAnsi="Times New Roman"/>
                <w:sz w:val="14"/>
                <w:szCs w:val="14"/>
              </w:rPr>
              <w:t>Свирчев З. (2005): Микроалге и цијанобактерије у биотехнологији. Департман за биологију, Универзитета у Новом Саду. (уџбеник)</w:t>
            </w:r>
          </w:p>
        </w:tc>
      </w:tr>
      <w:tr w:rsidR="00154271" w:rsidRPr="00491993" w14:paraId="4CEE12D4" w14:textId="77777777" w:rsidTr="0043607C">
        <w:trPr>
          <w:trHeight w:val="70"/>
        </w:trPr>
        <w:tc>
          <w:tcPr>
            <w:tcW w:w="1636" w:type="dxa"/>
            <w:gridSpan w:val="2"/>
            <w:vAlign w:val="center"/>
          </w:tcPr>
          <w:p w14:paraId="039B5E0E" w14:textId="77777777" w:rsidR="00154271" w:rsidRPr="00F61DAF" w:rsidRDefault="00154271" w:rsidP="0015427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511" w:type="dxa"/>
            <w:gridSpan w:val="13"/>
            <w:shd w:val="clear" w:color="auto" w:fill="auto"/>
            <w:vAlign w:val="center"/>
          </w:tcPr>
          <w:p w14:paraId="7A73F0E9" w14:textId="26989385" w:rsidR="00154271" w:rsidRPr="006D0DD1" w:rsidRDefault="00154271" w:rsidP="0015427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F61DAF">
              <w:rPr>
                <w:rFonts w:ascii="Times New Roman" w:hAnsi="Times New Roman"/>
                <w:sz w:val="14"/>
                <w:szCs w:val="14"/>
              </w:rPr>
              <w:t>Gantar M., Svirčev Z. (2008): Microalgae and Cyanobacteria: Food for Thought (Review). Journal of Phycology, 44(2): 260-268</w:t>
            </w:r>
          </w:p>
        </w:tc>
      </w:tr>
      <w:tr w:rsidR="00154271" w:rsidRPr="00491993" w14:paraId="47C2C424" w14:textId="77777777" w:rsidTr="0043607C">
        <w:trPr>
          <w:trHeight w:val="152"/>
        </w:trPr>
        <w:tc>
          <w:tcPr>
            <w:tcW w:w="1636" w:type="dxa"/>
            <w:gridSpan w:val="2"/>
            <w:vAlign w:val="center"/>
          </w:tcPr>
          <w:p w14:paraId="64553657" w14:textId="77777777" w:rsidR="00154271" w:rsidRPr="00F61DAF" w:rsidRDefault="00154271" w:rsidP="0015427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511" w:type="dxa"/>
            <w:gridSpan w:val="13"/>
            <w:shd w:val="clear" w:color="auto" w:fill="auto"/>
            <w:vAlign w:val="center"/>
          </w:tcPr>
          <w:p w14:paraId="341293F4" w14:textId="59535741" w:rsidR="00154271" w:rsidRPr="006D0DD1" w:rsidRDefault="00154271" w:rsidP="0015427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F61DAF">
              <w:rPr>
                <w:rFonts w:ascii="Times New Roman" w:hAnsi="Times New Roman"/>
                <w:sz w:val="14"/>
                <w:szCs w:val="14"/>
              </w:rPr>
              <w:t>Svirčev Z., Baltić V., Gantar M., Juković M., Stojanović D., Baltić M. (2010): Molecular aspects of microcystin induced hepatotoxicity and hepatocarcinogenesis. J Environ Sci Health C Environ Carcinog Ecotoxicol Rev. 28(1): 39–59</w:t>
            </w:r>
          </w:p>
        </w:tc>
      </w:tr>
      <w:tr w:rsidR="00154271" w:rsidRPr="00491993" w14:paraId="11F4A6EA" w14:textId="77777777" w:rsidTr="0043607C">
        <w:trPr>
          <w:trHeight w:val="70"/>
        </w:trPr>
        <w:tc>
          <w:tcPr>
            <w:tcW w:w="1636" w:type="dxa"/>
            <w:gridSpan w:val="2"/>
            <w:vAlign w:val="center"/>
          </w:tcPr>
          <w:p w14:paraId="15EB8461" w14:textId="77777777" w:rsidR="00154271" w:rsidRPr="00F61DAF" w:rsidRDefault="00154271" w:rsidP="0015427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511" w:type="dxa"/>
            <w:gridSpan w:val="13"/>
            <w:shd w:val="clear" w:color="auto" w:fill="auto"/>
            <w:vAlign w:val="center"/>
          </w:tcPr>
          <w:p w14:paraId="074234EA" w14:textId="34575E8C" w:rsidR="00154271" w:rsidRPr="006D0DD1" w:rsidRDefault="00154271" w:rsidP="0015427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F61DAF">
              <w:rPr>
                <w:rFonts w:ascii="Times New Roman" w:hAnsi="Times New Roman"/>
                <w:sz w:val="14"/>
                <w:szCs w:val="14"/>
              </w:rPr>
              <w:t>Svirčev Z., Drobac D., Tokodi N., Vidović M., Simeunović J., Miladinov-Mikov M., Baltić V. (2013): Epidemiology of Primary Liver Cancer in Serbia and Possible Connection with Cyanobacterial Blooms. J Environ Sci Health C Environ Carcinog Ecotoxicol Rev. 31(3): 181-200.</w:t>
            </w:r>
          </w:p>
        </w:tc>
      </w:tr>
      <w:tr w:rsidR="00154271" w:rsidRPr="00491993" w14:paraId="3C86D1C4" w14:textId="77777777" w:rsidTr="0043607C">
        <w:trPr>
          <w:trHeight w:val="70"/>
        </w:trPr>
        <w:tc>
          <w:tcPr>
            <w:tcW w:w="1636" w:type="dxa"/>
            <w:gridSpan w:val="2"/>
            <w:vAlign w:val="center"/>
          </w:tcPr>
          <w:p w14:paraId="71B4116F" w14:textId="77777777" w:rsidR="00154271" w:rsidRPr="00F61DAF" w:rsidRDefault="00154271" w:rsidP="0015427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511" w:type="dxa"/>
            <w:gridSpan w:val="13"/>
            <w:shd w:val="clear" w:color="auto" w:fill="auto"/>
            <w:vAlign w:val="center"/>
          </w:tcPr>
          <w:p w14:paraId="240DB288" w14:textId="6FCA0CF4" w:rsidR="00154271" w:rsidRPr="006D0DD1" w:rsidRDefault="00154271" w:rsidP="0015427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F61DAF">
              <w:rPr>
                <w:rFonts w:ascii="Times New Roman" w:hAnsi="Times New Roman"/>
                <w:sz w:val="14"/>
                <w:szCs w:val="14"/>
              </w:rPr>
              <w:t>Svirčev Z., Lujić J., Marinović Z., Drobac D., Tokodi N., Stojiljković B., Meriluoto J. (2015): Toxicopathology induced by microcystins and nodularin: A histopathological review. J Environ Sci Health C Environ Carcinog Ecotoxicol Rev. 33(2): 125- 167.</w:t>
            </w:r>
          </w:p>
        </w:tc>
      </w:tr>
      <w:tr w:rsidR="00154271" w:rsidRPr="00491993" w14:paraId="7554791C" w14:textId="77777777" w:rsidTr="0043607C">
        <w:trPr>
          <w:trHeight w:val="70"/>
        </w:trPr>
        <w:tc>
          <w:tcPr>
            <w:tcW w:w="1636" w:type="dxa"/>
            <w:gridSpan w:val="2"/>
            <w:vAlign w:val="center"/>
          </w:tcPr>
          <w:p w14:paraId="1B2A1530" w14:textId="77777777" w:rsidR="00154271" w:rsidRPr="00F61DAF" w:rsidRDefault="00154271" w:rsidP="0015427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511" w:type="dxa"/>
            <w:gridSpan w:val="13"/>
            <w:shd w:val="clear" w:color="auto" w:fill="auto"/>
            <w:vAlign w:val="center"/>
          </w:tcPr>
          <w:p w14:paraId="387B82C4" w14:textId="627AC8E7" w:rsidR="00154271" w:rsidRPr="006D0DD1" w:rsidRDefault="00154271" w:rsidP="0015427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154271">
              <w:rPr>
                <w:rFonts w:ascii="Times New Roman" w:hAnsi="Times New Roman"/>
                <w:bCs/>
                <w:sz w:val="14"/>
                <w:szCs w:val="14"/>
                <w:lang w:val="en-US"/>
              </w:rPr>
              <w:t>Svir</w:t>
            </w:r>
            <w:proofErr w:type="spellEnd"/>
            <w:r w:rsidRPr="00154271">
              <w:rPr>
                <w:rFonts w:ascii="Times New Roman" w:hAnsi="Times New Roman"/>
                <w:bCs/>
                <w:sz w:val="14"/>
                <w:szCs w:val="14"/>
                <w:lang w:val="sr-Cyrl-CS"/>
              </w:rPr>
              <w:t>č</w:t>
            </w:r>
            <w:proofErr w:type="spellStart"/>
            <w:r w:rsidRPr="00154271">
              <w:rPr>
                <w:rFonts w:ascii="Times New Roman" w:hAnsi="Times New Roman"/>
                <w:bCs/>
                <w:sz w:val="14"/>
                <w:szCs w:val="14"/>
                <w:lang w:val="en-US"/>
              </w:rPr>
              <w:t>ev</w:t>
            </w:r>
            <w:proofErr w:type="spellEnd"/>
            <w:r w:rsidRPr="00154271">
              <w:rPr>
                <w:rFonts w:ascii="Times New Roman" w:hAnsi="Times New Roman"/>
                <w:bCs/>
                <w:sz w:val="14"/>
                <w:szCs w:val="14"/>
                <w:lang w:val="sr-Cyrl-CS"/>
              </w:rPr>
              <w:t xml:space="preserve"> </w:t>
            </w:r>
            <w:r w:rsidRPr="00154271">
              <w:rPr>
                <w:rFonts w:ascii="Times New Roman" w:hAnsi="Times New Roman"/>
                <w:bCs/>
                <w:sz w:val="14"/>
                <w:szCs w:val="14"/>
                <w:lang w:val="en-US"/>
              </w:rPr>
              <w:t>Z</w:t>
            </w:r>
            <w:r w:rsidRPr="00154271">
              <w:rPr>
                <w:rFonts w:ascii="Times New Roman" w:hAnsi="Times New Roman"/>
                <w:bCs/>
                <w:sz w:val="14"/>
                <w:szCs w:val="14"/>
                <w:lang w:val="sr-Cyrl-CS"/>
              </w:rPr>
              <w:t>.,</w:t>
            </w:r>
            <w:r w:rsidRPr="0015427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  <w:proofErr w:type="spellStart"/>
            <w:r w:rsidRPr="00154271">
              <w:rPr>
                <w:rFonts w:ascii="Times New Roman" w:hAnsi="Times New Roman"/>
                <w:sz w:val="14"/>
                <w:szCs w:val="14"/>
                <w:lang w:val="en-US"/>
              </w:rPr>
              <w:t>Duli</w:t>
            </w:r>
            <w:proofErr w:type="spellEnd"/>
            <w:r w:rsidRPr="0015427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ć </w:t>
            </w:r>
            <w:r w:rsidRPr="00154271">
              <w:rPr>
                <w:rFonts w:ascii="Times New Roman" w:hAnsi="Times New Roman"/>
                <w:sz w:val="14"/>
                <w:szCs w:val="14"/>
                <w:lang w:val="en-US"/>
              </w:rPr>
              <w:t>T</w:t>
            </w:r>
            <w:r w:rsidRPr="0015427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., </w:t>
            </w:r>
            <w:proofErr w:type="spellStart"/>
            <w:r w:rsidRPr="00154271">
              <w:rPr>
                <w:rFonts w:ascii="Times New Roman" w:hAnsi="Times New Roman"/>
                <w:sz w:val="14"/>
                <w:szCs w:val="14"/>
                <w:lang w:val="en-US"/>
              </w:rPr>
              <w:t>Obreht</w:t>
            </w:r>
            <w:proofErr w:type="spellEnd"/>
            <w:r w:rsidRPr="0015427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  <w:r w:rsidRPr="00154271">
              <w:rPr>
                <w:rFonts w:ascii="Times New Roman" w:hAnsi="Times New Roman"/>
                <w:sz w:val="14"/>
                <w:szCs w:val="14"/>
                <w:lang w:val="en-US"/>
              </w:rPr>
              <w:t>I</w:t>
            </w:r>
            <w:r w:rsidRPr="0015427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., </w:t>
            </w:r>
            <w:r w:rsidRPr="00154271">
              <w:rPr>
                <w:rFonts w:ascii="Times New Roman" w:hAnsi="Times New Roman"/>
                <w:sz w:val="14"/>
                <w:szCs w:val="14"/>
                <w:lang w:val="en-US"/>
              </w:rPr>
              <w:t>Codd</w:t>
            </w:r>
            <w:r w:rsidRPr="0015427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  <w:r w:rsidRPr="00154271">
              <w:rPr>
                <w:rFonts w:ascii="Times New Roman" w:hAnsi="Times New Roman"/>
                <w:sz w:val="14"/>
                <w:szCs w:val="14"/>
                <w:lang w:val="en-US"/>
              </w:rPr>
              <w:t>G</w:t>
            </w:r>
            <w:r w:rsidRPr="00154271">
              <w:rPr>
                <w:rFonts w:ascii="Times New Roman" w:hAnsi="Times New Roman"/>
                <w:sz w:val="14"/>
                <w:szCs w:val="14"/>
                <w:lang w:val="sr-Cyrl-CS"/>
              </w:rPr>
              <w:t>.</w:t>
            </w:r>
            <w:r w:rsidRPr="00154271">
              <w:rPr>
                <w:rFonts w:ascii="Times New Roman" w:hAnsi="Times New Roman"/>
                <w:sz w:val="14"/>
                <w:szCs w:val="14"/>
                <w:lang w:val="en-US"/>
              </w:rPr>
              <w:t>A</w:t>
            </w:r>
            <w:r w:rsidRPr="0015427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., </w:t>
            </w:r>
            <w:proofErr w:type="spellStart"/>
            <w:r w:rsidRPr="00154271">
              <w:rPr>
                <w:rFonts w:ascii="Times New Roman" w:hAnsi="Times New Roman"/>
                <w:sz w:val="14"/>
                <w:szCs w:val="14"/>
                <w:lang w:val="en-US"/>
              </w:rPr>
              <w:t>Lehmkuhl</w:t>
            </w:r>
            <w:proofErr w:type="spellEnd"/>
            <w:r w:rsidRPr="0015427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  <w:r w:rsidRPr="00154271">
              <w:rPr>
                <w:rFonts w:ascii="Times New Roman" w:hAnsi="Times New Roman"/>
                <w:sz w:val="14"/>
                <w:szCs w:val="14"/>
                <w:lang w:val="en-US"/>
              </w:rPr>
              <w:t>F</w:t>
            </w:r>
            <w:r w:rsidRPr="0015427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., </w:t>
            </w:r>
            <w:proofErr w:type="spellStart"/>
            <w:r w:rsidRPr="00154271">
              <w:rPr>
                <w:rFonts w:ascii="Times New Roman" w:hAnsi="Times New Roman"/>
                <w:sz w:val="14"/>
                <w:szCs w:val="14"/>
                <w:lang w:val="en-US"/>
              </w:rPr>
              <w:t>Markovi</w:t>
            </w:r>
            <w:proofErr w:type="spellEnd"/>
            <w:r w:rsidRPr="0015427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ć </w:t>
            </w:r>
            <w:r w:rsidRPr="00154271">
              <w:rPr>
                <w:rFonts w:ascii="Times New Roman" w:hAnsi="Times New Roman"/>
                <w:sz w:val="14"/>
                <w:szCs w:val="14"/>
                <w:lang w:val="en-US"/>
              </w:rPr>
              <w:t>S</w:t>
            </w:r>
            <w:r w:rsidRPr="00154271">
              <w:rPr>
                <w:rFonts w:ascii="Times New Roman" w:hAnsi="Times New Roman"/>
                <w:sz w:val="14"/>
                <w:szCs w:val="14"/>
                <w:lang w:val="sr-Cyrl-CS"/>
              </w:rPr>
              <w:t>.</w:t>
            </w:r>
            <w:r w:rsidRPr="00154271">
              <w:rPr>
                <w:rFonts w:ascii="Times New Roman" w:hAnsi="Times New Roman"/>
                <w:sz w:val="14"/>
                <w:szCs w:val="14"/>
                <w:lang w:val="en-US"/>
              </w:rPr>
              <w:t>B</w:t>
            </w:r>
            <w:r w:rsidRPr="0015427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., </w:t>
            </w:r>
            <w:proofErr w:type="spellStart"/>
            <w:r w:rsidRPr="00154271">
              <w:rPr>
                <w:rFonts w:ascii="Times New Roman" w:hAnsi="Times New Roman"/>
                <w:sz w:val="14"/>
                <w:szCs w:val="14"/>
                <w:lang w:val="en-US"/>
              </w:rPr>
              <w:t>Hambach</w:t>
            </w:r>
            <w:proofErr w:type="spellEnd"/>
            <w:r w:rsidRPr="0015427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  <w:r w:rsidRPr="00154271">
              <w:rPr>
                <w:rFonts w:ascii="Times New Roman" w:hAnsi="Times New Roman"/>
                <w:sz w:val="14"/>
                <w:szCs w:val="14"/>
                <w:lang w:val="en-US"/>
              </w:rPr>
              <w:t>U</w:t>
            </w:r>
            <w:r w:rsidRPr="0015427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., </w:t>
            </w:r>
            <w:proofErr w:type="spellStart"/>
            <w:r w:rsidRPr="00154271">
              <w:rPr>
                <w:rFonts w:ascii="Times New Roman" w:hAnsi="Times New Roman"/>
                <w:sz w:val="14"/>
                <w:szCs w:val="14"/>
                <w:lang w:val="en-US"/>
              </w:rPr>
              <w:t>Meriluoto</w:t>
            </w:r>
            <w:proofErr w:type="spellEnd"/>
            <w:r w:rsidRPr="0015427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</w:t>
            </w:r>
            <w:r w:rsidRPr="00154271">
              <w:rPr>
                <w:rFonts w:ascii="Times New Roman" w:hAnsi="Times New Roman"/>
                <w:sz w:val="14"/>
                <w:szCs w:val="14"/>
                <w:lang w:val="en-US"/>
              </w:rPr>
              <w:t>J</w:t>
            </w:r>
            <w:r w:rsidRPr="00154271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. (2019). </w:t>
            </w:r>
            <w:r w:rsidRPr="00154271">
              <w:rPr>
                <w:rFonts w:ascii="Times New Roman" w:hAnsi="Times New Roman"/>
                <w:sz w:val="14"/>
                <w:szCs w:val="14"/>
                <w:lang w:val="en-US"/>
              </w:rPr>
              <w:t>Cyanobacteria and loess—an underestimated interaction. Plant and Soil, 439(1-2):293-308.</w:t>
            </w:r>
          </w:p>
        </w:tc>
      </w:tr>
      <w:tr w:rsidR="00154271" w:rsidRPr="00491993" w14:paraId="7BED531B" w14:textId="77777777" w:rsidTr="0043607C">
        <w:trPr>
          <w:trHeight w:val="70"/>
        </w:trPr>
        <w:tc>
          <w:tcPr>
            <w:tcW w:w="1636" w:type="dxa"/>
            <w:gridSpan w:val="2"/>
            <w:vAlign w:val="center"/>
          </w:tcPr>
          <w:p w14:paraId="44B71431" w14:textId="77777777" w:rsidR="00154271" w:rsidRPr="00F61DAF" w:rsidRDefault="00154271" w:rsidP="0015427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511" w:type="dxa"/>
            <w:gridSpan w:val="13"/>
            <w:shd w:val="clear" w:color="auto" w:fill="auto"/>
            <w:vAlign w:val="center"/>
          </w:tcPr>
          <w:p w14:paraId="3E8E80BB" w14:textId="15F26B8B" w:rsidR="00154271" w:rsidRPr="00154271" w:rsidRDefault="00154271" w:rsidP="0015427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14"/>
                <w:szCs w:val="14"/>
                <w:lang w:val="en-US"/>
              </w:rPr>
            </w:pPr>
            <w:proofErr w:type="spellStart"/>
            <w:r w:rsidRPr="00154271">
              <w:rPr>
                <w:rFonts w:ascii="Times New Roman" w:hAnsi="Times New Roman"/>
                <w:bCs/>
                <w:sz w:val="14"/>
                <w:szCs w:val="14"/>
                <w:lang w:val="en-US"/>
              </w:rPr>
              <w:t>Svirčev</w:t>
            </w:r>
            <w:proofErr w:type="spellEnd"/>
            <w:r w:rsidRPr="00154271">
              <w:rPr>
                <w:rFonts w:ascii="Times New Roman" w:hAnsi="Times New Roman"/>
                <w:bCs/>
                <w:sz w:val="14"/>
                <w:szCs w:val="14"/>
                <w:lang w:val="en-US"/>
              </w:rPr>
              <w:t xml:space="preserve"> Z., </w:t>
            </w:r>
            <w:proofErr w:type="spellStart"/>
            <w:r w:rsidRPr="00154271">
              <w:rPr>
                <w:rFonts w:ascii="Times New Roman" w:hAnsi="Times New Roman"/>
                <w:bCs/>
                <w:sz w:val="14"/>
                <w:szCs w:val="14"/>
                <w:lang w:val="en-US"/>
              </w:rPr>
              <w:t>Lalić</w:t>
            </w:r>
            <w:proofErr w:type="spellEnd"/>
            <w:r w:rsidRPr="00154271">
              <w:rPr>
                <w:rFonts w:ascii="Times New Roman" w:hAnsi="Times New Roman"/>
                <w:bCs/>
                <w:sz w:val="14"/>
                <w:szCs w:val="14"/>
                <w:lang w:val="en-US"/>
              </w:rPr>
              <w:t xml:space="preserve"> D., </w:t>
            </w:r>
            <w:proofErr w:type="spellStart"/>
            <w:r w:rsidRPr="00154271">
              <w:rPr>
                <w:rFonts w:ascii="Times New Roman" w:hAnsi="Times New Roman"/>
                <w:bCs/>
                <w:sz w:val="14"/>
                <w:szCs w:val="14"/>
                <w:lang w:val="en-US"/>
              </w:rPr>
              <w:t>Bojadžija</w:t>
            </w:r>
            <w:proofErr w:type="spellEnd"/>
            <w:r w:rsidRPr="00154271">
              <w:rPr>
                <w:rFonts w:ascii="Times New Roman" w:hAnsi="Times New Roman"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154271">
              <w:rPr>
                <w:rFonts w:ascii="Times New Roman" w:hAnsi="Times New Roman"/>
                <w:bCs/>
                <w:sz w:val="14"/>
                <w:szCs w:val="14"/>
                <w:lang w:val="en-US"/>
              </w:rPr>
              <w:t>Savić</w:t>
            </w:r>
            <w:proofErr w:type="spellEnd"/>
            <w:r w:rsidRPr="00154271">
              <w:rPr>
                <w:rFonts w:ascii="Times New Roman" w:hAnsi="Times New Roman"/>
                <w:bCs/>
                <w:sz w:val="14"/>
                <w:szCs w:val="14"/>
                <w:lang w:val="en-US"/>
              </w:rPr>
              <w:t xml:space="preserve"> G., </w:t>
            </w:r>
            <w:proofErr w:type="spellStart"/>
            <w:r w:rsidRPr="00154271">
              <w:rPr>
                <w:rFonts w:ascii="Times New Roman" w:hAnsi="Times New Roman"/>
                <w:bCs/>
                <w:sz w:val="14"/>
                <w:szCs w:val="14"/>
                <w:lang w:val="en-US"/>
              </w:rPr>
              <w:t>Tokodi</w:t>
            </w:r>
            <w:proofErr w:type="spellEnd"/>
            <w:r w:rsidRPr="00154271">
              <w:rPr>
                <w:rFonts w:ascii="Times New Roman" w:hAnsi="Times New Roman"/>
                <w:bCs/>
                <w:sz w:val="14"/>
                <w:szCs w:val="14"/>
                <w:lang w:val="en-US"/>
              </w:rPr>
              <w:t xml:space="preserve"> N., </w:t>
            </w:r>
            <w:proofErr w:type="spellStart"/>
            <w:r w:rsidRPr="00154271">
              <w:rPr>
                <w:rFonts w:ascii="Times New Roman" w:hAnsi="Times New Roman"/>
                <w:bCs/>
                <w:sz w:val="14"/>
                <w:szCs w:val="14"/>
                <w:lang w:val="en-US"/>
              </w:rPr>
              <w:t>Drobac</w:t>
            </w:r>
            <w:proofErr w:type="spellEnd"/>
            <w:r w:rsidRPr="00154271">
              <w:rPr>
                <w:rFonts w:ascii="Times New Roman" w:hAnsi="Times New Roman"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154271">
              <w:rPr>
                <w:rFonts w:ascii="Times New Roman" w:hAnsi="Times New Roman"/>
                <w:bCs/>
                <w:sz w:val="14"/>
                <w:szCs w:val="14"/>
                <w:lang w:val="en-US"/>
              </w:rPr>
              <w:t>Backović</w:t>
            </w:r>
            <w:proofErr w:type="spellEnd"/>
            <w:r w:rsidRPr="00154271">
              <w:rPr>
                <w:rFonts w:ascii="Times New Roman" w:hAnsi="Times New Roman"/>
                <w:bCs/>
                <w:sz w:val="14"/>
                <w:szCs w:val="14"/>
                <w:lang w:val="en-US"/>
              </w:rPr>
              <w:t xml:space="preserve"> D., Chen L., </w:t>
            </w:r>
            <w:proofErr w:type="spellStart"/>
            <w:r w:rsidRPr="00154271">
              <w:rPr>
                <w:rFonts w:ascii="Times New Roman" w:hAnsi="Times New Roman"/>
                <w:bCs/>
                <w:sz w:val="14"/>
                <w:szCs w:val="14"/>
                <w:lang w:val="en-US"/>
              </w:rPr>
              <w:t>Meriluoto</w:t>
            </w:r>
            <w:proofErr w:type="spellEnd"/>
            <w:r w:rsidRPr="00154271">
              <w:rPr>
                <w:rFonts w:ascii="Times New Roman" w:hAnsi="Times New Roman"/>
                <w:bCs/>
                <w:sz w:val="14"/>
                <w:szCs w:val="14"/>
                <w:lang w:val="en-US"/>
              </w:rPr>
              <w:t xml:space="preserve"> J., Codd G.A. (2019). Global geographical and historical overview of cyanotoxin distribution and cyanobacterial poisonings. Archives of Toxicology, 93:2429–2481</w:t>
            </w:r>
          </w:p>
        </w:tc>
      </w:tr>
      <w:tr w:rsidR="00154271" w:rsidRPr="00491993" w14:paraId="3F76B812" w14:textId="77777777" w:rsidTr="0043607C">
        <w:trPr>
          <w:trHeight w:val="70"/>
        </w:trPr>
        <w:tc>
          <w:tcPr>
            <w:tcW w:w="1636" w:type="dxa"/>
            <w:gridSpan w:val="2"/>
            <w:vAlign w:val="center"/>
          </w:tcPr>
          <w:p w14:paraId="5A9A3675" w14:textId="77777777" w:rsidR="00154271" w:rsidRPr="00F61DAF" w:rsidRDefault="00154271" w:rsidP="0015427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511" w:type="dxa"/>
            <w:gridSpan w:val="13"/>
            <w:shd w:val="clear" w:color="auto" w:fill="auto"/>
            <w:vAlign w:val="center"/>
          </w:tcPr>
          <w:p w14:paraId="692805E3" w14:textId="2DBFC6E7" w:rsidR="00154271" w:rsidRPr="00154271" w:rsidRDefault="00154271" w:rsidP="0015427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14"/>
                <w:szCs w:val="14"/>
                <w:lang w:val="en-US"/>
              </w:rPr>
            </w:pPr>
            <w:proofErr w:type="spellStart"/>
            <w:r w:rsidRPr="00154271">
              <w:rPr>
                <w:rFonts w:ascii="Times New Roman" w:hAnsi="Times New Roman"/>
                <w:bCs/>
                <w:sz w:val="14"/>
                <w:szCs w:val="14"/>
                <w:lang w:val="en-US"/>
              </w:rPr>
              <w:t>Svirčev</w:t>
            </w:r>
            <w:proofErr w:type="spellEnd"/>
            <w:r w:rsidRPr="00154271">
              <w:rPr>
                <w:rFonts w:ascii="Times New Roman" w:hAnsi="Times New Roman"/>
                <w:bCs/>
                <w:sz w:val="14"/>
                <w:szCs w:val="14"/>
                <w:lang w:val="en-US"/>
              </w:rPr>
              <w:t xml:space="preserve"> Z., Chen L., </w:t>
            </w:r>
            <w:proofErr w:type="spellStart"/>
            <w:r w:rsidRPr="00154271">
              <w:rPr>
                <w:rFonts w:ascii="Times New Roman" w:hAnsi="Times New Roman"/>
                <w:bCs/>
                <w:sz w:val="14"/>
                <w:szCs w:val="14"/>
                <w:lang w:val="en-US"/>
              </w:rPr>
              <w:t>Sántha</w:t>
            </w:r>
            <w:proofErr w:type="spellEnd"/>
            <w:r w:rsidRPr="00154271">
              <w:rPr>
                <w:rFonts w:ascii="Times New Roman" w:hAnsi="Times New Roman"/>
                <w:bCs/>
                <w:sz w:val="14"/>
                <w:szCs w:val="14"/>
                <w:lang w:val="en-US"/>
              </w:rPr>
              <w:t xml:space="preserve"> K., </w:t>
            </w:r>
            <w:proofErr w:type="spellStart"/>
            <w:r w:rsidRPr="00154271">
              <w:rPr>
                <w:rFonts w:ascii="Times New Roman" w:hAnsi="Times New Roman"/>
                <w:bCs/>
                <w:sz w:val="14"/>
                <w:szCs w:val="14"/>
                <w:lang w:val="en-US"/>
              </w:rPr>
              <w:t>Drobac</w:t>
            </w:r>
            <w:proofErr w:type="spellEnd"/>
            <w:r w:rsidRPr="00154271">
              <w:rPr>
                <w:rFonts w:ascii="Times New Roman" w:hAnsi="Times New Roman"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154271">
              <w:rPr>
                <w:rFonts w:ascii="Times New Roman" w:hAnsi="Times New Roman"/>
                <w:bCs/>
                <w:sz w:val="14"/>
                <w:szCs w:val="14"/>
                <w:lang w:val="en-US"/>
              </w:rPr>
              <w:t>Backović</w:t>
            </w:r>
            <w:proofErr w:type="spellEnd"/>
            <w:r w:rsidRPr="00154271">
              <w:rPr>
                <w:rFonts w:ascii="Times New Roman" w:hAnsi="Times New Roman"/>
                <w:bCs/>
                <w:sz w:val="14"/>
                <w:szCs w:val="14"/>
                <w:lang w:val="en-US"/>
              </w:rPr>
              <w:t xml:space="preserve"> D., </w:t>
            </w:r>
            <w:proofErr w:type="spellStart"/>
            <w:r w:rsidRPr="00154271">
              <w:rPr>
                <w:rFonts w:ascii="Times New Roman" w:hAnsi="Times New Roman"/>
                <w:bCs/>
                <w:sz w:val="14"/>
                <w:szCs w:val="14"/>
                <w:lang w:val="en-US"/>
              </w:rPr>
              <w:t>Šušak</w:t>
            </w:r>
            <w:proofErr w:type="spellEnd"/>
            <w:r w:rsidRPr="00154271">
              <w:rPr>
                <w:rFonts w:ascii="Times New Roman" w:hAnsi="Times New Roman"/>
                <w:bCs/>
                <w:sz w:val="14"/>
                <w:szCs w:val="14"/>
                <w:lang w:val="en-US"/>
              </w:rPr>
              <w:t xml:space="preserve"> S., Vulin A., </w:t>
            </w:r>
            <w:proofErr w:type="spellStart"/>
            <w:r w:rsidRPr="00154271">
              <w:rPr>
                <w:rFonts w:ascii="Times New Roman" w:hAnsi="Times New Roman"/>
                <w:bCs/>
                <w:sz w:val="14"/>
                <w:szCs w:val="14"/>
                <w:lang w:val="en-US"/>
              </w:rPr>
              <w:t>Palanački</w:t>
            </w:r>
            <w:proofErr w:type="spellEnd"/>
            <w:r w:rsidRPr="00154271">
              <w:rPr>
                <w:rFonts w:ascii="Times New Roman" w:hAnsi="Times New Roman"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154271">
              <w:rPr>
                <w:rFonts w:ascii="Times New Roman" w:hAnsi="Times New Roman"/>
                <w:bCs/>
                <w:sz w:val="14"/>
                <w:szCs w:val="14"/>
                <w:lang w:val="en-US"/>
              </w:rPr>
              <w:t>Malešević</w:t>
            </w:r>
            <w:proofErr w:type="spellEnd"/>
            <w:r w:rsidRPr="00154271">
              <w:rPr>
                <w:rFonts w:ascii="Times New Roman" w:hAnsi="Times New Roman"/>
                <w:bCs/>
                <w:sz w:val="14"/>
                <w:szCs w:val="14"/>
                <w:lang w:val="en-US"/>
              </w:rPr>
              <w:t xml:space="preserve"> T., Codd G.A., </w:t>
            </w:r>
            <w:proofErr w:type="spellStart"/>
            <w:r w:rsidRPr="00154271">
              <w:rPr>
                <w:rFonts w:ascii="Times New Roman" w:hAnsi="Times New Roman"/>
                <w:bCs/>
                <w:sz w:val="14"/>
                <w:szCs w:val="14"/>
                <w:lang w:val="en-US"/>
              </w:rPr>
              <w:t>Meriluoto</w:t>
            </w:r>
            <w:proofErr w:type="spellEnd"/>
            <w:r w:rsidRPr="00154271">
              <w:rPr>
                <w:rFonts w:ascii="Times New Roman" w:hAnsi="Times New Roman"/>
                <w:bCs/>
                <w:sz w:val="14"/>
                <w:szCs w:val="14"/>
                <w:lang w:val="en-US"/>
              </w:rPr>
              <w:t xml:space="preserve"> J. (2022): A review and assessment of cyanobacterial toxins as cardiovascular health hazards. Archives of Toxicology, 96:2829–2863.</w:t>
            </w:r>
          </w:p>
        </w:tc>
      </w:tr>
      <w:tr w:rsidR="00154271" w:rsidRPr="00491993" w14:paraId="00D12C54" w14:textId="77777777" w:rsidTr="0043607C">
        <w:trPr>
          <w:trHeight w:val="70"/>
        </w:trPr>
        <w:tc>
          <w:tcPr>
            <w:tcW w:w="10147" w:type="dxa"/>
            <w:gridSpan w:val="15"/>
            <w:vAlign w:val="center"/>
          </w:tcPr>
          <w:p w14:paraId="488065E0" w14:textId="77777777" w:rsidR="00154271" w:rsidRPr="00491993" w:rsidRDefault="00154271" w:rsidP="0015427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154271" w:rsidRPr="00491993" w14:paraId="52BA27CF" w14:textId="77777777" w:rsidTr="0043607C">
        <w:trPr>
          <w:trHeight w:val="70"/>
        </w:trPr>
        <w:tc>
          <w:tcPr>
            <w:tcW w:w="4172" w:type="dxa"/>
            <w:gridSpan w:val="7"/>
            <w:vAlign w:val="center"/>
          </w:tcPr>
          <w:p w14:paraId="739E3FD8" w14:textId="77777777" w:rsidR="00154271" w:rsidRPr="00491993" w:rsidRDefault="00154271" w:rsidP="0015427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975" w:type="dxa"/>
            <w:gridSpan w:val="8"/>
            <w:vAlign w:val="center"/>
          </w:tcPr>
          <w:p w14:paraId="19043D8E" w14:textId="6FC51E83" w:rsidR="00154271" w:rsidRPr="006E3D09" w:rsidRDefault="00154271" w:rsidP="0015427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5A63E4">
              <w:rPr>
                <w:rFonts w:ascii="Times New Roman" w:hAnsi="Times New Roman"/>
                <w:sz w:val="20"/>
                <w:szCs w:val="20"/>
                <w:lang w:val="sr-Latn-RS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31 (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Scopus)</w:t>
            </w:r>
          </w:p>
        </w:tc>
      </w:tr>
      <w:tr w:rsidR="00154271" w:rsidRPr="00491993" w14:paraId="7E141A0C" w14:textId="77777777" w:rsidTr="0043607C">
        <w:trPr>
          <w:trHeight w:val="70"/>
        </w:trPr>
        <w:tc>
          <w:tcPr>
            <w:tcW w:w="4172" w:type="dxa"/>
            <w:gridSpan w:val="7"/>
            <w:vAlign w:val="center"/>
          </w:tcPr>
          <w:p w14:paraId="4A960505" w14:textId="77777777" w:rsidR="00154271" w:rsidRPr="00491993" w:rsidRDefault="00154271" w:rsidP="0015427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975" w:type="dxa"/>
            <w:gridSpan w:val="8"/>
            <w:vAlign w:val="center"/>
          </w:tcPr>
          <w:p w14:paraId="784B5BF7" w14:textId="376713C1" w:rsidR="00154271" w:rsidRPr="005A63E4" w:rsidRDefault="005A63E4" w:rsidP="0015427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73</w:t>
            </w:r>
          </w:p>
        </w:tc>
      </w:tr>
      <w:tr w:rsidR="00154271" w:rsidRPr="00491993" w14:paraId="4A44E32B" w14:textId="77777777" w:rsidTr="0043607C">
        <w:trPr>
          <w:trHeight w:val="70"/>
        </w:trPr>
        <w:tc>
          <w:tcPr>
            <w:tcW w:w="4172" w:type="dxa"/>
            <w:gridSpan w:val="7"/>
            <w:vAlign w:val="center"/>
          </w:tcPr>
          <w:p w14:paraId="6438405C" w14:textId="77777777" w:rsidR="00154271" w:rsidRPr="00491993" w:rsidRDefault="00154271" w:rsidP="0015427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27" w:type="dxa"/>
            <w:gridSpan w:val="4"/>
            <w:vAlign w:val="center"/>
          </w:tcPr>
          <w:p w14:paraId="5D09E8F4" w14:textId="78429C24" w:rsidR="00154271" w:rsidRPr="003F11C8" w:rsidRDefault="00154271" w:rsidP="0015427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: </w:t>
            </w:r>
            <w:r w:rsidRPr="00F61DAF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4348" w:type="dxa"/>
            <w:gridSpan w:val="4"/>
            <w:vAlign w:val="center"/>
          </w:tcPr>
          <w:p w14:paraId="603AC92E" w14:textId="07F5B58D" w:rsidR="00154271" w:rsidRPr="00491993" w:rsidRDefault="00154271" w:rsidP="0015427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: 2</w:t>
            </w:r>
          </w:p>
        </w:tc>
      </w:tr>
      <w:tr w:rsidR="00154271" w:rsidRPr="00491993" w14:paraId="3B4E6AEC" w14:textId="77777777" w:rsidTr="0043607C">
        <w:trPr>
          <w:trHeight w:val="125"/>
        </w:trPr>
        <w:tc>
          <w:tcPr>
            <w:tcW w:w="2248" w:type="dxa"/>
            <w:gridSpan w:val="4"/>
            <w:vAlign w:val="center"/>
          </w:tcPr>
          <w:p w14:paraId="4FCBD351" w14:textId="77777777" w:rsidR="00154271" w:rsidRPr="00491993" w:rsidRDefault="00154271" w:rsidP="0015427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99" w:type="dxa"/>
            <w:gridSpan w:val="11"/>
            <w:vAlign w:val="center"/>
          </w:tcPr>
          <w:p w14:paraId="5976BD71" w14:textId="14818DE2" w:rsidR="00154271" w:rsidRPr="00F61DAF" w:rsidRDefault="00154271" w:rsidP="0015427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F61DAF">
              <w:rPr>
                <w:rFonts w:ascii="Times New Roman" w:eastAsia="Cambria" w:hAnsi="Times New Roman"/>
                <w:sz w:val="18"/>
                <w:szCs w:val="18"/>
                <w:lang w:eastAsia="sr-Latn-CS"/>
              </w:rPr>
              <w:t>стипендија Британског Савета (11 месеци) на пројекту Nitrogen-fixing cyanobacteria in temperate climates and their potential use as biofertilizers. Универзитет у Дандију, Шкотска: 1991-1992.</w:t>
            </w:r>
          </w:p>
        </w:tc>
      </w:tr>
      <w:tr w:rsidR="00154271" w:rsidRPr="00491993" w14:paraId="2E08D50F" w14:textId="77777777" w:rsidTr="0043607C">
        <w:trPr>
          <w:trHeight w:val="70"/>
        </w:trPr>
        <w:tc>
          <w:tcPr>
            <w:tcW w:w="10147" w:type="dxa"/>
            <w:gridSpan w:val="15"/>
            <w:vAlign w:val="center"/>
          </w:tcPr>
          <w:p w14:paraId="07560D81" w14:textId="77777777" w:rsidR="00154271" w:rsidRDefault="00154271" w:rsidP="0015427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  <w:p w14:paraId="0C97AA0D" w14:textId="4D7096F0" w:rsidR="00154271" w:rsidRPr="009E303F" w:rsidRDefault="00154271" w:rsidP="0015427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F61DAF">
              <w:rPr>
                <w:rFonts w:ascii="Times New Roman" w:hAnsi="Times New Roman"/>
                <w:sz w:val="16"/>
                <w:szCs w:val="16"/>
              </w:rPr>
              <w:t xml:space="preserve">- освојена прва награда на такмичењу Светске банке за најбољу идеју из области климатских адаптација (Development Marketplace) у Вашингтону, 2009. године; </w:t>
            </w:r>
            <w:r>
              <w:rPr>
                <w:rFonts w:ascii="Times New Roman" w:hAnsi="Times New Roman"/>
                <w:sz w:val="16"/>
                <w:szCs w:val="16"/>
              </w:rPr>
              <w:t>финалиста светског такмичења за најбољу идеју будућности (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Serendipity</w:t>
            </w:r>
            <w:r w:rsidRPr="009E303F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Collective</w:t>
            </w:r>
            <w:r>
              <w:rPr>
                <w:rFonts w:ascii="Times New Roman" w:hAnsi="Times New Roman"/>
                <w:sz w:val="16"/>
                <w:szCs w:val="16"/>
              </w:rPr>
              <w:t>) у Берлину 2023.године;</w:t>
            </w:r>
            <w:r w:rsidRPr="009E303F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</w:t>
            </w:r>
          </w:p>
          <w:p w14:paraId="4E1718E5" w14:textId="77777777" w:rsidR="00154271" w:rsidRPr="00F61DAF" w:rsidRDefault="00154271" w:rsidP="0015427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F61DAF">
              <w:rPr>
                <w:rFonts w:ascii="Times New Roman" w:hAnsi="Times New Roman"/>
                <w:sz w:val="16"/>
                <w:szCs w:val="16"/>
              </w:rPr>
              <w:t xml:space="preserve">- руководилац лабораторије за палеоеколошку реконструкцију LAPER (од 2009); </w:t>
            </w:r>
          </w:p>
          <w:p w14:paraId="43C7F4E9" w14:textId="77777777" w:rsidR="00154271" w:rsidRPr="00F61DAF" w:rsidRDefault="00154271" w:rsidP="0015427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F61DAF">
              <w:rPr>
                <w:rFonts w:ascii="Times New Roman" w:hAnsi="Times New Roman"/>
                <w:sz w:val="16"/>
                <w:szCs w:val="16"/>
              </w:rPr>
              <w:t xml:space="preserve">- Панел експерт-рецензент у поцедури евалуације, селекције и прихватања COST акција (2015 - ); </w:t>
            </w:r>
          </w:p>
          <w:p w14:paraId="4A68B587" w14:textId="6722F96F" w:rsidR="00154271" w:rsidRPr="00F61DAF" w:rsidRDefault="00154271" w:rsidP="0015427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F61DAF">
              <w:rPr>
                <w:rFonts w:ascii="Times New Roman" w:hAnsi="Times New Roman"/>
                <w:sz w:val="16"/>
                <w:szCs w:val="16"/>
              </w:rPr>
              <w:t>- доцент на биохемији, Faculty of Science and Engineering, Abo Akademi University Turku, Finland (2015- ).</w:t>
            </w:r>
          </w:p>
        </w:tc>
      </w:tr>
    </w:tbl>
    <w:p w14:paraId="4143C886" w14:textId="77777777" w:rsidR="00543458" w:rsidRDefault="00543458" w:rsidP="006E3D09">
      <w:pPr>
        <w:tabs>
          <w:tab w:val="left" w:pos="567"/>
        </w:tabs>
        <w:spacing w:after="60"/>
        <w:jc w:val="both"/>
      </w:pPr>
    </w:p>
    <w:sectPr w:rsidR="00543458" w:rsidSect="003470E6">
      <w:pgSz w:w="12240" w:h="15840"/>
      <w:pgMar w:top="567" w:right="720" w:bottom="14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3239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07C"/>
    <w:rsid w:val="00031DC8"/>
    <w:rsid w:val="00154271"/>
    <w:rsid w:val="001D4A05"/>
    <w:rsid w:val="00213C2D"/>
    <w:rsid w:val="0034265C"/>
    <w:rsid w:val="003470E6"/>
    <w:rsid w:val="003E3CF0"/>
    <w:rsid w:val="003F11C8"/>
    <w:rsid w:val="0043607C"/>
    <w:rsid w:val="004C5B63"/>
    <w:rsid w:val="00543458"/>
    <w:rsid w:val="00573C46"/>
    <w:rsid w:val="005A63E4"/>
    <w:rsid w:val="006236D7"/>
    <w:rsid w:val="006D0DD1"/>
    <w:rsid w:val="006E3D09"/>
    <w:rsid w:val="007173C1"/>
    <w:rsid w:val="007F337E"/>
    <w:rsid w:val="008C10E2"/>
    <w:rsid w:val="009E303F"/>
    <w:rsid w:val="00A073E0"/>
    <w:rsid w:val="00BD4103"/>
    <w:rsid w:val="00BF12D0"/>
    <w:rsid w:val="00CD7777"/>
    <w:rsid w:val="00DD0689"/>
    <w:rsid w:val="00DF1AA1"/>
    <w:rsid w:val="00E117B0"/>
    <w:rsid w:val="00E14461"/>
    <w:rsid w:val="00F61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3B776"/>
  <w15:chartTrackingRefBased/>
  <w15:docId w15:val="{825F0017-0A10-4092-8DDC-60B273E10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07C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44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461"/>
    <w:rPr>
      <w:rFonts w:ascii="Segoe UI" w:eastAsia="Calibri" w:hAnsi="Segoe UI" w:cs="Segoe UI"/>
      <w:sz w:val="18"/>
      <w:szCs w:val="18"/>
      <w:lang w:val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573C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73C4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73C46"/>
    <w:rPr>
      <w:rFonts w:ascii="Calibri" w:eastAsia="Calibri" w:hAnsi="Calibri" w:cs="Times New Roman"/>
      <w:sz w:val="20"/>
      <w:szCs w:val="20"/>
      <w:lang w:val="sr-Cyrl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3C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3C46"/>
    <w:rPr>
      <w:rFonts w:ascii="Calibri" w:eastAsia="Calibri" w:hAnsi="Calibri" w:cs="Times New Roman"/>
      <w:b/>
      <w:bCs/>
      <w:sz w:val="20"/>
      <w:szCs w:val="20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Zupanec</dc:creator>
  <cp:keywords/>
  <dc:description/>
  <cp:lastModifiedBy>Tamara</cp:lastModifiedBy>
  <cp:revision>6</cp:revision>
  <cp:lastPrinted>2022-03-01T18:27:00Z</cp:lastPrinted>
  <dcterms:created xsi:type="dcterms:W3CDTF">2023-07-11T15:24:00Z</dcterms:created>
  <dcterms:modified xsi:type="dcterms:W3CDTF">2023-07-12T08:39:00Z</dcterms:modified>
</cp:coreProperties>
</file>