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841"/>
        <w:gridCol w:w="477"/>
        <w:gridCol w:w="1505"/>
        <w:gridCol w:w="2759"/>
        <w:gridCol w:w="247"/>
        <w:gridCol w:w="1271"/>
        <w:gridCol w:w="1762"/>
        <w:gridCol w:w="827"/>
      </w:tblGrid>
      <w:tr w:rsidR="000F50BB" w:rsidRPr="00B9648A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339" w:type="pct"/>
            <w:gridSpan w:val="5"/>
            <w:vAlign w:val="center"/>
          </w:tcPr>
          <w:p w:rsidR="000F50BB" w:rsidRPr="003B37CB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Тамара</w:t>
            </w:r>
            <w:r>
              <w:rPr>
                <w:sz w:val="16"/>
                <w:szCs w:val="16"/>
                <w:lang/>
              </w:rPr>
              <w:t xml:space="preserve"> С.</w:t>
            </w:r>
            <w:r w:rsidRPr="00534D9B">
              <w:rPr>
                <w:sz w:val="16"/>
                <w:szCs w:val="16"/>
              </w:rPr>
              <w:t xml:space="preserve"> Јовановић</w:t>
            </w:r>
          </w:p>
        </w:tc>
      </w:tr>
      <w:tr w:rsidR="000F50BB" w:rsidRPr="00B9648A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339" w:type="pct"/>
            <w:gridSpan w:val="5"/>
            <w:vAlign w:val="center"/>
          </w:tcPr>
          <w:p w:rsidR="000F50BB" w:rsidRPr="003B37CB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/>
              </w:rPr>
              <w:t>Ванредни</w:t>
            </w:r>
            <w:r w:rsidR="000F50BB" w:rsidRPr="003B37CB">
              <w:rPr>
                <w:sz w:val="16"/>
                <w:szCs w:val="16"/>
              </w:rPr>
              <w:t xml:space="preserve"> професор</w:t>
            </w:r>
          </w:p>
        </w:tc>
      </w:tr>
      <w:tr w:rsidR="000F50BB" w:rsidRPr="00B9648A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339" w:type="pct"/>
            <w:gridSpan w:val="5"/>
            <w:vAlign w:val="center"/>
          </w:tcPr>
          <w:p w:rsidR="000F50BB" w:rsidRPr="003B37CB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</w:tr>
      <w:tr w:rsidR="001F4870" w:rsidRPr="00B9648A" w:rsidTr="00534D9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732" w:type="pct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342" w:type="pct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738" w:type="pct"/>
            <w:gridSpan w:val="2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259" w:type="pct"/>
            <w:gridSpan w:val="2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0F50BB" w:rsidRPr="00B9648A" w:rsidTr="00534D9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732" w:type="pct"/>
            <w:vAlign w:val="center"/>
          </w:tcPr>
          <w:p w:rsidR="000F50BB" w:rsidRPr="009C6DB6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  <w:lang/>
              </w:rPr>
              <w:t>20</w:t>
            </w:r>
            <w:r w:rsidR="000F50BB" w:rsidRPr="009C6DB6">
              <w:rPr>
                <w:sz w:val="16"/>
                <w:szCs w:val="16"/>
              </w:rPr>
              <w:t>.</w:t>
            </w:r>
          </w:p>
        </w:tc>
        <w:tc>
          <w:tcPr>
            <w:tcW w:w="1342" w:type="pct"/>
            <w:vAlign w:val="center"/>
          </w:tcPr>
          <w:p w:rsidR="000F50BB" w:rsidRPr="00B9648A" w:rsidRDefault="000F50BB" w:rsidP="00911E8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738" w:type="pct"/>
            <w:gridSpan w:val="2"/>
            <w:shd w:val="clear" w:color="auto" w:fill="auto"/>
            <w:vAlign w:val="center"/>
          </w:tcPr>
          <w:p w:rsidR="000F50BB" w:rsidRPr="000B1BE0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  <w:tc>
          <w:tcPr>
            <w:tcW w:w="1259" w:type="pct"/>
            <w:gridSpan w:val="2"/>
            <w:shd w:val="clear" w:color="auto" w:fill="auto"/>
            <w:vAlign w:val="center"/>
          </w:tcPr>
          <w:p w:rsidR="000F50BB" w:rsidRPr="009C6DB6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</w:tr>
      <w:tr w:rsidR="00534D9B" w:rsidRPr="00B9648A" w:rsidTr="00534D9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534D9B" w:rsidRPr="00B9648A" w:rsidRDefault="00534D9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732" w:type="pct"/>
            <w:vAlign w:val="center"/>
          </w:tcPr>
          <w:p w:rsidR="00534D9B" w:rsidRPr="00534D9B" w:rsidRDefault="00534D9B" w:rsidP="00FD6BC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34D9B">
              <w:rPr>
                <w:sz w:val="16"/>
                <w:szCs w:val="16"/>
                <w:lang w:val="sr-Cyrl-CS"/>
              </w:rPr>
              <w:t>2014.</w:t>
            </w:r>
          </w:p>
        </w:tc>
        <w:tc>
          <w:tcPr>
            <w:tcW w:w="1342" w:type="pct"/>
            <w:vAlign w:val="center"/>
          </w:tcPr>
          <w:p w:rsidR="00534D9B" w:rsidRPr="00B9648A" w:rsidRDefault="00534D9B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ru-RU"/>
              </w:rPr>
              <w:t>Филозофски факултет</w:t>
            </w:r>
            <w:r>
              <w:rPr>
                <w:sz w:val="16"/>
                <w:szCs w:val="16"/>
              </w:rPr>
              <w:t>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738" w:type="pct"/>
            <w:gridSpan w:val="2"/>
            <w:shd w:val="clear" w:color="auto" w:fill="auto"/>
            <w:vAlign w:val="center"/>
          </w:tcPr>
          <w:p w:rsidR="00534D9B" w:rsidRPr="000B1BE0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  <w:tc>
          <w:tcPr>
            <w:tcW w:w="1259" w:type="pct"/>
            <w:gridSpan w:val="2"/>
            <w:shd w:val="clear" w:color="auto" w:fill="auto"/>
            <w:vAlign w:val="center"/>
          </w:tcPr>
          <w:p w:rsidR="00534D9B" w:rsidRPr="00534D9B" w:rsidRDefault="00534D9B" w:rsidP="00DE1780">
            <w:pPr>
              <w:tabs>
                <w:tab w:val="left" w:pos="567"/>
              </w:tabs>
              <w:rPr>
                <w:sz w:val="16"/>
                <w:szCs w:val="16"/>
                <w:lang/>
              </w:rPr>
            </w:pPr>
            <w:r w:rsidRPr="00534D9B">
              <w:rPr>
                <w:sz w:val="16"/>
                <w:szCs w:val="16"/>
                <w:lang/>
              </w:rPr>
              <w:t>Психолошке науке</w:t>
            </w:r>
          </w:p>
        </w:tc>
      </w:tr>
      <w:tr w:rsidR="00534D9B" w:rsidRPr="00B9648A" w:rsidTr="00534D9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534D9B" w:rsidRPr="00B9648A" w:rsidRDefault="00534D9B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732" w:type="pct"/>
            <w:vAlign w:val="center"/>
          </w:tcPr>
          <w:p w:rsidR="00534D9B" w:rsidRPr="00534D9B" w:rsidRDefault="00534D9B" w:rsidP="00FD6BC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34D9B">
              <w:rPr>
                <w:sz w:val="16"/>
                <w:szCs w:val="16"/>
                <w:lang w:val="sr-Cyrl-CS"/>
              </w:rPr>
              <w:t>2008.</w:t>
            </w:r>
          </w:p>
        </w:tc>
        <w:tc>
          <w:tcPr>
            <w:tcW w:w="1342" w:type="pct"/>
            <w:vAlign w:val="center"/>
          </w:tcPr>
          <w:p w:rsidR="00534D9B" w:rsidRPr="00B9648A" w:rsidRDefault="00534D9B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34D9B">
              <w:rPr>
                <w:sz w:val="16"/>
                <w:szCs w:val="16"/>
                <w:lang w:val="ru-RU"/>
              </w:rPr>
              <w:t>Филозофски факултет, Нови Сад</w:t>
            </w:r>
          </w:p>
        </w:tc>
        <w:tc>
          <w:tcPr>
            <w:tcW w:w="738" w:type="pct"/>
            <w:gridSpan w:val="2"/>
            <w:shd w:val="clear" w:color="auto" w:fill="auto"/>
            <w:vAlign w:val="center"/>
          </w:tcPr>
          <w:p w:rsidR="00534D9B" w:rsidRPr="000B1BE0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  <w:tc>
          <w:tcPr>
            <w:tcW w:w="1259" w:type="pct"/>
            <w:gridSpan w:val="2"/>
            <w:shd w:val="clear" w:color="auto" w:fill="auto"/>
            <w:vAlign w:val="center"/>
          </w:tcPr>
          <w:p w:rsidR="00534D9B" w:rsidRPr="009C6DB6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</w:tr>
      <w:tr w:rsidR="00534D9B" w:rsidRPr="00B9648A" w:rsidTr="00534D9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534D9B" w:rsidRPr="00B9648A" w:rsidRDefault="00534D9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732" w:type="pct"/>
            <w:vAlign w:val="center"/>
          </w:tcPr>
          <w:p w:rsidR="00534D9B" w:rsidRPr="00534D9B" w:rsidRDefault="00534D9B" w:rsidP="00FD6BC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34D9B">
              <w:rPr>
                <w:sz w:val="16"/>
                <w:szCs w:val="16"/>
                <w:lang w:val="sr-Cyrl-CS"/>
              </w:rPr>
              <w:t>2007.</w:t>
            </w:r>
          </w:p>
        </w:tc>
        <w:tc>
          <w:tcPr>
            <w:tcW w:w="1342" w:type="pct"/>
            <w:vAlign w:val="center"/>
          </w:tcPr>
          <w:p w:rsidR="00534D9B" w:rsidRPr="00B9648A" w:rsidRDefault="00534D9B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34D9B">
              <w:rPr>
                <w:sz w:val="16"/>
                <w:szCs w:val="16"/>
                <w:lang w:val="ru-RU"/>
              </w:rPr>
              <w:t>Филозофски факултет, Нови Сад</w:t>
            </w:r>
          </w:p>
        </w:tc>
        <w:tc>
          <w:tcPr>
            <w:tcW w:w="738" w:type="pct"/>
            <w:gridSpan w:val="2"/>
            <w:shd w:val="clear" w:color="auto" w:fill="auto"/>
            <w:vAlign w:val="center"/>
          </w:tcPr>
          <w:p w:rsidR="00534D9B" w:rsidRPr="000B1BE0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  <w:tc>
          <w:tcPr>
            <w:tcW w:w="1259" w:type="pct"/>
            <w:gridSpan w:val="2"/>
            <w:shd w:val="clear" w:color="auto" w:fill="auto"/>
            <w:vAlign w:val="center"/>
          </w:tcPr>
          <w:p w:rsidR="00534D9B" w:rsidRPr="009C6DB6" w:rsidRDefault="00534D9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>Психолошке науке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B9648A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641D9C" w:rsidRPr="00B9648A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4303" w:type="pct"/>
            <w:gridSpan w:val="7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534D9B" w:rsidRPr="00B9648A" w:rsidTr="00171FF8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534D9B" w:rsidRPr="00B9648A" w:rsidRDefault="00534D9B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1.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534D9B" w:rsidRPr="00534D9B" w:rsidRDefault="00534D9B" w:rsidP="00FD6BC2">
            <w:pPr>
              <w:rPr>
                <w:sz w:val="16"/>
                <w:szCs w:val="16"/>
                <w:lang w:val="sr-Cyrl-CS"/>
              </w:rPr>
            </w:pPr>
            <w:r w:rsidRPr="00534D9B">
              <w:rPr>
                <w:sz w:val="16"/>
                <w:szCs w:val="16"/>
                <w:lang w:val="sr-Cyrl-CS"/>
              </w:rPr>
              <w:t>ДТ129</w:t>
            </w:r>
          </w:p>
        </w:tc>
        <w:tc>
          <w:tcPr>
            <w:tcW w:w="4303" w:type="pct"/>
            <w:gridSpan w:val="7"/>
            <w:vAlign w:val="center"/>
          </w:tcPr>
          <w:p w:rsidR="00534D9B" w:rsidRPr="00534D9B" w:rsidRDefault="00534D9B" w:rsidP="00FD6BC2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534D9B">
              <w:rPr>
                <w:sz w:val="16"/>
                <w:szCs w:val="16"/>
                <w:lang w:val="en-US"/>
              </w:rPr>
              <w:t>Руковођење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мотивација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 у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туризму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хотелијерству</w:t>
            </w:r>
            <w:proofErr w:type="spellEnd"/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B9648A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jc w:val="both"/>
              <w:rPr>
                <w:b/>
                <w:sz w:val="16"/>
                <w:szCs w:val="16"/>
              </w:rPr>
            </w:pPr>
            <w:r w:rsidRPr="00534D9B">
              <w:rPr>
                <w:b/>
                <w:sz w:val="16"/>
                <w:szCs w:val="16"/>
              </w:rPr>
              <w:t>Jovanović, T.</w:t>
            </w:r>
            <w:r w:rsidRPr="00534D9B">
              <w:rPr>
                <w:sz w:val="16"/>
                <w:szCs w:val="16"/>
              </w:rPr>
              <w:t>, Filipović   Đurđević, D. i Milin, P. (2008). Kognitivna obrada alomorfije u</w:t>
            </w:r>
            <w:r w:rsidRPr="00534D9B">
              <w:rPr>
                <w:i/>
                <w:sz w:val="16"/>
                <w:szCs w:val="16"/>
              </w:rPr>
              <w:t xml:space="preserve"> </w:t>
            </w:r>
            <w:r w:rsidRPr="00534D9B">
              <w:rPr>
                <w:sz w:val="16"/>
                <w:szCs w:val="16"/>
              </w:rPr>
              <w:t>srpskom jeziku.</w:t>
            </w:r>
            <w:r w:rsidRPr="00534D9B">
              <w:rPr>
                <w:i/>
                <w:sz w:val="16"/>
                <w:szCs w:val="16"/>
              </w:rPr>
              <w:t xml:space="preserve"> </w:t>
            </w:r>
            <w:r w:rsidRPr="00534D9B">
              <w:rPr>
                <w:i/>
                <w:iCs/>
                <w:sz w:val="16"/>
                <w:szCs w:val="16"/>
              </w:rPr>
              <w:t>Psihologija</w:t>
            </w:r>
            <w:r w:rsidRPr="00534D9B">
              <w:rPr>
                <w:i/>
                <w:sz w:val="16"/>
                <w:szCs w:val="16"/>
              </w:rPr>
              <w:t xml:space="preserve">, 41, </w:t>
            </w:r>
            <w:r w:rsidRPr="00534D9B">
              <w:rPr>
                <w:sz w:val="16"/>
                <w:szCs w:val="16"/>
              </w:rPr>
              <w:t>1, 69–86.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3D6823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</w:rPr>
              <w:t>М2</w:t>
            </w:r>
            <w:r>
              <w:rPr>
                <w:sz w:val="16"/>
                <w:szCs w:val="16"/>
                <w:lang/>
              </w:rPr>
              <w:t>3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ind w:left="-14" w:firstLine="5"/>
              <w:jc w:val="both"/>
              <w:rPr>
                <w:iCs/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 xml:space="preserve">Vejnović, D. &amp; </w:t>
            </w:r>
            <w:r w:rsidRPr="00534D9B">
              <w:rPr>
                <w:b/>
                <w:sz w:val="16"/>
                <w:szCs w:val="16"/>
              </w:rPr>
              <w:t>Jovanović, T.</w:t>
            </w:r>
            <w:r w:rsidRPr="00534D9B">
              <w:rPr>
                <w:sz w:val="16"/>
                <w:szCs w:val="16"/>
              </w:rPr>
              <w:t xml:space="preserve"> (2012). Reading sentences in Serbian: Effects of alphabet and reading mode in self-paced reading task. </w:t>
            </w:r>
            <w:r w:rsidRPr="00534D9B">
              <w:rPr>
                <w:i/>
                <w:iCs/>
                <w:sz w:val="16"/>
                <w:szCs w:val="16"/>
              </w:rPr>
              <w:t>Psihologija, 45</w:t>
            </w:r>
            <w:r w:rsidRPr="00534D9B">
              <w:rPr>
                <w:iCs/>
                <w:sz w:val="16"/>
                <w:szCs w:val="16"/>
              </w:rPr>
              <w:t>(4)</w:t>
            </w:r>
            <w:r w:rsidRPr="00534D9B">
              <w:rPr>
                <w:i/>
                <w:iCs/>
                <w:sz w:val="16"/>
                <w:szCs w:val="16"/>
              </w:rPr>
              <w:t xml:space="preserve">, </w:t>
            </w:r>
            <w:r w:rsidRPr="00534D9B">
              <w:rPr>
                <w:iCs/>
                <w:sz w:val="16"/>
                <w:szCs w:val="16"/>
              </w:rPr>
              <w:t xml:space="preserve">361-376. 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3D6823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</w:rPr>
              <w:t>М2</w:t>
            </w:r>
            <w:r>
              <w:rPr>
                <w:sz w:val="16"/>
                <w:szCs w:val="16"/>
                <w:lang/>
              </w:rPr>
              <w:t>3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34D9B">
              <w:rPr>
                <w:b/>
                <w:sz w:val="16"/>
                <w:szCs w:val="16"/>
              </w:rPr>
              <w:t>Jovanović, T</w:t>
            </w:r>
            <w:r w:rsidRPr="00534D9B">
              <w:rPr>
                <w:sz w:val="16"/>
                <w:szCs w:val="16"/>
              </w:rPr>
              <w:t xml:space="preserve">., Dragin, A., Armenski, T., Pavić, D. &amp; Davidović, N. (2013). What demotivates the tourist? Constraining factors of nautical tourism. </w:t>
            </w:r>
            <w:r w:rsidRPr="00534D9B">
              <w:rPr>
                <w:i/>
                <w:sz w:val="16"/>
                <w:szCs w:val="16"/>
              </w:rPr>
              <w:t>Journal of Travel &amp; Tourism Marketing, 30</w:t>
            </w:r>
            <w:r w:rsidRPr="00534D9B">
              <w:rPr>
                <w:sz w:val="16"/>
                <w:szCs w:val="16"/>
              </w:rPr>
              <w:t>(8), 858-872.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3D6823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</w:rPr>
              <w:t>M2</w:t>
            </w:r>
            <w:r>
              <w:rPr>
                <w:sz w:val="16"/>
                <w:szCs w:val="16"/>
                <w:lang/>
              </w:rPr>
              <w:t>3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9017BC" w:rsidRDefault="00534D9B" w:rsidP="00FD6BC2">
            <w:pPr>
              <w:jc w:val="both"/>
              <w:rPr>
                <w:b/>
                <w:sz w:val="16"/>
                <w:szCs w:val="16"/>
                <w:lang w:val="en-US"/>
              </w:rPr>
            </w:pPr>
            <w:r w:rsidRPr="00534D9B">
              <w:rPr>
                <w:bCs/>
                <w:sz w:val="16"/>
                <w:szCs w:val="16"/>
                <w:lang w:val="sr-Cyrl-CS"/>
              </w:rPr>
              <w:t>Đeri, L.,</w:t>
            </w:r>
            <w:r w:rsidRPr="00534D9B">
              <w:rPr>
                <w:b/>
                <w:bCs/>
                <w:sz w:val="16"/>
                <w:szCs w:val="16"/>
                <w:lang w:val="sr-Cyrl-CS"/>
              </w:rPr>
              <w:t xml:space="preserve"> </w:t>
            </w:r>
            <w:r w:rsidRPr="00534D9B">
              <w:rPr>
                <w:bCs/>
                <w:sz w:val="16"/>
                <w:szCs w:val="16"/>
                <w:lang w:val="sr-Cyrl-CS"/>
              </w:rPr>
              <w:t xml:space="preserve">Armenski, T., </w:t>
            </w:r>
            <w:r w:rsidRPr="00534D9B">
              <w:rPr>
                <w:b/>
                <w:bCs/>
                <w:sz w:val="16"/>
                <w:szCs w:val="16"/>
                <w:lang w:val="sr-Cyrl-CS"/>
              </w:rPr>
              <w:t xml:space="preserve">Jovanović, T. </w:t>
            </w:r>
            <w:r w:rsidRPr="00534D9B">
              <w:rPr>
                <w:bCs/>
                <w:sz w:val="16"/>
                <w:szCs w:val="16"/>
                <w:lang w:val="sr-Cyrl-CS"/>
              </w:rPr>
              <w:t xml:space="preserve">&amp; Dragin, A. </w:t>
            </w:r>
            <w:r w:rsidRPr="00534D9B">
              <w:rPr>
                <w:bCs/>
                <w:sz w:val="16"/>
                <w:szCs w:val="16"/>
              </w:rPr>
              <w:t xml:space="preserve">(2014). How income infuences the choice of tourism destination? </w:t>
            </w:r>
            <w:r w:rsidRPr="00534D9B">
              <w:rPr>
                <w:bCs/>
                <w:i/>
                <w:sz w:val="16"/>
                <w:szCs w:val="16"/>
              </w:rPr>
              <w:t>Acta Oeconomica</w:t>
            </w:r>
            <w:r w:rsidRPr="00534D9B">
              <w:rPr>
                <w:bCs/>
                <w:sz w:val="16"/>
                <w:szCs w:val="16"/>
              </w:rPr>
              <w:t>, 64 (2), 219–237.</w:t>
            </w:r>
          </w:p>
        </w:tc>
        <w:tc>
          <w:tcPr>
            <w:tcW w:w="402" w:type="pct"/>
            <w:vAlign w:val="center"/>
          </w:tcPr>
          <w:p w:rsidR="00534D9B" w:rsidRPr="00F67963" w:rsidRDefault="00534D9B" w:rsidP="0053777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jc w:val="both"/>
              <w:rPr>
                <w:b/>
                <w:sz w:val="16"/>
                <w:szCs w:val="16"/>
              </w:rPr>
            </w:pPr>
            <w:r w:rsidRPr="00534D9B">
              <w:rPr>
                <w:sz w:val="16"/>
                <w:szCs w:val="16"/>
              </w:rPr>
              <w:t xml:space="preserve">Dragin, A., Đurđev, B., Armenski, T., </w:t>
            </w:r>
            <w:r w:rsidRPr="00534D9B">
              <w:rPr>
                <w:b/>
                <w:sz w:val="16"/>
                <w:szCs w:val="16"/>
              </w:rPr>
              <w:t>Jovanović, T.</w:t>
            </w:r>
            <w:r w:rsidRPr="00534D9B">
              <w:rPr>
                <w:sz w:val="16"/>
                <w:szCs w:val="16"/>
              </w:rPr>
              <w:t xml:space="preserve">, Pavić, D., Ivkov-Džigurski, A., Košić, K. &amp; Favro, S. (2014). Analysis of the labour force composition on cruisers: the Danube through Central and Southeast Europe. </w:t>
            </w:r>
            <w:r w:rsidRPr="00534D9B">
              <w:rPr>
                <w:i/>
                <w:sz w:val="16"/>
                <w:szCs w:val="16"/>
              </w:rPr>
              <w:t>Journal of Transport Geography</w:t>
            </w:r>
            <w:r w:rsidRPr="00534D9B">
              <w:rPr>
                <w:sz w:val="16"/>
                <w:szCs w:val="16"/>
              </w:rPr>
              <w:t>, 39, 62-72.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0B0537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</w:rPr>
              <w:t>М2</w:t>
            </w:r>
            <w:r>
              <w:rPr>
                <w:sz w:val="16"/>
                <w:szCs w:val="16"/>
                <w:lang/>
              </w:rPr>
              <w:t>1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tabs>
                <w:tab w:val="left" w:pos="567"/>
              </w:tabs>
              <w:spacing w:after="60"/>
              <w:rPr>
                <w:b/>
                <w:sz w:val="16"/>
                <w:szCs w:val="16"/>
              </w:rPr>
            </w:pPr>
            <w:r w:rsidRPr="00534D9B">
              <w:rPr>
                <w:bCs/>
                <w:sz w:val="16"/>
                <w:szCs w:val="16"/>
                <w:lang w:val="sr-Cyrl-CS"/>
              </w:rPr>
              <w:t>Petrović, M., </w:t>
            </w:r>
            <w:r w:rsidRPr="00534D9B">
              <w:rPr>
                <w:b/>
                <w:bCs/>
                <w:sz w:val="16"/>
                <w:szCs w:val="16"/>
                <w:lang w:val="sr-Cyrl-CS"/>
              </w:rPr>
              <w:t>Jovanović, T.</w:t>
            </w:r>
            <w:r w:rsidRPr="00534D9B">
              <w:rPr>
                <w:bCs/>
                <w:sz w:val="16"/>
                <w:szCs w:val="16"/>
                <w:lang w:val="sr-Cyrl-CS"/>
              </w:rPr>
              <w:t xml:space="preserve">, Marković, J., Armenski, T. &amp; Marković, V. (2014). Why should gender differences in hospitality really matter? </w:t>
            </w:r>
            <w:r w:rsidRPr="00534D9B">
              <w:rPr>
                <w:bCs/>
                <w:i/>
                <w:iCs/>
                <w:sz w:val="16"/>
                <w:szCs w:val="16"/>
                <w:lang w:val="sr-Cyrl-CS"/>
              </w:rPr>
              <w:t>Economic Research</w:t>
            </w:r>
            <w:r w:rsidRPr="00534D9B">
              <w:rPr>
                <w:bCs/>
                <w:sz w:val="16"/>
                <w:szCs w:val="16"/>
                <w:lang w:val="sr-Cyrl-CS"/>
              </w:rPr>
              <w:t>, </w:t>
            </w:r>
            <w:r w:rsidRPr="00534D9B">
              <w:rPr>
                <w:bCs/>
                <w:i/>
                <w:iCs/>
                <w:sz w:val="16"/>
                <w:szCs w:val="16"/>
                <w:lang w:val="sr-Cyrl-CS"/>
              </w:rPr>
              <w:t>27</w:t>
            </w:r>
            <w:r w:rsidRPr="00534D9B">
              <w:rPr>
                <w:bCs/>
                <w:sz w:val="16"/>
                <w:szCs w:val="16"/>
                <w:lang w:val="sr-Cyrl-CS"/>
              </w:rPr>
              <w:t> (1), 799-817.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490325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</w:rPr>
              <w:t>М2</w:t>
            </w:r>
            <w:r>
              <w:rPr>
                <w:sz w:val="16"/>
                <w:szCs w:val="16"/>
                <w:lang/>
              </w:rPr>
              <w:t>3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tabs>
                <w:tab w:val="left" w:pos="567"/>
              </w:tabs>
              <w:spacing w:after="60"/>
              <w:rPr>
                <w:b/>
                <w:sz w:val="16"/>
                <w:szCs w:val="16"/>
              </w:rPr>
            </w:pPr>
            <w:r w:rsidRPr="00534D9B">
              <w:rPr>
                <w:sz w:val="16"/>
                <w:szCs w:val="16"/>
                <w:lang w:val="hu-HU"/>
              </w:rPr>
              <w:t>Bo</w:t>
            </w:r>
            <w:r w:rsidRPr="00534D9B">
              <w:rPr>
                <w:sz w:val="16"/>
                <w:szCs w:val="16"/>
              </w:rPr>
              <w:t xml:space="preserve">droža, B. &amp; </w:t>
            </w:r>
            <w:r w:rsidRPr="00534D9B">
              <w:rPr>
                <w:b/>
                <w:sz w:val="16"/>
                <w:szCs w:val="16"/>
              </w:rPr>
              <w:t>Jovanović, T.</w:t>
            </w:r>
            <w:r w:rsidRPr="00534D9B">
              <w:rPr>
                <w:sz w:val="16"/>
                <w:szCs w:val="16"/>
              </w:rPr>
              <w:t xml:space="preserve"> (2016). Validation of the new scale for measuring behaviors of Facebook users: Psycho-Social Aspects of Facebook Use (PSAFU). </w:t>
            </w:r>
            <w:r w:rsidRPr="00534D9B">
              <w:rPr>
                <w:i/>
                <w:sz w:val="16"/>
                <w:szCs w:val="16"/>
              </w:rPr>
              <w:t>Computers in Human Behavior, 54</w:t>
            </w:r>
            <w:r w:rsidRPr="00534D9B">
              <w:rPr>
                <w:sz w:val="16"/>
                <w:szCs w:val="16"/>
              </w:rPr>
              <w:t>, 425-435.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B3649F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</w:rPr>
              <w:t>М2</w:t>
            </w:r>
            <w:r>
              <w:rPr>
                <w:sz w:val="16"/>
                <w:szCs w:val="16"/>
                <w:lang/>
              </w:rPr>
              <w:t>1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jc w:val="both"/>
              <w:rPr>
                <w:b/>
                <w:sz w:val="16"/>
                <w:szCs w:val="16"/>
                <w:lang/>
              </w:rPr>
            </w:pPr>
            <w:r w:rsidRPr="00534D9B">
              <w:rPr>
                <w:sz w:val="16"/>
                <w:szCs w:val="16"/>
                <w:lang/>
              </w:rPr>
              <w:t>Чикић, Ј. &amp;</w:t>
            </w:r>
            <w:r w:rsidRPr="00534D9B">
              <w:rPr>
                <w:b/>
                <w:sz w:val="16"/>
                <w:szCs w:val="16"/>
                <w:lang/>
              </w:rPr>
              <w:t xml:space="preserve"> Јовановић, Т </w:t>
            </w:r>
            <w:r w:rsidRPr="00534D9B">
              <w:rPr>
                <w:sz w:val="16"/>
                <w:szCs w:val="16"/>
                <w:lang/>
              </w:rPr>
              <w:t xml:space="preserve">(2015). </w:t>
            </w:r>
            <w:r w:rsidRPr="00534D9B">
              <w:rPr>
                <w:i/>
                <w:sz w:val="16"/>
                <w:szCs w:val="16"/>
                <w:lang/>
              </w:rPr>
              <w:t>Дифузија знања и развој руралног туризма у Војводини</w:t>
            </w:r>
            <w:r w:rsidRPr="00534D9B">
              <w:rPr>
                <w:sz w:val="16"/>
                <w:szCs w:val="16"/>
                <w:lang/>
              </w:rPr>
              <w:t>. Нови Сад: ПМФ.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EC0CA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jc w:val="both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534D9B">
              <w:rPr>
                <w:b/>
                <w:sz w:val="16"/>
                <w:szCs w:val="16"/>
                <w:lang w:val="en-US"/>
              </w:rPr>
              <w:t>Jovanović</w:t>
            </w:r>
            <w:proofErr w:type="spellEnd"/>
            <w:r w:rsidRPr="00534D9B">
              <w:rPr>
                <w:b/>
                <w:sz w:val="16"/>
                <w:szCs w:val="16"/>
                <w:lang w:val="en-US"/>
              </w:rPr>
              <w:t>, T.</w:t>
            </w:r>
            <w:r w:rsidRPr="00534D9B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Bozic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, S.,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Dinic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, B. &amp;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Majstorovic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, N. (2017). Serbian adaptation of the Brand Personality Scale (BPS): an application to tourism destinations.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Primenjena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Psihologija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>, 10(1), 37-61.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213C46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М24</w:t>
            </w:r>
          </w:p>
        </w:tc>
      </w:tr>
      <w:tr w:rsidR="00534D9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534D9B" w:rsidRPr="00F67963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4310" w:type="pct"/>
            <w:gridSpan w:val="7"/>
            <w:shd w:val="clear" w:color="auto" w:fill="auto"/>
            <w:vAlign w:val="center"/>
          </w:tcPr>
          <w:p w:rsidR="00534D9B" w:rsidRPr="00534D9B" w:rsidRDefault="00534D9B" w:rsidP="00FD6BC2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34D9B">
              <w:rPr>
                <w:sz w:val="16"/>
                <w:szCs w:val="16"/>
                <w:lang w:val="en-US"/>
              </w:rPr>
              <w:t>Božić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 xml:space="preserve">, S. &amp; </w:t>
            </w:r>
            <w:proofErr w:type="spellStart"/>
            <w:r w:rsidRPr="00534D9B">
              <w:rPr>
                <w:b/>
                <w:sz w:val="16"/>
                <w:szCs w:val="16"/>
                <w:lang w:val="en-US"/>
              </w:rPr>
              <w:t>Jovanović</w:t>
            </w:r>
            <w:proofErr w:type="spellEnd"/>
            <w:r w:rsidRPr="00534D9B">
              <w:rPr>
                <w:b/>
                <w:sz w:val="16"/>
                <w:szCs w:val="16"/>
                <w:lang w:val="en-US"/>
              </w:rPr>
              <w:t>, T.</w:t>
            </w:r>
            <w:r w:rsidRPr="00534D9B">
              <w:rPr>
                <w:sz w:val="16"/>
                <w:szCs w:val="16"/>
                <w:lang w:val="en-US"/>
              </w:rPr>
              <w:t xml:space="preserve"> (2017). Gender, Age, and Education Effects on Travel-Related Behavior: Reports on </w:t>
            </w:r>
            <w:proofErr w:type="spellStart"/>
            <w:r w:rsidRPr="00534D9B">
              <w:rPr>
                <w:sz w:val="16"/>
                <w:szCs w:val="16"/>
                <w:lang w:val="en-US"/>
              </w:rPr>
              <w:t>Facebook</w:t>
            </w:r>
            <w:proofErr w:type="spellEnd"/>
            <w:r w:rsidRPr="00534D9B">
              <w:rPr>
                <w:sz w:val="16"/>
                <w:szCs w:val="16"/>
                <w:lang w:val="en-US"/>
              </w:rPr>
              <w:t>. Consumer Behavior in Tourism and Hospitality Research, 59-80.</w:t>
            </w:r>
          </w:p>
        </w:tc>
        <w:tc>
          <w:tcPr>
            <w:tcW w:w="402" w:type="pct"/>
            <w:vAlign w:val="center"/>
          </w:tcPr>
          <w:p w:rsidR="00534D9B" w:rsidRPr="00534D9B" w:rsidRDefault="00534D9B" w:rsidP="00DE1780">
            <w:pPr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М14</w:t>
            </w:r>
          </w:p>
        </w:tc>
      </w:tr>
      <w:tr w:rsidR="00C676A8" w:rsidRPr="00B9648A" w:rsidTr="00E7416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877" w:type="pct"/>
            <w:gridSpan w:val="3"/>
            <w:vAlign w:val="center"/>
          </w:tcPr>
          <w:p w:rsidR="00C676A8" w:rsidRPr="00976F2B" w:rsidRDefault="00534D9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066913">
              <w:rPr>
                <w:sz w:val="16"/>
                <w:szCs w:val="16"/>
              </w:rPr>
              <w:t>0 (</w:t>
            </w:r>
            <w:r>
              <w:rPr>
                <w:sz w:val="16"/>
                <w:szCs w:val="16"/>
              </w:rPr>
              <w:t>79</w:t>
            </w:r>
            <w:r w:rsidR="00066913">
              <w:rPr>
                <w:sz w:val="16"/>
                <w:szCs w:val="16"/>
              </w:rPr>
              <w:t>)</w:t>
            </w:r>
            <w:r w:rsidR="00656AFA" w:rsidRPr="00F625C0">
              <w:rPr>
                <w:sz w:val="16"/>
                <w:szCs w:val="16"/>
              </w:rPr>
              <w:t>(Scopus)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877" w:type="pct"/>
            <w:gridSpan w:val="3"/>
            <w:vAlign w:val="center"/>
          </w:tcPr>
          <w:p w:rsidR="00C676A8" w:rsidRPr="00C90FB9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34D9B">
              <w:rPr>
                <w:sz w:val="16"/>
                <w:szCs w:val="16"/>
              </w:rPr>
              <w:t>7</w:t>
            </w:r>
          </w:p>
        </w:tc>
      </w:tr>
      <w:tr w:rsidR="00C676A8" w:rsidRPr="00B9648A" w:rsidTr="00534D9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18" w:type="pct"/>
            <w:vAlign w:val="center"/>
          </w:tcPr>
          <w:p w:rsidR="00C676A8" w:rsidRPr="00976F2B" w:rsidRDefault="00C676A8" w:rsidP="00C90FB9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Домаћи</w:t>
            </w:r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1259" w:type="pct"/>
            <w:gridSpan w:val="2"/>
            <w:vAlign w:val="center"/>
          </w:tcPr>
          <w:p w:rsidR="00C676A8" w:rsidRPr="00976F2B" w:rsidRDefault="00C676A8" w:rsidP="00C90FB9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Међународни</w:t>
            </w:r>
            <w:r w:rsidR="00AE6536">
              <w:rPr>
                <w:sz w:val="16"/>
                <w:szCs w:val="16"/>
                <w:lang/>
              </w:rPr>
              <w:t>: 0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877" w:type="pct"/>
            <w:gridSpan w:val="3"/>
            <w:vAlign w:val="center"/>
          </w:tcPr>
          <w:p w:rsidR="00C676A8" w:rsidRPr="00C90FB9" w:rsidRDefault="00C676A8" w:rsidP="003B37CB">
            <w:pPr>
              <w:rPr>
                <w:sz w:val="16"/>
                <w:szCs w:val="16"/>
                <w:lang w:val="sr-Cyrl-CS"/>
              </w:rPr>
            </w:pPr>
          </w:p>
        </w:tc>
      </w:tr>
      <w:tr w:rsidR="00C676A8" w:rsidRPr="00B9648A" w:rsidTr="00E7416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Pr="00B9648A" w:rsidRDefault="00765095">
      <w:pPr>
        <w:rPr>
          <w:sz w:val="16"/>
          <w:szCs w:val="16"/>
        </w:rPr>
      </w:pPr>
    </w:p>
    <w:sectPr w:rsidR="00765095" w:rsidRPr="00B9648A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D9C"/>
    <w:rsid w:val="0002297B"/>
    <w:rsid w:val="00066913"/>
    <w:rsid w:val="000909C3"/>
    <w:rsid w:val="000B1BE0"/>
    <w:rsid w:val="000F50BB"/>
    <w:rsid w:val="00162B3D"/>
    <w:rsid w:val="001B2856"/>
    <w:rsid w:val="001B5891"/>
    <w:rsid w:val="001F4870"/>
    <w:rsid w:val="003B37CB"/>
    <w:rsid w:val="00534D9B"/>
    <w:rsid w:val="00537A3C"/>
    <w:rsid w:val="00564B86"/>
    <w:rsid w:val="005B6E9A"/>
    <w:rsid w:val="005C2C08"/>
    <w:rsid w:val="00641D9C"/>
    <w:rsid w:val="00656AFA"/>
    <w:rsid w:val="00765095"/>
    <w:rsid w:val="007E2A16"/>
    <w:rsid w:val="0089472C"/>
    <w:rsid w:val="009017BC"/>
    <w:rsid w:val="00911E8A"/>
    <w:rsid w:val="00976F2B"/>
    <w:rsid w:val="009B2F66"/>
    <w:rsid w:val="00AA2531"/>
    <w:rsid w:val="00AE6536"/>
    <w:rsid w:val="00B2123E"/>
    <w:rsid w:val="00B9648A"/>
    <w:rsid w:val="00C40340"/>
    <w:rsid w:val="00C676A8"/>
    <w:rsid w:val="00C90FB9"/>
    <w:rsid w:val="00E74165"/>
    <w:rsid w:val="00F67963"/>
    <w:rsid w:val="00FB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F67963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F67963"/>
    <w:rPr>
      <w:b/>
      <w:bCs/>
    </w:rPr>
  </w:style>
  <w:style w:type="paragraph" w:styleId="ListParagraph">
    <w:name w:val="List Paragraph"/>
    <w:basedOn w:val="Normal"/>
    <w:uiPriority w:val="34"/>
    <w:qFormat/>
    <w:rsid w:val="000F50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PC</cp:lastModifiedBy>
  <cp:revision>12</cp:revision>
  <dcterms:created xsi:type="dcterms:W3CDTF">2020-05-11T09:24:00Z</dcterms:created>
  <dcterms:modified xsi:type="dcterms:W3CDTF">2020-06-01T16:42:00Z</dcterms:modified>
</cp:coreProperties>
</file>