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5"/>
        <w:gridCol w:w="192"/>
        <w:gridCol w:w="1027"/>
        <w:gridCol w:w="100"/>
        <w:gridCol w:w="952"/>
        <w:gridCol w:w="1021"/>
        <w:gridCol w:w="2357"/>
        <w:gridCol w:w="1559"/>
        <w:gridCol w:w="1275"/>
        <w:gridCol w:w="246"/>
        <w:gridCol w:w="1392"/>
      </w:tblGrid>
      <w:tr w:rsidR="00A821AC" w:rsidRPr="00A22864" w:rsidTr="0033031F">
        <w:trPr>
          <w:trHeight w:val="227"/>
          <w:jc w:val="center"/>
        </w:trPr>
        <w:tc>
          <w:tcPr>
            <w:tcW w:w="1324" w:type="pct"/>
            <w:gridSpan w:val="5"/>
            <w:vAlign w:val="center"/>
          </w:tcPr>
          <w:p w:rsidR="008E1A1C" w:rsidRPr="00A22864" w:rsidRDefault="008E1A1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676" w:type="pct"/>
            <w:gridSpan w:val="6"/>
            <w:vAlign w:val="center"/>
          </w:tcPr>
          <w:p w:rsidR="008E1A1C" w:rsidRPr="00AF5093" w:rsidRDefault="00F52DD7" w:rsidP="00F52DD7">
            <w:pPr>
              <w:spacing w:after="60"/>
              <w:rPr>
                <w:b/>
              </w:rPr>
            </w:pPr>
            <w:r w:rsidRPr="00AF5093">
              <w:rPr>
                <w:b/>
              </w:rPr>
              <w:t>Кристина Погрмић-Мајкић</w:t>
            </w:r>
          </w:p>
        </w:tc>
      </w:tr>
      <w:tr w:rsidR="00A821AC" w:rsidRPr="00A22864" w:rsidTr="0033031F">
        <w:trPr>
          <w:trHeight w:val="227"/>
          <w:jc w:val="center"/>
        </w:trPr>
        <w:tc>
          <w:tcPr>
            <w:tcW w:w="1324" w:type="pct"/>
            <w:gridSpan w:val="5"/>
            <w:vAlign w:val="center"/>
          </w:tcPr>
          <w:p w:rsidR="008E1A1C" w:rsidRPr="00A22864" w:rsidRDefault="008E1A1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676" w:type="pct"/>
            <w:gridSpan w:val="6"/>
            <w:vAlign w:val="center"/>
          </w:tcPr>
          <w:p w:rsidR="008E1A1C" w:rsidRPr="00F52DD7" w:rsidRDefault="00F52DD7" w:rsidP="005B406B">
            <w:pPr>
              <w:spacing w:after="60"/>
            </w:pPr>
            <w:r>
              <w:t>Виши научни сарадник</w:t>
            </w:r>
          </w:p>
        </w:tc>
      </w:tr>
      <w:tr w:rsidR="00A821AC" w:rsidRPr="00A22864" w:rsidTr="0033031F">
        <w:trPr>
          <w:trHeight w:val="227"/>
          <w:jc w:val="center"/>
        </w:trPr>
        <w:tc>
          <w:tcPr>
            <w:tcW w:w="1324" w:type="pct"/>
            <w:gridSpan w:val="5"/>
            <w:vAlign w:val="center"/>
          </w:tcPr>
          <w:p w:rsidR="008E1A1C" w:rsidRPr="00A22864" w:rsidRDefault="008E1A1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676" w:type="pct"/>
            <w:gridSpan w:val="6"/>
            <w:vAlign w:val="center"/>
          </w:tcPr>
          <w:p w:rsidR="008E1A1C" w:rsidRPr="00F52DD7" w:rsidRDefault="00F52DD7" w:rsidP="005B406B">
            <w:pPr>
              <w:spacing w:after="60"/>
            </w:pPr>
            <w:r>
              <w:t>Физиологија животиња</w:t>
            </w:r>
          </w:p>
        </w:tc>
      </w:tr>
      <w:tr w:rsidR="00292BFD" w:rsidRPr="00A22864" w:rsidTr="0033031F">
        <w:trPr>
          <w:trHeight w:val="227"/>
          <w:jc w:val="center"/>
        </w:trPr>
        <w:tc>
          <w:tcPr>
            <w:tcW w:w="878" w:type="pct"/>
            <w:gridSpan w:val="4"/>
            <w:vAlign w:val="center"/>
          </w:tcPr>
          <w:p w:rsidR="00292BFD" w:rsidRPr="00A22864" w:rsidRDefault="00292BFD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6" w:type="pct"/>
            <w:vAlign w:val="center"/>
          </w:tcPr>
          <w:p w:rsidR="00292BFD" w:rsidRPr="00AF5093" w:rsidRDefault="00292BFD" w:rsidP="00274EFF">
            <w:pPr>
              <w:rPr>
                <w:b/>
                <w:lang w:val="sr-Cyrl-CS"/>
              </w:rPr>
            </w:pPr>
            <w:r w:rsidRPr="00AF5093">
              <w:rPr>
                <w:b/>
                <w:lang w:val="sr-Cyrl-CS"/>
              </w:rPr>
              <w:t xml:space="preserve">Година </w:t>
            </w:r>
          </w:p>
        </w:tc>
        <w:tc>
          <w:tcPr>
            <w:tcW w:w="1582" w:type="pct"/>
            <w:gridSpan w:val="2"/>
            <w:vAlign w:val="center"/>
          </w:tcPr>
          <w:p w:rsidR="00292BFD" w:rsidRPr="00AF5093" w:rsidRDefault="00292BFD" w:rsidP="00274EFF">
            <w:pPr>
              <w:rPr>
                <w:b/>
                <w:lang w:val="sr-Cyrl-CS"/>
              </w:rPr>
            </w:pPr>
            <w:r w:rsidRPr="00AF5093">
              <w:rPr>
                <w:b/>
                <w:lang w:val="sr-Cyrl-CS"/>
              </w:rPr>
              <w:t xml:space="preserve">Институција 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292BFD" w:rsidRPr="00AF5093" w:rsidRDefault="00292BFD" w:rsidP="00274EFF">
            <w:pPr>
              <w:rPr>
                <w:b/>
              </w:rPr>
            </w:pPr>
            <w:r w:rsidRPr="00AF5093">
              <w:rPr>
                <w:b/>
                <w:lang w:val="sr-Cyrl-CS"/>
              </w:rPr>
              <w:t>Област</w:t>
            </w:r>
          </w:p>
          <w:p w:rsidR="00292BFD" w:rsidRPr="00AF5093" w:rsidRDefault="00292BFD" w:rsidP="00292BFD">
            <w:pPr>
              <w:spacing w:after="60"/>
              <w:rPr>
                <w:b/>
                <w:lang w:val="sr-Cyrl-CS"/>
              </w:rPr>
            </w:pPr>
          </w:p>
        </w:tc>
        <w:tc>
          <w:tcPr>
            <w:tcW w:w="1364" w:type="pct"/>
            <w:gridSpan w:val="3"/>
            <w:shd w:val="clear" w:color="auto" w:fill="auto"/>
            <w:vAlign w:val="center"/>
          </w:tcPr>
          <w:p w:rsidR="00292BFD" w:rsidRPr="00AF5093" w:rsidRDefault="0045191B" w:rsidP="00480C3E">
            <w:pPr>
              <w:spacing w:after="60"/>
              <w:rPr>
                <w:b/>
              </w:rPr>
            </w:pPr>
            <w:r w:rsidRPr="00AF5093">
              <w:rPr>
                <w:b/>
              </w:rPr>
              <w:t>Ужа научна односно уметничка област</w:t>
            </w:r>
          </w:p>
        </w:tc>
      </w:tr>
      <w:tr w:rsidR="00292BFD" w:rsidRPr="00A22864" w:rsidTr="0033031F">
        <w:trPr>
          <w:trHeight w:val="227"/>
          <w:jc w:val="center"/>
        </w:trPr>
        <w:tc>
          <w:tcPr>
            <w:tcW w:w="878" w:type="pct"/>
            <w:gridSpan w:val="4"/>
            <w:vAlign w:val="center"/>
          </w:tcPr>
          <w:p w:rsidR="00292BFD" w:rsidRPr="00151B33" w:rsidRDefault="00292BFD" w:rsidP="00480C3E">
            <w:pPr>
              <w:spacing w:after="60"/>
              <w:rPr>
                <w:lang w:val="sr-Cyrl-CS"/>
              </w:rPr>
            </w:pPr>
            <w:r w:rsidRPr="00151B33">
              <w:rPr>
                <w:lang w:val="sr-Cyrl-CS"/>
              </w:rPr>
              <w:t>Избор у звање</w:t>
            </w:r>
          </w:p>
        </w:tc>
        <w:tc>
          <w:tcPr>
            <w:tcW w:w="446" w:type="pct"/>
            <w:vAlign w:val="center"/>
          </w:tcPr>
          <w:p w:rsidR="00292BFD" w:rsidRPr="00151B33" w:rsidRDefault="00292BFD" w:rsidP="00F52DD7">
            <w:pPr>
              <w:spacing w:after="60"/>
              <w:rPr>
                <w:lang w:val="sr-Cyrl-CS"/>
              </w:rPr>
            </w:pPr>
            <w:r w:rsidRPr="00151B33">
              <w:rPr>
                <w:lang w:val="sr-Cyrl-CS"/>
              </w:rPr>
              <w:t>201</w:t>
            </w:r>
            <w:r w:rsidR="00F52DD7">
              <w:rPr>
                <w:lang w:val="sr-Cyrl-CS"/>
              </w:rPr>
              <w:t>7</w:t>
            </w:r>
          </w:p>
        </w:tc>
        <w:tc>
          <w:tcPr>
            <w:tcW w:w="1582" w:type="pct"/>
            <w:gridSpan w:val="2"/>
            <w:vAlign w:val="center"/>
          </w:tcPr>
          <w:p w:rsidR="00292BFD" w:rsidRPr="00151B33" w:rsidRDefault="00292BFD" w:rsidP="00480C3E">
            <w:pPr>
              <w:spacing w:after="60"/>
              <w:rPr>
                <w:lang w:val="sr-Cyrl-CS"/>
              </w:rPr>
            </w:pPr>
            <w:r w:rsidRPr="00151B33">
              <w:rPr>
                <w:lang w:val="uz-Cyrl-UZ"/>
              </w:rPr>
              <w:t xml:space="preserve">Универзитет у Новом Саду </w:t>
            </w:r>
            <w:r w:rsidRPr="00151B33">
              <w:rPr>
                <w:lang w:val="ru-RU"/>
              </w:rPr>
              <w:t>Природно-математички факултет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292BFD" w:rsidRPr="0045191B" w:rsidRDefault="0045191B" w:rsidP="00480C3E">
            <w:pPr>
              <w:spacing w:after="60"/>
            </w:pPr>
            <w:r>
              <w:t>Биологија</w:t>
            </w:r>
          </w:p>
        </w:tc>
        <w:tc>
          <w:tcPr>
            <w:tcW w:w="1364" w:type="pct"/>
            <w:gridSpan w:val="3"/>
            <w:shd w:val="clear" w:color="auto" w:fill="auto"/>
            <w:vAlign w:val="center"/>
          </w:tcPr>
          <w:p w:rsidR="00292BFD" w:rsidRPr="0045191B" w:rsidRDefault="00F52DD7" w:rsidP="00480C3E">
            <w:pPr>
              <w:spacing w:after="60"/>
            </w:pPr>
            <w:r>
              <w:t>Физиологија животиња</w:t>
            </w:r>
          </w:p>
        </w:tc>
      </w:tr>
      <w:tr w:rsidR="00292BFD" w:rsidRPr="00A22864" w:rsidTr="0033031F">
        <w:trPr>
          <w:trHeight w:val="227"/>
          <w:jc w:val="center"/>
        </w:trPr>
        <w:tc>
          <w:tcPr>
            <w:tcW w:w="878" w:type="pct"/>
            <w:gridSpan w:val="4"/>
            <w:vAlign w:val="center"/>
          </w:tcPr>
          <w:p w:rsidR="00292BFD" w:rsidRPr="00151B33" w:rsidRDefault="00292BFD" w:rsidP="00480C3E">
            <w:pPr>
              <w:spacing w:after="60"/>
              <w:rPr>
                <w:lang w:val="sr-Cyrl-CS"/>
              </w:rPr>
            </w:pPr>
            <w:r w:rsidRPr="00151B33">
              <w:rPr>
                <w:lang w:val="sr-Cyrl-CS"/>
              </w:rPr>
              <w:t>Докторат</w:t>
            </w:r>
          </w:p>
        </w:tc>
        <w:tc>
          <w:tcPr>
            <w:tcW w:w="446" w:type="pct"/>
            <w:vAlign w:val="center"/>
          </w:tcPr>
          <w:p w:rsidR="00292BFD" w:rsidRPr="00151B33" w:rsidRDefault="00292BFD" w:rsidP="00F52DD7">
            <w:pPr>
              <w:spacing w:after="60"/>
              <w:rPr>
                <w:lang w:val="sr-Cyrl-CS"/>
              </w:rPr>
            </w:pPr>
            <w:r w:rsidRPr="00151B33">
              <w:rPr>
                <w:lang w:val="sr-Cyrl-CS"/>
              </w:rPr>
              <w:t>20</w:t>
            </w:r>
            <w:r w:rsidR="00F52DD7">
              <w:rPr>
                <w:lang w:val="sr-Cyrl-CS"/>
              </w:rPr>
              <w:t>10</w:t>
            </w:r>
          </w:p>
        </w:tc>
        <w:tc>
          <w:tcPr>
            <w:tcW w:w="1582" w:type="pct"/>
            <w:gridSpan w:val="2"/>
          </w:tcPr>
          <w:p w:rsidR="00292BFD" w:rsidRPr="00151B33" w:rsidRDefault="00292BFD" w:rsidP="00480C3E">
            <w:pPr>
              <w:spacing w:after="60"/>
              <w:rPr>
                <w:lang w:val="sr-Cyrl-CS"/>
              </w:rPr>
            </w:pPr>
            <w:r w:rsidRPr="00151B33">
              <w:rPr>
                <w:lang w:val="uz-Cyrl-UZ"/>
              </w:rPr>
              <w:t>Универзитет у Новом Саду</w:t>
            </w:r>
            <w:r w:rsidRPr="00151B33">
              <w:rPr>
                <w:lang w:val="ru-RU"/>
              </w:rPr>
              <w:t xml:space="preserve"> Природно-математички факултет</w:t>
            </w:r>
          </w:p>
        </w:tc>
        <w:tc>
          <w:tcPr>
            <w:tcW w:w="730" w:type="pct"/>
            <w:shd w:val="clear" w:color="auto" w:fill="auto"/>
          </w:tcPr>
          <w:p w:rsidR="00292BFD" w:rsidRDefault="00292BFD" w:rsidP="00480C3E">
            <w:pPr>
              <w:spacing w:after="60"/>
              <w:rPr>
                <w:lang w:val="sr-Cyrl-CS"/>
              </w:rPr>
            </w:pPr>
          </w:p>
          <w:p w:rsidR="0045191B" w:rsidRPr="00151B33" w:rsidRDefault="0045191B" w:rsidP="00F52DD7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</w:t>
            </w:r>
            <w:r w:rsidR="00F52DD7">
              <w:rPr>
                <w:lang w:val="sr-Cyrl-CS"/>
              </w:rPr>
              <w:t>хемија</w:t>
            </w:r>
          </w:p>
        </w:tc>
        <w:tc>
          <w:tcPr>
            <w:tcW w:w="1364" w:type="pct"/>
            <w:gridSpan w:val="3"/>
            <w:shd w:val="clear" w:color="auto" w:fill="auto"/>
          </w:tcPr>
          <w:p w:rsidR="00292BFD" w:rsidRPr="00151B33" w:rsidRDefault="00F52DD7" w:rsidP="00480C3E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Репродуктивна ендокринологија</w:t>
            </w:r>
          </w:p>
        </w:tc>
      </w:tr>
      <w:tr w:rsidR="00292BFD" w:rsidRPr="00A22864" w:rsidTr="0033031F">
        <w:trPr>
          <w:trHeight w:val="227"/>
          <w:jc w:val="center"/>
        </w:trPr>
        <w:tc>
          <w:tcPr>
            <w:tcW w:w="878" w:type="pct"/>
            <w:gridSpan w:val="4"/>
            <w:vAlign w:val="center"/>
          </w:tcPr>
          <w:p w:rsidR="00292BFD" w:rsidRPr="00151B33" w:rsidRDefault="00292BFD" w:rsidP="00480C3E">
            <w:pPr>
              <w:spacing w:after="60"/>
              <w:rPr>
                <w:lang w:val="sr-Cyrl-CS"/>
              </w:rPr>
            </w:pPr>
            <w:r w:rsidRPr="00151B33">
              <w:rPr>
                <w:lang w:val="sr-Cyrl-CS"/>
              </w:rPr>
              <w:t>Диплома</w:t>
            </w:r>
          </w:p>
        </w:tc>
        <w:tc>
          <w:tcPr>
            <w:tcW w:w="446" w:type="pct"/>
            <w:vAlign w:val="center"/>
          </w:tcPr>
          <w:p w:rsidR="00292BFD" w:rsidRPr="00151B33" w:rsidRDefault="00F52DD7" w:rsidP="00480C3E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2002</w:t>
            </w:r>
          </w:p>
        </w:tc>
        <w:tc>
          <w:tcPr>
            <w:tcW w:w="1582" w:type="pct"/>
            <w:gridSpan w:val="2"/>
          </w:tcPr>
          <w:p w:rsidR="00292BFD" w:rsidRPr="00151B33" w:rsidRDefault="00292BFD" w:rsidP="00480C3E">
            <w:pPr>
              <w:spacing w:after="60"/>
              <w:rPr>
                <w:lang w:val="sr-Cyrl-CS"/>
              </w:rPr>
            </w:pPr>
            <w:r w:rsidRPr="00151B33">
              <w:rPr>
                <w:lang w:val="uz-Cyrl-UZ"/>
              </w:rPr>
              <w:t>Универзитет у Новом Саду</w:t>
            </w:r>
            <w:r w:rsidRPr="00151B33">
              <w:rPr>
                <w:lang w:val="ru-RU"/>
              </w:rPr>
              <w:t xml:space="preserve"> Природно-математички факултет</w:t>
            </w:r>
          </w:p>
        </w:tc>
        <w:tc>
          <w:tcPr>
            <w:tcW w:w="730" w:type="pct"/>
            <w:shd w:val="clear" w:color="auto" w:fill="auto"/>
          </w:tcPr>
          <w:p w:rsidR="0045191B" w:rsidRDefault="0045191B" w:rsidP="00480C3E">
            <w:pPr>
              <w:spacing w:after="60"/>
              <w:rPr>
                <w:lang w:val="sr-Cyrl-CS"/>
              </w:rPr>
            </w:pPr>
          </w:p>
          <w:p w:rsidR="00292BFD" w:rsidRPr="00151B33" w:rsidRDefault="0045191B" w:rsidP="00480C3E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64" w:type="pct"/>
            <w:gridSpan w:val="3"/>
            <w:shd w:val="clear" w:color="auto" w:fill="auto"/>
          </w:tcPr>
          <w:p w:rsidR="00292BFD" w:rsidRPr="00151B33" w:rsidRDefault="00F52DD7" w:rsidP="00480C3E">
            <w:pPr>
              <w:spacing w:after="60"/>
              <w:rPr>
                <w:lang w:val="sr-Cyrl-CS"/>
              </w:rPr>
            </w:pPr>
            <w:r>
              <w:t>Физиологија животиња</w:t>
            </w:r>
          </w:p>
        </w:tc>
      </w:tr>
      <w:tr w:rsidR="00641D9C" w:rsidRPr="00A22864" w:rsidTr="000565D9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641D9C" w:rsidRPr="00646624" w:rsidRDefault="00641D9C" w:rsidP="00274EFF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A821AC" w:rsidRPr="00A22864" w:rsidTr="0033031F">
        <w:trPr>
          <w:trHeight w:val="227"/>
          <w:jc w:val="center"/>
        </w:trPr>
        <w:tc>
          <w:tcPr>
            <w:tcW w:w="350" w:type="pct"/>
            <w:gridSpan w:val="2"/>
            <w:shd w:val="clear" w:color="auto" w:fill="auto"/>
            <w:vAlign w:val="center"/>
          </w:tcPr>
          <w:p w:rsidR="00641D9C" w:rsidRPr="00646624" w:rsidRDefault="00641D9C" w:rsidP="00274EFF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641D9C" w:rsidRPr="00646624" w:rsidRDefault="00641D9C" w:rsidP="00274EFF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4169" w:type="pct"/>
            <w:gridSpan w:val="8"/>
            <w:vAlign w:val="center"/>
          </w:tcPr>
          <w:p w:rsidR="00641D9C" w:rsidRPr="00646624" w:rsidRDefault="00641D9C" w:rsidP="00274EFF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A821AC" w:rsidRPr="00A22864" w:rsidTr="0033031F">
        <w:trPr>
          <w:trHeight w:val="227"/>
          <w:jc w:val="center"/>
        </w:trPr>
        <w:tc>
          <w:tcPr>
            <w:tcW w:w="350" w:type="pct"/>
            <w:gridSpan w:val="2"/>
            <w:shd w:val="clear" w:color="auto" w:fill="auto"/>
            <w:vAlign w:val="center"/>
          </w:tcPr>
          <w:p w:rsidR="00641D9C" w:rsidRPr="00A22864" w:rsidRDefault="008E1A1C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641D9C" w:rsidRPr="00A22864" w:rsidRDefault="00C6272C" w:rsidP="00274EFF">
            <w:pPr>
              <w:rPr>
                <w:lang w:val="sr-Cyrl-CS"/>
              </w:rPr>
            </w:pPr>
            <w:r>
              <w:t>ДНБ</w:t>
            </w:r>
            <w:r>
              <w:rPr>
                <w:lang w:val="sr-Cyrl-CS"/>
              </w:rPr>
              <w:t>032</w:t>
            </w:r>
          </w:p>
        </w:tc>
        <w:tc>
          <w:tcPr>
            <w:tcW w:w="4169" w:type="pct"/>
            <w:gridSpan w:val="8"/>
            <w:vAlign w:val="center"/>
          </w:tcPr>
          <w:p w:rsidR="00641D9C" w:rsidRPr="00A22864" w:rsidRDefault="00C6272C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Репродуктивна токсикологија</w:t>
            </w:r>
          </w:p>
        </w:tc>
      </w:tr>
      <w:tr w:rsidR="00A821AC" w:rsidRPr="00A22864" w:rsidTr="0033031F">
        <w:trPr>
          <w:trHeight w:val="227"/>
          <w:jc w:val="center"/>
        </w:trPr>
        <w:tc>
          <w:tcPr>
            <w:tcW w:w="350" w:type="pct"/>
            <w:gridSpan w:val="2"/>
            <w:shd w:val="clear" w:color="auto" w:fill="auto"/>
            <w:vAlign w:val="center"/>
          </w:tcPr>
          <w:p w:rsidR="00641D9C" w:rsidRPr="00A22864" w:rsidRDefault="008E1A1C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641D9C" w:rsidRPr="00A22864" w:rsidRDefault="00C6272C" w:rsidP="00274EFF">
            <w:pPr>
              <w:rPr>
                <w:lang w:val="sr-Cyrl-CS"/>
              </w:rPr>
            </w:pPr>
            <w:r>
              <w:t>ДНБ</w:t>
            </w:r>
            <w:r>
              <w:rPr>
                <w:lang w:val="sr-Cyrl-CS"/>
              </w:rPr>
              <w:t>034</w:t>
            </w:r>
          </w:p>
        </w:tc>
        <w:tc>
          <w:tcPr>
            <w:tcW w:w="4169" w:type="pct"/>
            <w:gridSpan w:val="8"/>
            <w:vAlign w:val="center"/>
          </w:tcPr>
          <w:p w:rsidR="00641D9C" w:rsidRPr="00A22864" w:rsidRDefault="00C6272C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Молекуларни механизми у контроли оваријалне функције</w:t>
            </w:r>
          </w:p>
        </w:tc>
      </w:tr>
      <w:tr w:rsidR="00641D9C" w:rsidRPr="00A22864" w:rsidTr="000565D9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641D9C" w:rsidRPr="00A22864" w:rsidRDefault="00641D9C" w:rsidP="00274EFF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A821AC" w:rsidRPr="00A22864" w:rsidTr="0033031F">
        <w:trPr>
          <w:trHeight w:val="227"/>
          <w:jc w:val="center"/>
        </w:trPr>
        <w:tc>
          <w:tcPr>
            <w:tcW w:w="260" w:type="pct"/>
            <w:vAlign w:val="center"/>
          </w:tcPr>
          <w:p w:rsidR="008E1A1C" w:rsidRPr="00151B33" w:rsidRDefault="008E1A1C" w:rsidP="005B406B">
            <w:pPr>
              <w:spacing w:after="60"/>
              <w:rPr>
                <w:b/>
                <w:lang w:val="sr-Cyrl-CS"/>
              </w:rPr>
            </w:pPr>
            <w:r w:rsidRPr="00151B33">
              <w:rPr>
                <w:b/>
                <w:lang w:val="sr-Cyrl-CS"/>
              </w:rPr>
              <w:t>1</w:t>
            </w:r>
          </w:p>
        </w:tc>
        <w:tc>
          <w:tcPr>
            <w:tcW w:w="4088" w:type="pct"/>
            <w:gridSpan w:val="9"/>
            <w:shd w:val="clear" w:color="auto" w:fill="auto"/>
            <w:vAlign w:val="center"/>
          </w:tcPr>
          <w:p w:rsidR="008E1A1C" w:rsidRPr="000565D9" w:rsidRDefault="003A4B54" w:rsidP="003A4B54">
            <w:pPr>
              <w:widowControl/>
              <w:autoSpaceDE/>
              <w:autoSpaceDN/>
              <w:adjustRightInd/>
              <w:jc w:val="both"/>
              <w:rPr>
                <w:sz w:val="18"/>
                <w:lang w:val="sr-Cyrl-CS"/>
              </w:rPr>
            </w:pPr>
            <w:r w:rsidRPr="000565D9">
              <w:rPr>
                <w:bCs/>
                <w:sz w:val="18"/>
                <w:lang w:val="pl-PL"/>
              </w:rPr>
              <w:t xml:space="preserve">Pogrmic K., Fa S., Dakic V., Kaisarevic S. and Kovacevic R. (2009) </w:t>
            </w:r>
            <w:r w:rsidRPr="000565D9">
              <w:rPr>
                <w:bCs/>
                <w:sz w:val="18"/>
              </w:rPr>
              <w:t xml:space="preserve">Atrazine Oral Exposure of Peripubertal Male Rats Downregulates Steroidogenesis Gene Expression in Leydig Cells. </w:t>
            </w:r>
            <w:r w:rsidRPr="000565D9">
              <w:rPr>
                <w:bCs/>
                <w:i/>
                <w:sz w:val="18"/>
              </w:rPr>
              <w:t>Toxicological Sciences</w:t>
            </w:r>
            <w:r w:rsidRPr="000565D9">
              <w:rPr>
                <w:bCs/>
                <w:sz w:val="18"/>
              </w:rPr>
              <w:t xml:space="preserve"> 111(1): 189-197.</w:t>
            </w:r>
            <w:r w:rsidRPr="000565D9">
              <w:rPr>
                <w:sz w:val="18"/>
                <w:shd w:val="clear" w:color="auto" w:fill="FFFFFF"/>
              </w:rPr>
              <w:t xml:space="preserve"> </w:t>
            </w:r>
          </w:p>
        </w:tc>
        <w:tc>
          <w:tcPr>
            <w:tcW w:w="652" w:type="pct"/>
            <w:vAlign w:val="center"/>
          </w:tcPr>
          <w:p w:rsidR="008E1A1C" w:rsidRPr="0033031F" w:rsidRDefault="008E1A1C" w:rsidP="005B406B">
            <w:pPr>
              <w:spacing w:after="60"/>
              <w:rPr>
                <w:lang w:val="sr-Cyrl-CS"/>
              </w:rPr>
            </w:pPr>
            <w:r w:rsidRPr="0033031F">
              <w:rPr>
                <w:lang w:val="sr-Cyrl-CS"/>
              </w:rPr>
              <w:t>М21</w:t>
            </w:r>
            <w:r w:rsidR="003A4B54" w:rsidRPr="0033031F">
              <w:rPr>
                <w:lang w:val="sr-Cyrl-CS"/>
              </w:rPr>
              <w:t>а</w:t>
            </w:r>
          </w:p>
        </w:tc>
      </w:tr>
      <w:tr w:rsidR="00A821AC" w:rsidRPr="00A22864" w:rsidTr="0033031F">
        <w:trPr>
          <w:trHeight w:val="227"/>
          <w:jc w:val="center"/>
        </w:trPr>
        <w:tc>
          <w:tcPr>
            <w:tcW w:w="260" w:type="pct"/>
            <w:vAlign w:val="center"/>
          </w:tcPr>
          <w:p w:rsidR="008E1A1C" w:rsidRPr="00151B33" w:rsidRDefault="008E1A1C" w:rsidP="005B406B">
            <w:pPr>
              <w:spacing w:after="60"/>
              <w:rPr>
                <w:b/>
                <w:lang w:val="sr-Cyrl-CS"/>
              </w:rPr>
            </w:pPr>
            <w:r w:rsidRPr="00151B33">
              <w:rPr>
                <w:b/>
                <w:lang w:val="sr-Cyrl-CS"/>
              </w:rPr>
              <w:t>2</w:t>
            </w:r>
          </w:p>
        </w:tc>
        <w:tc>
          <w:tcPr>
            <w:tcW w:w="4088" w:type="pct"/>
            <w:gridSpan w:val="9"/>
            <w:shd w:val="clear" w:color="auto" w:fill="auto"/>
            <w:vAlign w:val="center"/>
          </w:tcPr>
          <w:p w:rsidR="008E1A1C" w:rsidRPr="000565D9" w:rsidRDefault="003A4B54" w:rsidP="003A4B54">
            <w:pPr>
              <w:widowControl/>
              <w:jc w:val="both"/>
              <w:outlineLvl w:val="0"/>
              <w:rPr>
                <w:sz w:val="18"/>
                <w:lang w:val="sr-Cyrl-CS"/>
              </w:rPr>
            </w:pPr>
            <w:r w:rsidRPr="000565D9">
              <w:rPr>
                <w:sz w:val="18"/>
              </w:rPr>
              <w:t xml:space="preserve">Pogrmic-Majkic K., Fa S., Dakic V., Kaisarevic S., Kovacevic R. (2010) Upregulation of peripubertal rat Leydig cell steroidogenesis following 24h in vitro and in vivo exposure to atrazine. </w:t>
            </w:r>
            <w:r w:rsidRPr="000565D9">
              <w:rPr>
                <w:i/>
                <w:sz w:val="18"/>
              </w:rPr>
              <w:t>Toxicological Sciences</w:t>
            </w:r>
            <w:r w:rsidRPr="000565D9">
              <w:rPr>
                <w:sz w:val="18"/>
              </w:rPr>
              <w:t xml:space="preserve"> 118(1), 52-60. </w:t>
            </w:r>
          </w:p>
        </w:tc>
        <w:tc>
          <w:tcPr>
            <w:tcW w:w="652" w:type="pct"/>
            <w:vAlign w:val="center"/>
          </w:tcPr>
          <w:p w:rsidR="008E1A1C" w:rsidRPr="0033031F" w:rsidRDefault="008E1A1C" w:rsidP="005B406B">
            <w:pPr>
              <w:spacing w:after="60"/>
              <w:rPr>
                <w:lang w:val="sr-Cyrl-CS"/>
              </w:rPr>
            </w:pPr>
            <w:r w:rsidRPr="0033031F">
              <w:rPr>
                <w:lang w:val="sr-Cyrl-CS"/>
              </w:rPr>
              <w:t>М21</w:t>
            </w:r>
            <w:r w:rsidR="003A4B54" w:rsidRPr="0033031F">
              <w:rPr>
                <w:lang w:val="sr-Cyrl-CS"/>
              </w:rPr>
              <w:t>а</w:t>
            </w:r>
          </w:p>
        </w:tc>
      </w:tr>
      <w:tr w:rsidR="003A4B54" w:rsidRPr="00A22864" w:rsidTr="0033031F">
        <w:trPr>
          <w:trHeight w:val="227"/>
          <w:jc w:val="center"/>
        </w:trPr>
        <w:tc>
          <w:tcPr>
            <w:tcW w:w="260" w:type="pct"/>
            <w:vAlign w:val="center"/>
          </w:tcPr>
          <w:p w:rsidR="003A4B54" w:rsidRPr="00151B33" w:rsidRDefault="003A4B54" w:rsidP="005B406B">
            <w:pPr>
              <w:spacing w:after="60"/>
              <w:rPr>
                <w:b/>
                <w:lang w:val="sr-Cyrl-CS"/>
              </w:rPr>
            </w:pPr>
            <w:r w:rsidRPr="00151B33">
              <w:rPr>
                <w:b/>
                <w:lang w:val="sr-Cyrl-CS"/>
              </w:rPr>
              <w:t>3</w:t>
            </w:r>
          </w:p>
        </w:tc>
        <w:tc>
          <w:tcPr>
            <w:tcW w:w="4088" w:type="pct"/>
            <w:gridSpan w:val="9"/>
            <w:shd w:val="clear" w:color="auto" w:fill="auto"/>
          </w:tcPr>
          <w:p w:rsidR="003A4B54" w:rsidRPr="000565D9" w:rsidRDefault="003A4B54" w:rsidP="00E66539">
            <w:pPr>
              <w:spacing w:after="60"/>
              <w:rPr>
                <w:b/>
                <w:sz w:val="18"/>
                <w:lang w:val="sr-Cyrl-CS"/>
              </w:rPr>
            </w:pPr>
            <w:proofErr w:type="spellStart"/>
            <w:r w:rsidRPr="000565D9">
              <w:rPr>
                <w:sz w:val="18"/>
                <w:lang w:val="en-US"/>
              </w:rPr>
              <w:t>Fa</w:t>
            </w:r>
            <w:proofErr w:type="spellEnd"/>
            <w:r w:rsidRPr="000565D9">
              <w:rPr>
                <w:sz w:val="18"/>
                <w:lang w:val="en-US"/>
              </w:rPr>
              <w:t xml:space="preserve"> S, </w:t>
            </w:r>
            <w:proofErr w:type="spellStart"/>
            <w:r w:rsidRPr="000565D9">
              <w:rPr>
                <w:sz w:val="18"/>
                <w:lang w:val="en-US"/>
              </w:rPr>
              <w:t>Pogrmic-Majkic</w:t>
            </w:r>
            <w:proofErr w:type="spellEnd"/>
            <w:r w:rsidRPr="000565D9">
              <w:rPr>
                <w:sz w:val="18"/>
                <w:lang w:val="en-US"/>
              </w:rPr>
              <w:t xml:space="preserve"> K, </w:t>
            </w:r>
            <w:proofErr w:type="spellStart"/>
            <w:r w:rsidRPr="000565D9">
              <w:rPr>
                <w:sz w:val="18"/>
                <w:lang w:val="en-US"/>
              </w:rPr>
              <w:t>Samardzija</w:t>
            </w:r>
            <w:proofErr w:type="spellEnd"/>
            <w:r w:rsidRPr="000565D9">
              <w:rPr>
                <w:sz w:val="18"/>
                <w:lang w:val="en-US"/>
              </w:rPr>
              <w:t xml:space="preserve"> D, </w:t>
            </w:r>
            <w:proofErr w:type="spellStart"/>
            <w:r w:rsidRPr="000565D9">
              <w:rPr>
                <w:sz w:val="18"/>
                <w:lang w:val="en-US"/>
              </w:rPr>
              <w:t>Glisic</w:t>
            </w:r>
            <w:proofErr w:type="spellEnd"/>
            <w:r w:rsidRPr="000565D9">
              <w:rPr>
                <w:sz w:val="18"/>
                <w:lang w:val="en-US"/>
              </w:rPr>
              <w:t xml:space="preserve"> B, </w:t>
            </w:r>
            <w:proofErr w:type="spellStart"/>
            <w:r w:rsidRPr="000565D9">
              <w:rPr>
                <w:sz w:val="18"/>
                <w:lang w:val="en-US"/>
              </w:rPr>
              <w:t>Kaisarevic</w:t>
            </w:r>
            <w:proofErr w:type="spellEnd"/>
            <w:r w:rsidRPr="000565D9">
              <w:rPr>
                <w:sz w:val="18"/>
                <w:lang w:val="en-US"/>
              </w:rPr>
              <w:t xml:space="preserve"> S, </w:t>
            </w:r>
            <w:proofErr w:type="spellStart"/>
            <w:r w:rsidRPr="000565D9">
              <w:rPr>
                <w:sz w:val="18"/>
                <w:lang w:val="en-US"/>
              </w:rPr>
              <w:t>Kovacevic</w:t>
            </w:r>
            <w:proofErr w:type="spellEnd"/>
            <w:r w:rsidRPr="000565D9">
              <w:rPr>
                <w:sz w:val="18"/>
                <w:lang w:val="en-US"/>
              </w:rPr>
              <w:t xml:space="preserve"> R, Andric N (2013): Involvement of ERK1/2 signaling pathway in atrazine action on FSH-stimulated LHR and CYP19A1 expression in rat granulosa cells. </w:t>
            </w:r>
            <w:r w:rsidRPr="000565D9">
              <w:rPr>
                <w:i/>
                <w:sz w:val="18"/>
                <w:lang w:val="en-US"/>
              </w:rPr>
              <w:t>Toxicology and Applied Pharmacology</w:t>
            </w:r>
            <w:r w:rsidRPr="000565D9">
              <w:rPr>
                <w:sz w:val="18"/>
                <w:lang w:val="en-US"/>
              </w:rPr>
              <w:t>, Volume 270, Issue 1, pp 1-</w:t>
            </w:r>
            <w:proofErr w:type="gramStart"/>
            <w:r w:rsidRPr="000565D9">
              <w:rPr>
                <w:sz w:val="18"/>
                <w:lang w:val="en-US"/>
              </w:rPr>
              <w:t>8 .</w:t>
            </w:r>
            <w:proofErr w:type="gramEnd"/>
          </w:p>
        </w:tc>
        <w:tc>
          <w:tcPr>
            <w:tcW w:w="652" w:type="pct"/>
            <w:vAlign w:val="center"/>
          </w:tcPr>
          <w:p w:rsidR="003A4B54" w:rsidRPr="0033031F" w:rsidRDefault="003A4B54" w:rsidP="005B406B">
            <w:pPr>
              <w:spacing w:after="60"/>
              <w:rPr>
                <w:lang w:val="sr-Cyrl-CS"/>
              </w:rPr>
            </w:pPr>
            <w:r w:rsidRPr="0033031F">
              <w:rPr>
                <w:lang w:val="sr-Cyrl-CS"/>
              </w:rPr>
              <w:t>М21</w:t>
            </w:r>
          </w:p>
        </w:tc>
      </w:tr>
      <w:tr w:rsidR="003A4B54" w:rsidRPr="00A22864" w:rsidTr="0033031F">
        <w:trPr>
          <w:trHeight w:val="227"/>
          <w:jc w:val="center"/>
        </w:trPr>
        <w:tc>
          <w:tcPr>
            <w:tcW w:w="260" w:type="pct"/>
            <w:vAlign w:val="center"/>
          </w:tcPr>
          <w:p w:rsidR="003A4B54" w:rsidRPr="00151B33" w:rsidRDefault="003A4B54" w:rsidP="005B406B">
            <w:pPr>
              <w:spacing w:after="60"/>
              <w:rPr>
                <w:b/>
                <w:lang w:val="sr-Cyrl-CS"/>
              </w:rPr>
            </w:pPr>
            <w:r w:rsidRPr="00151B33">
              <w:rPr>
                <w:b/>
                <w:lang w:val="sr-Cyrl-CS"/>
              </w:rPr>
              <w:t>4</w:t>
            </w:r>
          </w:p>
        </w:tc>
        <w:tc>
          <w:tcPr>
            <w:tcW w:w="4088" w:type="pct"/>
            <w:gridSpan w:val="9"/>
            <w:shd w:val="clear" w:color="auto" w:fill="auto"/>
          </w:tcPr>
          <w:p w:rsidR="003A4B54" w:rsidRPr="000565D9" w:rsidRDefault="003A4B54" w:rsidP="00E66539">
            <w:pPr>
              <w:widowControl/>
              <w:jc w:val="both"/>
              <w:outlineLvl w:val="0"/>
              <w:rPr>
                <w:sz w:val="18"/>
                <w:lang w:val="en-US"/>
              </w:rPr>
            </w:pPr>
            <w:r w:rsidRPr="000565D9">
              <w:rPr>
                <w:rFonts w:eastAsia="TimesNewRomanPSMT"/>
                <w:sz w:val="18"/>
              </w:rPr>
              <w:t xml:space="preserve">Fa S., Samardzija D., Odzic Lj., Pogrmic-Majkic K., Kaisarevic S., Kovacevic R., Andric N. (2014) Hexabromocyclododecane facilitates FSH activation of ERK1/2 and AKT through Epidermal Growth Factor Receptor in rat granulosa cells. </w:t>
            </w:r>
            <w:r w:rsidRPr="000565D9">
              <w:rPr>
                <w:rFonts w:eastAsia="TimesNewRomanPSMT"/>
                <w:i/>
                <w:iCs/>
                <w:sz w:val="18"/>
              </w:rPr>
              <w:t>Archives of Toxicology,</w:t>
            </w:r>
            <w:r w:rsidRPr="000565D9">
              <w:rPr>
                <w:rStyle w:val="articlecitationvolume"/>
                <w:sz w:val="18"/>
              </w:rPr>
              <w:t xml:space="preserve"> 88 (2),</w:t>
            </w:r>
            <w:r w:rsidRPr="000565D9">
              <w:rPr>
                <w:rStyle w:val="articlecitationpages"/>
                <w:sz w:val="18"/>
              </w:rPr>
              <w:t xml:space="preserve">  345-354. </w:t>
            </w:r>
          </w:p>
        </w:tc>
        <w:tc>
          <w:tcPr>
            <w:tcW w:w="652" w:type="pct"/>
            <w:vAlign w:val="center"/>
          </w:tcPr>
          <w:p w:rsidR="003A4B54" w:rsidRPr="0033031F" w:rsidRDefault="003A4B54" w:rsidP="003A4B54">
            <w:pPr>
              <w:spacing w:after="60"/>
              <w:rPr>
                <w:lang w:val="sr-Cyrl-CS"/>
              </w:rPr>
            </w:pPr>
            <w:r w:rsidRPr="0033031F">
              <w:rPr>
                <w:lang w:val="sr-Cyrl-CS"/>
              </w:rPr>
              <w:t>М21а</w:t>
            </w:r>
          </w:p>
        </w:tc>
      </w:tr>
      <w:tr w:rsidR="003A4B54" w:rsidRPr="00A22864" w:rsidTr="0033031F">
        <w:trPr>
          <w:trHeight w:val="227"/>
          <w:jc w:val="center"/>
        </w:trPr>
        <w:tc>
          <w:tcPr>
            <w:tcW w:w="260" w:type="pct"/>
            <w:vAlign w:val="center"/>
          </w:tcPr>
          <w:p w:rsidR="003A4B54" w:rsidRPr="00151B33" w:rsidRDefault="003A4B54" w:rsidP="005B406B">
            <w:pPr>
              <w:spacing w:after="60"/>
              <w:rPr>
                <w:b/>
                <w:lang w:val="sr-Cyrl-CS"/>
              </w:rPr>
            </w:pPr>
            <w:r w:rsidRPr="00151B33">
              <w:rPr>
                <w:b/>
                <w:lang w:val="sr-Cyrl-CS"/>
              </w:rPr>
              <w:t>5</w:t>
            </w:r>
          </w:p>
        </w:tc>
        <w:tc>
          <w:tcPr>
            <w:tcW w:w="4088" w:type="pct"/>
            <w:gridSpan w:val="9"/>
            <w:shd w:val="clear" w:color="auto" w:fill="auto"/>
          </w:tcPr>
          <w:p w:rsidR="003A4B54" w:rsidRPr="000565D9" w:rsidRDefault="003A4B54" w:rsidP="003A4B54">
            <w:pPr>
              <w:widowControl/>
              <w:jc w:val="both"/>
              <w:outlineLvl w:val="0"/>
              <w:rPr>
                <w:sz w:val="18"/>
                <w:lang w:val="en-US"/>
              </w:rPr>
            </w:pPr>
            <w:r w:rsidRPr="000565D9">
              <w:rPr>
                <w:sz w:val="18"/>
              </w:rPr>
              <w:t xml:space="preserve">Pogrmic-Majkic K., </w:t>
            </w:r>
            <w:r w:rsidRPr="000565D9">
              <w:rPr>
                <w:rFonts w:eastAsia="MS Mincho"/>
                <w:sz w:val="18"/>
              </w:rPr>
              <w:t xml:space="preserve">Samardzija D, Fa S, Hrubik J, Glisic B, Kaisarevic S, Andric N (2014). Atrazine enhances progesterone production through activation of multiple signaling pathways in FSH-stimulated rat granulosa cells: evidence for premature luteinization. </w:t>
            </w:r>
            <w:r w:rsidRPr="000565D9">
              <w:rPr>
                <w:rFonts w:eastAsia="MS Mincho"/>
                <w:i/>
                <w:sz w:val="18"/>
              </w:rPr>
              <w:t>Biology of Reproduction</w:t>
            </w:r>
            <w:r w:rsidRPr="000565D9">
              <w:rPr>
                <w:rFonts w:eastAsia="MS Mincho"/>
                <w:sz w:val="18"/>
              </w:rPr>
              <w:t xml:space="preserve">, </w:t>
            </w:r>
            <w:r w:rsidRPr="000565D9">
              <w:rPr>
                <w:rFonts w:cs="Arial"/>
                <w:sz w:val="18"/>
              </w:rPr>
              <w:t>Nov;91(5);124: 1-10</w:t>
            </w:r>
          </w:p>
        </w:tc>
        <w:tc>
          <w:tcPr>
            <w:tcW w:w="652" w:type="pct"/>
            <w:vAlign w:val="center"/>
          </w:tcPr>
          <w:p w:rsidR="003A4B54" w:rsidRPr="0033031F" w:rsidRDefault="003A4B54" w:rsidP="003A4B54">
            <w:pPr>
              <w:spacing w:after="60"/>
              <w:rPr>
                <w:lang w:val="sr-Cyrl-CS"/>
              </w:rPr>
            </w:pPr>
            <w:r w:rsidRPr="0033031F">
              <w:rPr>
                <w:lang w:val="sr-Cyrl-CS"/>
              </w:rPr>
              <w:t>М21</w:t>
            </w:r>
          </w:p>
        </w:tc>
      </w:tr>
      <w:tr w:rsidR="003A4B54" w:rsidRPr="00A22864" w:rsidTr="0033031F">
        <w:trPr>
          <w:trHeight w:val="227"/>
          <w:jc w:val="center"/>
        </w:trPr>
        <w:tc>
          <w:tcPr>
            <w:tcW w:w="260" w:type="pct"/>
            <w:vAlign w:val="center"/>
          </w:tcPr>
          <w:p w:rsidR="003A4B54" w:rsidRPr="00151B33" w:rsidRDefault="003A4B54" w:rsidP="005B406B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6</w:t>
            </w:r>
          </w:p>
        </w:tc>
        <w:tc>
          <w:tcPr>
            <w:tcW w:w="4088" w:type="pct"/>
            <w:gridSpan w:val="9"/>
            <w:shd w:val="clear" w:color="auto" w:fill="auto"/>
          </w:tcPr>
          <w:p w:rsidR="003A4B54" w:rsidRPr="000565D9" w:rsidRDefault="003A4B54" w:rsidP="003A4B54">
            <w:pPr>
              <w:widowControl/>
              <w:jc w:val="both"/>
              <w:outlineLvl w:val="0"/>
              <w:rPr>
                <w:b/>
                <w:sz w:val="18"/>
                <w:lang w:val="sr-Cyrl-CS"/>
              </w:rPr>
            </w:pPr>
            <w:r w:rsidRPr="000565D9">
              <w:rPr>
                <w:rFonts w:eastAsia="TimesNewRomanPSMT"/>
                <w:sz w:val="18"/>
              </w:rPr>
              <w:t xml:space="preserve">Fa S., Pogrmic-Majkic K., Samardzija D., </w:t>
            </w:r>
            <w:r w:rsidRPr="000565D9">
              <w:rPr>
                <w:bCs/>
                <w:sz w:val="18"/>
              </w:rPr>
              <w:t>Hrubik J.</w:t>
            </w:r>
            <w:r w:rsidRPr="000565D9">
              <w:rPr>
                <w:sz w:val="18"/>
              </w:rPr>
              <w:t xml:space="preserve">, Glisic B., Kovacevic R., Andric N. (2015). HBCDD-induced sustained reduction in mitochondrial membrane potential, ATP and steroidogenesis in peripubertal rat Leydig cells. </w:t>
            </w:r>
            <w:r w:rsidRPr="000565D9">
              <w:rPr>
                <w:i/>
                <w:sz w:val="18"/>
              </w:rPr>
              <w:t>T</w:t>
            </w:r>
            <w:r w:rsidRPr="000565D9">
              <w:rPr>
                <w:i/>
                <w:iCs/>
                <w:sz w:val="18"/>
              </w:rPr>
              <w:t>oxicology and Applied Pharmacology</w:t>
            </w:r>
            <w:r w:rsidRPr="000565D9">
              <w:rPr>
                <w:sz w:val="18"/>
              </w:rPr>
              <w:t xml:space="preserve">, 282(1):20-29. </w:t>
            </w:r>
          </w:p>
        </w:tc>
        <w:tc>
          <w:tcPr>
            <w:tcW w:w="652" w:type="pct"/>
            <w:vAlign w:val="center"/>
          </w:tcPr>
          <w:p w:rsidR="003A4B54" w:rsidRPr="0033031F" w:rsidRDefault="003A4B54" w:rsidP="005B406B">
            <w:pPr>
              <w:spacing w:after="60"/>
              <w:rPr>
                <w:lang w:val="sr-Cyrl-CS"/>
              </w:rPr>
            </w:pPr>
            <w:r w:rsidRPr="0033031F">
              <w:rPr>
                <w:lang w:val="sr-Cyrl-CS"/>
              </w:rPr>
              <w:t>M21</w:t>
            </w:r>
          </w:p>
        </w:tc>
      </w:tr>
      <w:tr w:rsidR="003A4B54" w:rsidRPr="00A22864" w:rsidTr="0033031F">
        <w:trPr>
          <w:trHeight w:val="227"/>
          <w:jc w:val="center"/>
        </w:trPr>
        <w:tc>
          <w:tcPr>
            <w:tcW w:w="260" w:type="pct"/>
            <w:vAlign w:val="center"/>
          </w:tcPr>
          <w:p w:rsidR="003A4B54" w:rsidRPr="00151B33" w:rsidRDefault="003A4B54" w:rsidP="005B406B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7</w:t>
            </w:r>
          </w:p>
        </w:tc>
        <w:tc>
          <w:tcPr>
            <w:tcW w:w="4088" w:type="pct"/>
            <w:gridSpan w:val="9"/>
            <w:shd w:val="clear" w:color="auto" w:fill="auto"/>
          </w:tcPr>
          <w:p w:rsidR="003A4B54" w:rsidRPr="000565D9" w:rsidRDefault="003A4B54" w:rsidP="00F52DD7">
            <w:pPr>
              <w:jc w:val="both"/>
              <w:rPr>
                <w:b/>
                <w:sz w:val="18"/>
                <w:lang w:val="sr-Cyrl-CS"/>
              </w:rPr>
            </w:pPr>
            <w:r w:rsidRPr="000565D9">
              <w:rPr>
                <w:sz w:val="18"/>
                <w:lang w:val="hr-HR"/>
              </w:rPr>
              <w:t xml:space="preserve">Pogrmic-Majkic K., Fa S., Samardzija D., Hrubik J., Kaisarevic S., Andric N. (2016) Atrazine activates multiple signaling pathways enhancing the rapid hCG-induced androgenesis in rat Leydig cells. </w:t>
            </w:r>
            <w:r w:rsidRPr="000565D9">
              <w:rPr>
                <w:i/>
                <w:sz w:val="18"/>
                <w:lang w:val="hr-HR"/>
              </w:rPr>
              <w:t>Toxicology</w:t>
            </w:r>
            <w:r w:rsidRPr="000565D9">
              <w:rPr>
                <w:sz w:val="18"/>
                <w:lang w:val="hr-HR"/>
              </w:rPr>
              <w:t xml:space="preserve"> 368-369: 37–45.</w:t>
            </w:r>
          </w:p>
        </w:tc>
        <w:tc>
          <w:tcPr>
            <w:tcW w:w="652" w:type="pct"/>
            <w:vAlign w:val="center"/>
          </w:tcPr>
          <w:p w:rsidR="003A4B54" w:rsidRPr="0033031F" w:rsidRDefault="003A4B54" w:rsidP="005B406B">
            <w:pPr>
              <w:spacing w:after="60"/>
              <w:rPr>
                <w:lang w:val="sr-Cyrl-CS"/>
              </w:rPr>
            </w:pPr>
            <w:r w:rsidRPr="0033031F">
              <w:rPr>
                <w:lang w:val="sr-Cyrl-CS"/>
              </w:rPr>
              <w:t>М21</w:t>
            </w:r>
          </w:p>
        </w:tc>
      </w:tr>
      <w:tr w:rsidR="003A4B54" w:rsidRPr="00A22864" w:rsidTr="0033031F">
        <w:trPr>
          <w:trHeight w:val="227"/>
          <w:jc w:val="center"/>
        </w:trPr>
        <w:tc>
          <w:tcPr>
            <w:tcW w:w="260" w:type="pct"/>
            <w:vAlign w:val="center"/>
          </w:tcPr>
          <w:p w:rsidR="003A4B54" w:rsidRPr="00151B33" w:rsidRDefault="003A4B54" w:rsidP="005B406B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8</w:t>
            </w:r>
          </w:p>
        </w:tc>
        <w:tc>
          <w:tcPr>
            <w:tcW w:w="4088" w:type="pct"/>
            <w:gridSpan w:val="9"/>
            <w:shd w:val="clear" w:color="auto" w:fill="auto"/>
          </w:tcPr>
          <w:p w:rsidR="003A4B54" w:rsidRPr="000565D9" w:rsidRDefault="003A4B54" w:rsidP="005B406B">
            <w:pPr>
              <w:spacing w:after="60"/>
              <w:rPr>
                <w:sz w:val="18"/>
              </w:rPr>
            </w:pPr>
            <w:r w:rsidRPr="000565D9">
              <w:rPr>
                <w:sz w:val="18"/>
              </w:rPr>
              <w:t>Samardzija D, Pogrmic-Majkic K, Fa S, Glisic B, Stanic B, Andric N (2016). Atrazine blocks ovulation via suppression of Lhr and Cyp19a1 mRNA and estradiol secretion in immature gonadotropin-treated rats. Reprod Toxicol. 2016 Jun; 61:10-8.</w:t>
            </w:r>
          </w:p>
        </w:tc>
        <w:tc>
          <w:tcPr>
            <w:tcW w:w="652" w:type="pct"/>
            <w:vAlign w:val="center"/>
          </w:tcPr>
          <w:p w:rsidR="003A4B54" w:rsidRPr="0033031F" w:rsidRDefault="003A4B54" w:rsidP="005B406B">
            <w:pPr>
              <w:spacing w:after="60"/>
              <w:rPr>
                <w:lang w:val="sr-Cyrl-CS"/>
              </w:rPr>
            </w:pPr>
            <w:r w:rsidRPr="0033031F">
              <w:rPr>
                <w:lang w:val="sr-Cyrl-CS"/>
              </w:rPr>
              <w:t>М21</w:t>
            </w:r>
          </w:p>
        </w:tc>
      </w:tr>
      <w:tr w:rsidR="003A4B54" w:rsidRPr="00A22864" w:rsidTr="0033031F">
        <w:trPr>
          <w:trHeight w:val="227"/>
          <w:jc w:val="center"/>
        </w:trPr>
        <w:tc>
          <w:tcPr>
            <w:tcW w:w="260" w:type="pct"/>
            <w:vAlign w:val="center"/>
          </w:tcPr>
          <w:p w:rsidR="003A4B54" w:rsidRPr="00151B33" w:rsidRDefault="003A4B54" w:rsidP="005B406B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9</w:t>
            </w:r>
          </w:p>
        </w:tc>
        <w:tc>
          <w:tcPr>
            <w:tcW w:w="4088" w:type="pct"/>
            <w:gridSpan w:val="9"/>
            <w:shd w:val="clear" w:color="auto" w:fill="auto"/>
          </w:tcPr>
          <w:p w:rsidR="003A4B54" w:rsidRPr="000565D9" w:rsidRDefault="003A4B54" w:rsidP="00F52DD7">
            <w:pPr>
              <w:spacing w:after="60"/>
              <w:rPr>
                <w:sz w:val="18"/>
                <w:lang w:val="en-US"/>
              </w:rPr>
            </w:pPr>
            <w:proofErr w:type="spellStart"/>
            <w:r w:rsidRPr="000565D9">
              <w:rPr>
                <w:sz w:val="18"/>
                <w:lang w:val="en-US"/>
              </w:rPr>
              <w:t>Samardzija</w:t>
            </w:r>
            <w:proofErr w:type="spellEnd"/>
            <w:r w:rsidRPr="000565D9">
              <w:rPr>
                <w:sz w:val="18"/>
                <w:lang w:val="en-US"/>
              </w:rPr>
              <w:t xml:space="preserve"> D, </w:t>
            </w:r>
            <w:proofErr w:type="spellStart"/>
            <w:r w:rsidRPr="000565D9">
              <w:rPr>
                <w:sz w:val="18"/>
                <w:lang w:val="en-US"/>
              </w:rPr>
              <w:t>Pogrmic-Majkic</w:t>
            </w:r>
            <w:proofErr w:type="spellEnd"/>
            <w:r w:rsidRPr="000565D9">
              <w:rPr>
                <w:sz w:val="18"/>
                <w:lang w:val="en-US"/>
              </w:rPr>
              <w:t xml:space="preserve"> K, </w:t>
            </w:r>
            <w:proofErr w:type="spellStart"/>
            <w:r w:rsidRPr="000565D9">
              <w:rPr>
                <w:sz w:val="18"/>
                <w:lang w:val="en-US"/>
              </w:rPr>
              <w:t>Fa</w:t>
            </w:r>
            <w:proofErr w:type="spellEnd"/>
            <w:r w:rsidRPr="000565D9">
              <w:rPr>
                <w:sz w:val="18"/>
                <w:lang w:val="en-US"/>
              </w:rPr>
              <w:t xml:space="preserve"> S, </w:t>
            </w:r>
            <w:proofErr w:type="spellStart"/>
            <w:r w:rsidRPr="000565D9">
              <w:rPr>
                <w:sz w:val="18"/>
                <w:lang w:val="en-US"/>
              </w:rPr>
              <w:t>Glisic</w:t>
            </w:r>
            <w:proofErr w:type="spellEnd"/>
            <w:r w:rsidRPr="000565D9">
              <w:rPr>
                <w:sz w:val="18"/>
                <w:lang w:val="en-US"/>
              </w:rPr>
              <w:t xml:space="preserve"> B, </w:t>
            </w:r>
            <w:proofErr w:type="spellStart"/>
            <w:proofErr w:type="gramStart"/>
            <w:r w:rsidRPr="000565D9">
              <w:rPr>
                <w:sz w:val="18"/>
                <w:lang w:val="en-US"/>
              </w:rPr>
              <w:t>Stanic</w:t>
            </w:r>
            <w:proofErr w:type="spellEnd"/>
            <w:proofErr w:type="gramEnd"/>
            <w:r w:rsidRPr="000565D9">
              <w:rPr>
                <w:sz w:val="18"/>
                <w:lang w:val="en-US"/>
              </w:rPr>
              <w:t xml:space="preserve"> B, Andric N (2016): Atrazine blocks ovulation via suppression of </w:t>
            </w:r>
            <w:proofErr w:type="spellStart"/>
            <w:r w:rsidRPr="000565D9">
              <w:rPr>
                <w:sz w:val="18"/>
                <w:lang w:val="en-US"/>
              </w:rPr>
              <w:t>Lhr</w:t>
            </w:r>
            <w:proofErr w:type="spellEnd"/>
            <w:r w:rsidRPr="000565D9">
              <w:rPr>
                <w:sz w:val="18"/>
                <w:lang w:val="en-US"/>
              </w:rPr>
              <w:t xml:space="preserve"> and Cyp19a1 mRNA and estradiol secretion in immature gonadotropin-treated rats. </w:t>
            </w:r>
            <w:r w:rsidRPr="000565D9">
              <w:rPr>
                <w:i/>
                <w:sz w:val="18"/>
                <w:lang w:val="en-US"/>
              </w:rPr>
              <w:t>Reproductive Toxicology</w:t>
            </w:r>
            <w:r w:rsidRPr="000565D9">
              <w:rPr>
                <w:sz w:val="18"/>
                <w:lang w:val="en-US"/>
              </w:rPr>
              <w:t>, Volume 61, pp 10-18.</w:t>
            </w:r>
          </w:p>
        </w:tc>
        <w:tc>
          <w:tcPr>
            <w:tcW w:w="652" w:type="pct"/>
            <w:vAlign w:val="center"/>
          </w:tcPr>
          <w:p w:rsidR="003A4B54" w:rsidRPr="0033031F" w:rsidRDefault="003A4B54" w:rsidP="005B406B">
            <w:pPr>
              <w:spacing w:after="60"/>
              <w:rPr>
                <w:lang w:val="sr-Cyrl-CS"/>
              </w:rPr>
            </w:pPr>
            <w:r w:rsidRPr="0033031F">
              <w:rPr>
                <w:lang w:val="sr-Cyrl-CS"/>
              </w:rPr>
              <w:t>M21</w:t>
            </w:r>
          </w:p>
        </w:tc>
      </w:tr>
      <w:tr w:rsidR="003A4B54" w:rsidRPr="00A22864" w:rsidTr="0033031F">
        <w:trPr>
          <w:trHeight w:val="227"/>
          <w:jc w:val="center"/>
        </w:trPr>
        <w:tc>
          <w:tcPr>
            <w:tcW w:w="260" w:type="pct"/>
            <w:vAlign w:val="center"/>
          </w:tcPr>
          <w:p w:rsidR="003A4B54" w:rsidRPr="00151B33" w:rsidRDefault="003A4B54" w:rsidP="005B406B">
            <w:pPr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10</w:t>
            </w:r>
          </w:p>
        </w:tc>
        <w:tc>
          <w:tcPr>
            <w:tcW w:w="4088" w:type="pct"/>
            <w:gridSpan w:val="9"/>
            <w:shd w:val="clear" w:color="auto" w:fill="auto"/>
          </w:tcPr>
          <w:p w:rsidR="003A4B54" w:rsidRPr="000565D9" w:rsidRDefault="003A4B54" w:rsidP="005B406B">
            <w:pPr>
              <w:spacing w:after="60"/>
              <w:rPr>
                <w:b/>
                <w:sz w:val="18"/>
                <w:lang w:val="sr-Cyrl-CS"/>
              </w:rPr>
            </w:pPr>
            <w:r w:rsidRPr="000565D9">
              <w:rPr>
                <w:sz w:val="18"/>
                <w:lang w:val="sr-Cyrl-CS"/>
              </w:rPr>
              <w:t xml:space="preserve">Samardzija D., </w:t>
            </w:r>
            <w:r w:rsidRPr="000565D9">
              <w:rPr>
                <w:sz w:val="18"/>
              </w:rPr>
              <w:t xml:space="preserve">Pogrmic-Majkic K., Fa S., Stanic B., Jasnic J., Andric N. (2018). Bisphenol A </w:t>
            </w:r>
            <w:r w:rsidRPr="000565D9">
              <w:rPr>
                <w:sz w:val="18"/>
                <w:lang w:val="en-US"/>
              </w:rPr>
              <w:t xml:space="preserve">decreases progesterone synthesis by disrupting cholesterol homeostasis in rat granulosa cells. </w:t>
            </w:r>
            <w:r w:rsidRPr="000565D9">
              <w:rPr>
                <w:i/>
                <w:sz w:val="18"/>
                <w:lang w:val="en-US"/>
              </w:rPr>
              <w:t>Molecular and Cellular Endocrinology</w:t>
            </w:r>
            <w:r w:rsidRPr="000565D9">
              <w:rPr>
                <w:sz w:val="18"/>
                <w:lang w:val="en-US"/>
              </w:rPr>
              <w:t>, Volume 461, 5; 55-63</w:t>
            </w:r>
            <w:r w:rsidRPr="000565D9">
              <w:rPr>
                <w:sz w:val="18"/>
              </w:rPr>
              <w:t>.</w:t>
            </w:r>
          </w:p>
        </w:tc>
        <w:tc>
          <w:tcPr>
            <w:tcW w:w="652" w:type="pct"/>
            <w:vAlign w:val="center"/>
          </w:tcPr>
          <w:p w:rsidR="003A4B54" w:rsidRPr="0033031F" w:rsidRDefault="003A4B54" w:rsidP="005B406B">
            <w:pPr>
              <w:spacing w:after="60"/>
              <w:rPr>
                <w:lang w:val="sr-Cyrl-CS"/>
              </w:rPr>
            </w:pPr>
            <w:r w:rsidRPr="0033031F">
              <w:rPr>
                <w:lang w:val="sr-Cyrl-CS"/>
              </w:rPr>
              <w:t>М22</w:t>
            </w:r>
          </w:p>
        </w:tc>
      </w:tr>
      <w:tr w:rsidR="003A4B54" w:rsidRPr="00A22864" w:rsidTr="000565D9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3A4B54" w:rsidRPr="00A22864" w:rsidRDefault="003A4B54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3A4B54" w:rsidRPr="00A22864" w:rsidTr="0033031F">
        <w:trPr>
          <w:trHeight w:val="227"/>
          <w:jc w:val="center"/>
        </w:trPr>
        <w:tc>
          <w:tcPr>
            <w:tcW w:w="1802" w:type="pct"/>
            <w:gridSpan w:val="6"/>
            <w:vAlign w:val="center"/>
          </w:tcPr>
          <w:p w:rsidR="003A4B54" w:rsidRPr="00A22864" w:rsidRDefault="003A4B54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3198" w:type="pct"/>
            <w:gridSpan w:val="5"/>
            <w:vAlign w:val="center"/>
          </w:tcPr>
          <w:p w:rsidR="003A4B54" w:rsidRPr="00A22864" w:rsidRDefault="00484E99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218</w:t>
            </w:r>
          </w:p>
        </w:tc>
      </w:tr>
      <w:tr w:rsidR="003A4B54" w:rsidRPr="00A22864" w:rsidTr="0033031F">
        <w:trPr>
          <w:trHeight w:val="227"/>
          <w:jc w:val="center"/>
        </w:trPr>
        <w:tc>
          <w:tcPr>
            <w:tcW w:w="1802" w:type="pct"/>
            <w:gridSpan w:val="6"/>
            <w:vAlign w:val="center"/>
          </w:tcPr>
          <w:p w:rsidR="003A4B54" w:rsidRPr="00A22864" w:rsidRDefault="003A4B54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3198" w:type="pct"/>
            <w:gridSpan w:val="5"/>
            <w:vAlign w:val="center"/>
          </w:tcPr>
          <w:p w:rsidR="003A4B54" w:rsidRPr="00A22864" w:rsidRDefault="00484E99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23</w:t>
            </w:r>
          </w:p>
        </w:tc>
      </w:tr>
      <w:tr w:rsidR="003A4B54" w:rsidRPr="00A22864" w:rsidTr="00C357CE">
        <w:trPr>
          <w:trHeight w:val="227"/>
          <w:jc w:val="center"/>
        </w:trPr>
        <w:tc>
          <w:tcPr>
            <w:tcW w:w="1802" w:type="pct"/>
            <w:gridSpan w:val="6"/>
            <w:vAlign w:val="center"/>
          </w:tcPr>
          <w:p w:rsidR="003A4B54" w:rsidRPr="00A22864" w:rsidRDefault="003A4B54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31" w:type="pct"/>
            <w:gridSpan w:val="3"/>
            <w:vAlign w:val="center"/>
          </w:tcPr>
          <w:p w:rsidR="003A4B54" w:rsidRPr="00A22864" w:rsidRDefault="003A4B54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2</w:t>
            </w:r>
          </w:p>
        </w:tc>
        <w:tc>
          <w:tcPr>
            <w:tcW w:w="767" w:type="pct"/>
            <w:gridSpan w:val="2"/>
            <w:vAlign w:val="center"/>
          </w:tcPr>
          <w:p w:rsidR="003A4B54" w:rsidRPr="00A22864" w:rsidRDefault="003A4B54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1</w:t>
            </w:r>
          </w:p>
        </w:tc>
      </w:tr>
      <w:tr w:rsidR="003A4B54" w:rsidRPr="00A22864" w:rsidTr="0033031F">
        <w:trPr>
          <w:trHeight w:val="227"/>
          <w:jc w:val="center"/>
        </w:trPr>
        <w:tc>
          <w:tcPr>
            <w:tcW w:w="1802" w:type="pct"/>
            <w:gridSpan w:val="6"/>
            <w:vAlign w:val="center"/>
          </w:tcPr>
          <w:p w:rsidR="003A4B54" w:rsidRPr="00A22864" w:rsidRDefault="003A4B54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3198" w:type="pct"/>
            <w:gridSpan w:val="5"/>
            <w:vAlign w:val="center"/>
          </w:tcPr>
          <w:p w:rsidR="00484E99" w:rsidRPr="00484E99" w:rsidRDefault="00484E99" w:rsidP="00484E99">
            <w:pPr>
              <w:widowControl/>
              <w:autoSpaceDE/>
              <w:autoSpaceDN/>
              <w:adjustRightInd/>
              <w:jc w:val="both"/>
            </w:pPr>
            <w:r w:rsidRPr="00484E99">
              <w:rPr>
                <w:b/>
              </w:rPr>
              <w:t>2018</w:t>
            </w:r>
            <w:r w:rsidRPr="00484E99">
              <w:t xml:space="preserve"> Sofia University St Kliment Ohridski,</w:t>
            </w:r>
            <w:r>
              <w:t xml:space="preserve"> </w:t>
            </w:r>
            <w:r w:rsidRPr="00484E99">
              <w:t xml:space="preserve">Medical Center ReproBioMed and Institute of Biology and Immunology of Reproduction, Bulgarian Academy of Sciences, </w:t>
            </w:r>
            <w:r w:rsidRPr="00184085">
              <w:t>Bulgaria.</w:t>
            </w:r>
            <w:r w:rsidRPr="00484E99">
              <w:rPr>
                <w:rStyle w:val="hps"/>
              </w:rPr>
              <w:t xml:space="preserve"> </w:t>
            </w:r>
            <w:r>
              <w:rPr>
                <w:rStyle w:val="hps"/>
              </w:rPr>
              <w:t>Период</w:t>
            </w:r>
            <w:r w:rsidRPr="00484E99">
              <w:t xml:space="preserve"> 18.11.18-01.12.18. </w:t>
            </w:r>
          </w:p>
          <w:p w:rsidR="003A4B54" w:rsidRPr="00A22864" w:rsidRDefault="00484E99" w:rsidP="000565D9">
            <w:pPr>
              <w:widowControl/>
              <w:autoSpaceDE/>
              <w:autoSpaceDN/>
              <w:adjustRightInd/>
              <w:jc w:val="both"/>
              <w:rPr>
                <w:lang w:val="sr-Cyrl-CS"/>
              </w:rPr>
            </w:pPr>
            <w:r w:rsidRPr="00484E99">
              <w:rPr>
                <w:b/>
              </w:rPr>
              <w:t>2018</w:t>
            </w:r>
            <w:r>
              <w:rPr>
                <w:b/>
              </w:rPr>
              <w:t xml:space="preserve"> </w:t>
            </w:r>
            <w:r w:rsidR="00D247B2" w:rsidRPr="00D247B2">
              <w:rPr>
                <w:rStyle w:val="Emphasis"/>
                <w:b/>
                <w:bCs/>
                <w:i w:val="0"/>
                <w:shd w:val="clear" w:color="auto" w:fill="FFFFFF"/>
              </w:rPr>
              <w:t>University of Aveiro, Portugal</w:t>
            </w:r>
            <w:r w:rsidR="00D247B2" w:rsidRPr="00D247B2">
              <w:rPr>
                <w:rStyle w:val="Emphasis"/>
                <w:bCs/>
                <w:i w:val="0"/>
                <w:shd w:val="clear" w:color="auto" w:fill="FFFFFF"/>
              </w:rPr>
              <w:t>,</w:t>
            </w:r>
            <w:r w:rsidR="00D247B2" w:rsidRPr="00484E99">
              <w:rPr>
                <w:rStyle w:val="hps"/>
              </w:rPr>
              <w:t xml:space="preserve"> </w:t>
            </w:r>
            <w:r w:rsidR="00D247B2" w:rsidRPr="00484E99">
              <w:rPr>
                <w:color w:val="111111"/>
              </w:rPr>
              <w:t>Institute of Biomedicine, Department of Medical Sciences</w:t>
            </w:r>
            <w:r w:rsidR="00D247B2">
              <w:rPr>
                <w:color w:val="111111"/>
              </w:rPr>
              <w:t>,</w:t>
            </w:r>
            <w:r w:rsidR="00D247B2" w:rsidRPr="00484E99">
              <w:rPr>
                <w:color w:val="111111"/>
              </w:rPr>
              <w:t xml:space="preserve"> </w:t>
            </w:r>
            <w:r w:rsidRPr="00484E99">
              <w:rPr>
                <w:color w:val="111111"/>
              </w:rPr>
              <w:t>Signal Transduction Laboratory</w:t>
            </w:r>
            <w:r w:rsidR="00D247B2">
              <w:rPr>
                <w:color w:val="111111"/>
              </w:rPr>
              <w:t>.</w:t>
            </w:r>
            <w:r w:rsidRPr="00484E99">
              <w:rPr>
                <w:color w:val="111111"/>
              </w:rPr>
              <w:t xml:space="preserve"> </w:t>
            </w:r>
            <w:r>
              <w:rPr>
                <w:rStyle w:val="hps"/>
              </w:rPr>
              <w:t>Период</w:t>
            </w:r>
            <w:r w:rsidRPr="00484E99">
              <w:t xml:space="preserve"> 23.07.18-27.07.18. </w:t>
            </w:r>
            <w:r w:rsidRPr="00484E99">
              <w:rPr>
                <w:shd w:val="clear" w:color="auto" w:fill="FFFFFF"/>
              </w:rPr>
              <w:t xml:space="preserve">Erasmus Plus mobility </w:t>
            </w:r>
            <w:r>
              <w:rPr>
                <w:shd w:val="clear" w:color="auto" w:fill="FFFFFF"/>
              </w:rPr>
              <w:t>програм</w:t>
            </w:r>
            <w:r w:rsidRPr="00484E99">
              <w:rPr>
                <w:shd w:val="clear" w:color="auto" w:fill="FFFFFF"/>
              </w:rPr>
              <w:t>.</w:t>
            </w:r>
          </w:p>
        </w:tc>
      </w:tr>
      <w:tr w:rsidR="003A4B54" w:rsidRPr="00A22864" w:rsidTr="000565D9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3A4B54" w:rsidRPr="00A22864" w:rsidRDefault="003A4B54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641D9C" w:rsidRDefault="00641D9C" w:rsidP="00641D9C">
      <w:pPr>
        <w:spacing w:after="60"/>
        <w:jc w:val="both"/>
        <w:rPr>
          <w:b/>
          <w:u w:val="single"/>
        </w:rPr>
      </w:pPr>
    </w:p>
    <w:p w:rsidR="00765095" w:rsidRDefault="00765095"/>
    <w:sectPr w:rsidR="00765095" w:rsidSect="000565D9">
      <w:pgSz w:w="11900" w:h="16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4550A"/>
    <w:multiLevelType w:val="hybridMultilevel"/>
    <w:tmpl w:val="26DA01BA"/>
    <w:lvl w:ilvl="0" w:tplc="C17A044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01DAC"/>
    <w:multiLevelType w:val="hybridMultilevel"/>
    <w:tmpl w:val="15A01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5541E"/>
    <w:multiLevelType w:val="hybridMultilevel"/>
    <w:tmpl w:val="B204B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E13D5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76D10C75"/>
    <w:multiLevelType w:val="hybridMultilevel"/>
    <w:tmpl w:val="26DA01BA"/>
    <w:lvl w:ilvl="0" w:tplc="C17A044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41D9C"/>
    <w:rsid w:val="000565D9"/>
    <w:rsid w:val="000D7370"/>
    <w:rsid w:val="00184085"/>
    <w:rsid w:val="001F4C4A"/>
    <w:rsid w:val="00292BFD"/>
    <w:rsid w:val="00311F56"/>
    <w:rsid w:val="0033031F"/>
    <w:rsid w:val="003420B9"/>
    <w:rsid w:val="003A4B54"/>
    <w:rsid w:val="0045191B"/>
    <w:rsid w:val="004671DE"/>
    <w:rsid w:val="00480C3E"/>
    <w:rsid w:val="00484E99"/>
    <w:rsid w:val="00570034"/>
    <w:rsid w:val="005E279D"/>
    <w:rsid w:val="00641D9C"/>
    <w:rsid w:val="00765095"/>
    <w:rsid w:val="007C63A2"/>
    <w:rsid w:val="00811408"/>
    <w:rsid w:val="00890D16"/>
    <w:rsid w:val="008D74F0"/>
    <w:rsid w:val="008E1A1C"/>
    <w:rsid w:val="009A7899"/>
    <w:rsid w:val="00A20194"/>
    <w:rsid w:val="00A301BD"/>
    <w:rsid w:val="00A821AC"/>
    <w:rsid w:val="00AF5093"/>
    <w:rsid w:val="00C357CE"/>
    <w:rsid w:val="00C6272C"/>
    <w:rsid w:val="00C77F8A"/>
    <w:rsid w:val="00D247B2"/>
    <w:rsid w:val="00EA2DD2"/>
    <w:rsid w:val="00F52DD7"/>
    <w:rsid w:val="00FA5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rticlecitationvolume">
    <w:name w:val="articlecitation_volume"/>
    <w:basedOn w:val="DefaultParagraphFont"/>
    <w:rsid w:val="003A4B54"/>
  </w:style>
  <w:style w:type="character" w:customStyle="1" w:styleId="articlecitationpages">
    <w:name w:val="articlecitation_pages"/>
    <w:basedOn w:val="DefaultParagraphFont"/>
    <w:rsid w:val="003A4B54"/>
  </w:style>
  <w:style w:type="character" w:customStyle="1" w:styleId="hps">
    <w:name w:val="hps"/>
    <w:basedOn w:val="DefaultParagraphFont"/>
    <w:rsid w:val="00484E99"/>
  </w:style>
  <w:style w:type="character" w:styleId="Emphasis">
    <w:name w:val="Emphasis"/>
    <w:uiPriority w:val="20"/>
    <w:qFormat/>
    <w:rsid w:val="00484E9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8</cp:revision>
  <dcterms:created xsi:type="dcterms:W3CDTF">2019-04-15T08:20:00Z</dcterms:created>
  <dcterms:modified xsi:type="dcterms:W3CDTF">2020-05-17T17:17:00Z</dcterms:modified>
</cp:coreProperties>
</file>