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576" w:type="pct"/>
        <w:jc w:val="center"/>
        <w:tblInd w:w="-2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
        <w:gridCol w:w="890"/>
        <w:gridCol w:w="693"/>
        <w:gridCol w:w="16"/>
        <w:gridCol w:w="875"/>
        <w:gridCol w:w="1001"/>
        <w:gridCol w:w="2357"/>
        <w:gridCol w:w="1274"/>
        <w:gridCol w:w="2389"/>
        <w:gridCol w:w="684"/>
      </w:tblGrid>
      <w:tr w:rsidR="00C04A4B" w:rsidRPr="00A22864" w:rsidTr="006F1603">
        <w:trPr>
          <w:trHeight w:val="227"/>
          <w:jc w:val="center"/>
        </w:trPr>
        <w:tc>
          <w:tcPr>
            <w:tcW w:w="1391" w:type="pct"/>
            <w:gridSpan w:val="5"/>
            <w:vAlign w:val="center"/>
          </w:tcPr>
          <w:p w:rsidR="00C04A4B" w:rsidRPr="00A22864" w:rsidRDefault="00C04A4B" w:rsidP="00274EFF">
            <w:pPr>
              <w:rPr>
                <w:lang w:val="sr-Cyrl-CS"/>
              </w:rPr>
            </w:pPr>
            <w:r w:rsidRPr="00A22864">
              <w:rPr>
                <w:b/>
                <w:lang w:val="sr-Cyrl-CS"/>
              </w:rPr>
              <w:t>Име и презиме</w:t>
            </w:r>
          </w:p>
        </w:tc>
        <w:tc>
          <w:tcPr>
            <w:tcW w:w="3609" w:type="pct"/>
            <w:gridSpan w:val="5"/>
            <w:vAlign w:val="center"/>
          </w:tcPr>
          <w:p w:rsidR="00C04A4B" w:rsidRPr="00916CCC" w:rsidRDefault="00C04A4B" w:rsidP="008702D0">
            <w:pPr>
              <w:tabs>
                <w:tab w:val="left" w:pos="567"/>
              </w:tabs>
              <w:rPr>
                <w:b/>
              </w:rPr>
            </w:pPr>
            <w:r w:rsidRPr="00916CCC">
              <w:rPr>
                <w:b/>
              </w:rPr>
              <w:t>Светлана Фа</w:t>
            </w:r>
          </w:p>
        </w:tc>
      </w:tr>
      <w:tr w:rsidR="00C04A4B" w:rsidRPr="00A22864" w:rsidTr="006F1603">
        <w:trPr>
          <w:trHeight w:val="227"/>
          <w:jc w:val="center"/>
        </w:trPr>
        <w:tc>
          <w:tcPr>
            <w:tcW w:w="1391" w:type="pct"/>
            <w:gridSpan w:val="5"/>
            <w:vAlign w:val="center"/>
          </w:tcPr>
          <w:p w:rsidR="00C04A4B" w:rsidRPr="00A22864" w:rsidRDefault="00C04A4B" w:rsidP="00274EFF">
            <w:pPr>
              <w:rPr>
                <w:lang w:val="sr-Cyrl-CS"/>
              </w:rPr>
            </w:pPr>
            <w:r w:rsidRPr="00A22864">
              <w:rPr>
                <w:b/>
                <w:lang w:val="sr-Cyrl-CS"/>
              </w:rPr>
              <w:t>Звање</w:t>
            </w:r>
          </w:p>
        </w:tc>
        <w:tc>
          <w:tcPr>
            <w:tcW w:w="3609" w:type="pct"/>
            <w:gridSpan w:val="5"/>
            <w:vAlign w:val="center"/>
          </w:tcPr>
          <w:p w:rsidR="00C04A4B" w:rsidRPr="00A22864" w:rsidRDefault="00C04A4B" w:rsidP="008702D0">
            <w:pPr>
              <w:tabs>
                <w:tab w:val="left" w:pos="567"/>
              </w:tabs>
              <w:rPr>
                <w:lang w:val="sr-Cyrl-CS"/>
              </w:rPr>
            </w:pPr>
            <w:r>
              <w:rPr>
                <w:lang w:val="sr-Cyrl-CS"/>
              </w:rPr>
              <w:t>Научни сарадник</w:t>
            </w:r>
          </w:p>
        </w:tc>
      </w:tr>
      <w:tr w:rsidR="00C04A4B" w:rsidRPr="00A22864" w:rsidTr="006F1603">
        <w:trPr>
          <w:trHeight w:val="227"/>
          <w:jc w:val="center"/>
        </w:trPr>
        <w:tc>
          <w:tcPr>
            <w:tcW w:w="1391" w:type="pct"/>
            <w:gridSpan w:val="5"/>
            <w:vAlign w:val="center"/>
          </w:tcPr>
          <w:p w:rsidR="00C04A4B" w:rsidRPr="00A22864" w:rsidRDefault="00C04A4B" w:rsidP="00274EFF">
            <w:pPr>
              <w:rPr>
                <w:lang w:val="sr-Cyrl-CS"/>
              </w:rPr>
            </w:pPr>
            <w:r w:rsidRPr="00A22864">
              <w:rPr>
                <w:b/>
                <w:lang w:val="sr-Cyrl-CS"/>
              </w:rPr>
              <w:t>Ужа научна област</w:t>
            </w:r>
          </w:p>
        </w:tc>
        <w:tc>
          <w:tcPr>
            <w:tcW w:w="3609" w:type="pct"/>
            <w:gridSpan w:val="5"/>
            <w:vAlign w:val="center"/>
          </w:tcPr>
          <w:p w:rsidR="00C04A4B" w:rsidRPr="00A22864" w:rsidRDefault="00C04A4B" w:rsidP="008702D0">
            <w:pPr>
              <w:tabs>
                <w:tab w:val="left" w:pos="567"/>
              </w:tabs>
              <w:rPr>
                <w:lang w:val="sr-Cyrl-CS"/>
              </w:rPr>
            </w:pPr>
            <w:r>
              <w:rPr>
                <w:lang w:val="sr-Cyrl-CS"/>
              </w:rPr>
              <w:t>Физиологија животиња</w:t>
            </w:r>
          </w:p>
        </w:tc>
      </w:tr>
      <w:tr w:rsidR="005B1E5F" w:rsidRPr="00A22864" w:rsidTr="006F1603">
        <w:trPr>
          <w:trHeight w:val="227"/>
          <w:jc w:val="center"/>
        </w:trPr>
        <w:tc>
          <w:tcPr>
            <w:tcW w:w="985" w:type="pct"/>
            <w:gridSpan w:val="4"/>
            <w:vAlign w:val="center"/>
          </w:tcPr>
          <w:p w:rsidR="00641D9C" w:rsidRPr="00A22864" w:rsidRDefault="00641D9C" w:rsidP="00274EFF">
            <w:pPr>
              <w:rPr>
                <w:lang w:val="sr-Cyrl-CS"/>
              </w:rPr>
            </w:pPr>
            <w:r w:rsidRPr="00A22864">
              <w:rPr>
                <w:b/>
                <w:lang w:val="sr-Cyrl-CS"/>
              </w:rPr>
              <w:t>Академска каријера</w:t>
            </w:r>
          </w:p>
        </w:tc>
        <w:tc>
          <w:tcPr>
            <w:tcW w:w="406" w:type="pct"/>
            <w:vAlign w:val="center"/>
          </w:tcPr>
          <w:p w:rsidR="00641D9C" w:rsidRPr="00916CCC" w:rsidRDefault="00641D9C" w:rsidP="00274EFF">
            <w:pPr>
              <w:rPr>
                <w:b/>
                <w:lang w:val="sr-Cyrl-CS"/>
              </w:rPr>
            </w:pPr>
            <w:r w:rsidRPr="00916CCC">
              <w:rPr>
                <w:b/>
                <w:lang w:val="sr-Cyrl-CS"/>
              </w:rPr>
              <w:t xml:space="preserve">Година </w:t>
            </w:r>
          </w:p>
        </w:tc>
        <w:tc>
          <w:tcPr>
            <w:tcW w:w="1573" w:type="pct"/>
            <w:gridSpan w:val="2"/>
            <w:vAlign w:val="center"/>
          </w:tcPr>
          <w:p w:rsidR="00641D9C" w:rsidRPr="00916CCC" w:rsidRDefault="00641D9C" w:rsidP="00274EFF">
            <w:pPr>
              <w:rPr>
                <w:b/>
                <w:lang w:val="sr-Cyrl-CS"/>
              </w:rPr>
            </w:pPr>
            <w:r w:rsidRPr="00916CCC">
              <w:rPr>
                <w:b/>
                <w:lang w:val="sr-Cyrl-CS"/>
              </w:rPr>
              <w:t xml:space="preserve">Институција </w:t>
            </w:r>
          </w:p>
        </w:tc>
        <w:tc>
          <w:tcPr>
            <w:tcW w:w="597" w:type="pct"/>
            <w:shd w:val="clear" w:color="auto" w:fill="auto"/>
            <w:vAlign w:val="center"/>
          </w:tcPr>
          <w:p w:rsidR="00641D9C" w:rsidRPr="00916CCC" w:rsidRDefault="00641D9C" w:rsidP="00274EFF">
            <w:pPr>
              <w:rPr>
                <w:b/>
                <w:lang w:val="sr-Cyrl-CS"/>
              </w:rPr>
            </w:pPr>
            <w:r w:rsidRPr="00916CCC">
              <w:rPr>
                <w:b/>
                <w:lang w:val="sr-Cyrl-CS"/>
              </w:rPr>
              <w:t>Област</w:t>
            </w:r>
            <w:r w:rsidRPr="00916CCC">
              <w:rPr>
                <w:b/>
              </w:rPr>
              <w:t xml:space="preserve"> </w:t>
            </w:r>
          </w:p>
        </w:tc>
        <w:tc>
          <w:tcPr>
            <w:tcW w:w="1439" w:type="pct"/>
            <w:gridSpan w:val="2"/>
            <w:shd w:val="clear" w:color="auto" w:fill="auto"/>
            <w:vAlign w:val="center"/>
          </w:tcPr>
          <w:p w:rsidR="00641D9C" w:rsidRPr="00916CCC" w:rsidRDefault="00641D9C" w:rsidP="00274EFF">
            <w:pPr>
              <w:rPr>
                <w:b/>
              </w:rPr>
            </w:pPr>
            <w:r w:rsidRPr="00916CCC">
              <w:rPr>
                <w:b/>
              </w:rPr>
              <w:t>Ужа научна односно уметничка област</w:t>
            </w:r>
          </w:p>
        </w:tc>
      </w:tr>
      <w:tr w:rsidR="005B1E5F" w:rsidRPr="00A22864" w:rsidTr="006F1603">
        <w:trPr>
          <w:trHeight w:val="227"/>
          <w:jc w:val="center"/>
        </w:trPr>
        <w:tc>
          <w:tcPr>
            <w:tcW w:w="985" w:type="pct"/>
            <w:gridSpan w:val="4"/>
            <w:vAlign w:val="center"/>
          </w:tcPr>
          <w:p w:rsidR="005B1E5F" w:rsidRPr="00A22864" w:rsidRDefault="005B1E5F" w:rsidP="00274EFF">
            <w:pPr>
              <w:rPr>
                <w:lang w:val="sr-Cyrl-CS"/>
              </w:rPr>
            </w:pPr>
            <w:r w:rsidRPr="00A22864">
              <w:rPr>
                <w:lang w:val="sr-Cyrl-CS"/>
              </w:rPr>
              <w:t>Избор у звање</w:t>
            </w:r>
          </w:p>
        </w:tc>
        <w:tc>
          <w:tcPr>
            <w:tcW w:w="406" w:type="pct"/>
          </w:tcPr>
          <w:p w:rsidR="005B1E5F" w:rsidRPr="00FF670B" w:rsidRDefault="005B1E5F" w:rsidP="008702D0">
            <w:pPr>
              <w:rPr>
                <w:lang w:val="sr-Cyrl-CS"/>
              </w:rPr>
            </w:pPr>
            <w:r>
              <w:rPr>
                <w:lang w:val="sr-Cyrl-CS"/>
              </w:rPr>
              <w:t>2015</w:t>
            </w:r>
          </w:p>
        </w:tc>
        <w:tc>
          <w:tcPr>
            <w:tcW w:w="1573" w:type="pct"/>
            <w:gridSpan w:val="2"/>
          </w:tcPr>
          <w:p w:rsidR="005B1E5F" w:rsidRPr="00A06DF0" w:rsidRDefault="005B1E5F" w:rsidP="00193C7C">
            <w:pPr>
              <w:rPr>
                <w:lang w:val="sr-Cyrl-CS"/>
              </w:rPr>
            </w:pPr>
            <w:r w:rsidRPr="00A06DF0">
              <w:rPr>
                <w:lang w:val="ru-RU"/>
              </w:rPr>
              <w:t xml:space="preserve">Природно-математички факултет, </w:t>
            </w:r>
            <w:r>
              <w:rPr>
                <w:lang w:val="ru-RU"/>
              </w:rPr>
              <w:t>Универзитет у Новом</w:t>
            </w:r>
            <w:r w:rsidRPr="00A06DF0">
              <w:rPr>
                <w:lang w:val="ru-RU"/>
              </w:rPr>
              <w:t xml:space="preserve"> Сад</w:t>
            </w:r>
            <w:r>
              <w:rPr>
                <w:lang w:val="ru-RU"/>
              </w:rPr>
              <w:t>у</w:t>
            </w:r>
          </w:p>
        </w:tc>
        <w:tc>
          <w:tcPr>
            <w:tcW w:w="597" w:type="pct"/>
            <w:shd w:val="clear" w:color="auto" w:fill="auto"/>
            <w:vAlign w:val="center"/>
          </w:tcPr>
          <w:p w:rsidR="005B1E5F" w:rsidRPr="00A22864" w:rsidRDefault="005B1E5F" w:rsidP="00274EFF">
            <w:pPr>
              <w:rPr>
                <w:lang w:val="sr-Cyrl-CS"/>
              </w:rPr>
            </w:pPr>
            <w:r>
              <w:rPr>
                <w:lang w:val="sr-Cyrl-CS"/>
              </w:rPr>
              <w:t>Биологија</w:t>
            </w:r>
          </w:p>
        </w:tc>
        <w:tc>
          <w:tcPr>
            <w:tcW w:w="1439" w:type="pct"/>
            <w:gridSpan w:val="2"/>
            <w:shd w:val="clear" w:color="auto" w:fill="auto"/>
            <w:vAlign w:val="center"/>
          </w:tcPr>
          <w:p w:rsidR="005B1E5F" w:rsidRPr="00A06DF0" w:rsidRDefault="005B1E5F" w:rsidP="006F1603">
            <w:pPr>
              <w:rPr>
                <w:lang w:val="sr-Cyrl-CS"/>
              </w:rPr>
            </w:pPr>
            <w:r>
              <w:rPr>
                <w:lang w:val="sr-Cyrl-CS"/>
              </w:rPr>
              <w:t>Физиологија животиња</w:t>
            </w:r>
          </w:p>
        </w:tc>
      </w:tr>
      <w:tr w:rsidR="005B1E5F" w:rsidRPr="00A22864" w:rsidTr="006F1603">
        <w:trPr>
          <w:trHeight w:val="227"/>
          <w:jc w:val="center"/>
        </w:trPr>
        <w:tc>
          <w:tcPr>
            <w:tcW w:w="985" w:type="pct"/>
            <w:gridSpan w:val="4"/>
            <w:vAlign w:val="center"/>
          </w:tcPr>
          <w:p w:rsidR="005B1E5F" w:rsidRPr="00A22864" w:rsidRDefault="005B1E5F" w:rsidP="00274EFF">
            <w:pPr>
              <w:rPr>
                <w:lang w:val="sr-Cyrl-CS"/>
              </w:rPr>
            </w:pPr>
            <w:r w:rsidRPr="00A22864">
              <w:rPr>
                <w:lang w:val="sr-Cyrl-CS"/>
              </w:rPr>
              <w:t>Докторат</w:t>
            </w:r>
          </w:p>
        </w:tc>
        <w:tc>
          <w:tcPr>
            <w:tcW w:w="406" w:type="pct"/>
          </w:tcPr>
          <w:p w:rsidR="005B1E5F" w:rsidRPr="00064808" w:rsidRDefault="005B1E5F" w:rsidP="008702D0">
            <w:pPr>
              <w:rPr>
                <w:lang w:val="en-US"/>
              </w:rPr>
            </w:pPr>
            <w:r>
              <w:rPr>
                <w:lang w:val="sr-Cyrl-CS"/>
              </w:rPr>
              <w:t>20</w:t>
            </w:r>
            <w:r>
              <w:rPr>
                <w:lang w:val="en-US"/>
              </w:rPr>
              <w:t>13</w:t>
            </w:r>
          </w:p>
        </w:tc>
        <w:tc>
          <w:tcPr>
            <w:tcW w:w="1573" w:type="pct"/>
            <w:gridSpan w:val="2"/>
          </w:tcPr>
          <w:p w:rsidR="005B1E5F" w:rsidRPr="00A06DF0" w:rsidRDefault="005B1E5F" w:rsidP="008702D0">
            <w:pPr>
              <w:rPr>
                <w:lang w:val="sr-Cyrl-CS"/>
              </w:rPr>
            </w:pPr>
            <w:r w:rsidRPr="00A06DF0">
              <w:rPr>
                <w:lang w:val="ru-RU"/>
              </w:rPr>
              <w:t xml:space="preserve">Природно-математички факултет, </w:t>
            </w:r>
            <w:r>
              <w:rPr>
                <w:lang w:val="ru-RU"/>
              </w:rPr>
              <w:t>Универзитет у Новом</w:t>
            </w:r>
            <w:r w:rsidRPr="00A06DF0">
              <w:rPr>
                <w:lang w:val="ru-RU"/>
              </w:rPr>
              <w:t xml:space="preserve"> Сад</w:t>
            </w:r>
            <w:r>
              <w:rPr>
                <w:lang w:val="ru-RU"/>
              </w:rPr>
              <w:t>у</w:t>
            </w:r>
          </w:p>
        </w:tc>
        <w:tc>
          <w:tcPr>
            <w:tcW w:w="597" w:type="pct"/>
            <w:shd w:val="clear" w:color="auto" w:fill="auto"/>
            <w:vAlign w:val="center"/>
          </w:tcPr>
          <w:p w:rsidR="005B1E5F" w:rsidRPr="00A22864" w:rsidRDefault="005B1E5F" w:rsidP="008702D0">
            <w:pPr>
              <w:rPr>
                <w:lang w:val="sr-Cyrl-CS"/>
              </w:rPr>
            </w:pPr>
            <w:r>
              <w:rPr>
                <w:lang w:val="sr-Cyrl-CS"/>
              </w:rPr>
              <w:t>Биохемија</w:t>
            </w:r>
          </w:p>
        </w:tc>
        <w:tc>
          <w:tcPr>
            <w:tcW w:w="1439" w:type="pct"/>
            <w:gridSpan w:val="2"/>
            <w:shd w:val="clear" w:color="auto" w:fill="auto"/>
            <w:vAlign w:val="center"/>
          </w:tcPr>
          <w:p w:rsidR="005B1E5F" w:rsidRPr="00EB5E7E" w:rsidRDefault="005B1E5F" w:rsidP="006F1603">
            <w:pPr>
              <w:rPr>
                <w:lang w:val="en-US"/>
              </w:rPr>
            </w:pPr>
            <w:r>
              <w:rPr>
                <w:lang w:val="sr-Cyrl-CS"/>
              </w:rPr>
              <w:t>Физиологија животиња</w:t>
            </w:r>
            <w:r w:rsidR="00EB5E7E">
              <w:rPr>
                <w:lang w:val="en-US"/>
              </w:rPr>
              <w:t xml:space="preserve">, </w:t>
            </w:r>
            <w:proofErr w:type="spellStart"/>
            <w:r w:rsidR="00EB5E7E">
              <w:rPr>
                <w:lang w:val="en-US"/>
              </w:rPr>
              <w:t>Рeпрoдуктивнa</w:t>
            </w:r>
            <w:proofErr w:type="spellEnd"/>
            <w:r w:rsidR="00EB5E7E">
              <w:rPr>
                <w:lang w:val="en-US"/>
              </w:rPr>
              <w:t xml:space="preserve"> </w:t>
            </w:r>
            <w:proofErr w:type="spellStart"/>
            <w:r w:rsidR="00EB5E7E">
              <w:rPr>
                <w:lang w:val="en-US"/>
              </w:rPr>
              <w:t>eндoкринoлoгиja</w:t>
            </w:r>
            <w:proofErr w:type="spellEnd"/>
          </w:p>
        </w:tc>
      </w:tr>
      <w:tr w:rsidR="005B1E5F" w:rsidRPr="00A22864" w:rsidTr="006F1603">
        <w:trPr>
          <w:trHeight w:val="227"/>
          <w:jc w:val="center"/>
        </w:trPr>
        <w:tc>
          <w:tcPr>
            <w:tcW w:w="985" w:type="pct"/>
            <w:gridSpan w:val="4"/>
            <w:vAlign w:val="center"/>
          </w:tcPr>
          <w:p w:rsidR="005B1E5F" w:rsidRPr="00A22864" w:rsidRDefault="005B1E5F" w:rsidP="00274EFF">
            <w:pPr>
              <w:rPr>
                <w:lang w:val="sr-Cyrl-CS"/>
              </w:rPr>
            </w:pPr>
            <w:r w:rsidRPr="00A22864">
              <w:rPr>
                <w:lang w:val="sr-Cyrl-CS"/>
              </w:rPr>
              <w:t>Диплома</w:t>
            </w:r>
          </w:p>
        </w:tc>
        <w:tc>
          <w:tcPr>
            <w:tcW w:w="406" w:type="pct"/>
          </w:tcPr>
          <w:p w:rsidR="005B1E5F" w:rsidRPr="00064808" w:rsidRDefault="005B1E5F" w:rsidP="008702D0">
            <w:pPr>
              <w:rPr>
                <w:lang w:val="en-US"/>
              </w:rPr>
            </w:pPr>
            <w:r>
              <w:rPr>
                <w:lang w:val="en-US"/>
              </w:rPr>
              <w:t>2004</w:t>
            </w:r>
          </w:p>
        </w:tc>
        <w:tc>
          <w:tcPr>
            <w:tcW w:w="1573" w:type="pct"/>
            <w:gridSpan w:val="2"/>
          </w:tcPr>
          <w:p w:rsidR="005B1E5F" w:rsidRPr="00A06DF0" w:rsidRDefault="005B1E5F" w:rsidP="00193C7C">
            <w:pPr>
              <w:rPr>
                <w:lang w:val="sr-Cyrl-CS"/>
              </w:rPr>
            </w:pPr>
            <w:r w:rsidRPr="00A06DF0">
              <w:rPr>
                <w:lang w:val="ru-RU"/>
              </w:rPr>
              <w:t xml:space="preserve">Природно-математички факултет, </w:t>
            </w:r>
            <w:r>
              <w:rPr>
                <w:lang w:val="ru-RU"/>
              </w:rPr>
              <w:t>Универзитет у Новом</w:t>
            </w:r>
            <w:r w:rsidRPr="00A06DF0">
              <w:rPr>
                <w:lang w:val="ru-RU"/>
              </w:rPr>
              <w:t xml:space="preserve"> Сад</w:t>
            </w:r>
            <w:r>
              <w:rPr>
                <w:lang w:val="ru-RU"/>
              </w:rPr>
              <w:t>у</w:t>
            </w:r>
          </w:p>
        </w:tc>
        <w:tc>
          <w:tcPr>
            <w:tcW w:w="597" w:type="pct"/>
            <w:shd w:val="clear" w:color="auto" w:fill="auto"/>
            <w:vAlign w:val="center"/>
          </w:tcPr>
          <w:p w:rsidR="005B1E5F" w:rsidRPr="00A22864" w:rsidRDefault="005B1E5F" w:rsidP="008702D0">
            <w:pPr>
              <w:rPr>
                <w:lang w:val="sr-Cyrl-CS"/>
              </w:rPr>
            </w:pPr>
            <w:r>
              <w:rPr>
                <w:lang w:val="sr-Cyrl-CS"/>
              </w:rPr>
              <w:t>Биологија</w:t>
            </w:r>
          </w:p>
        </w:tc>
        <w:tc>
          <w:tcPr>
            <w:tcW w:w="1439" w:type="pct"/>
            <w:gridSpan w:val="2"/>
            <w:shd w:val="clear" w:color="auto" w:fill="auto"/>
            <w:vAlign w:val="center"/>
          </w:tcPr>
          <w:p w:rsidR="005B1E5F" w:rsidRPr="00EB5E7E" w:rsidRDefault="00EB5E7E" w:rsidP="006F1603">
            <w:pPr>
              <w:rPr>
                <w:lang w:val="en-US"/>
              </w:rPr>
            </w:pPr>
            <w:proofErr w:type="spellStart"/>
            <w:r>
              <w:rPr>
                <w:lang w:val="en-US"/>
              </w:rPr>
              <w:t>Гeнeтикa</w:t>
            </w:r>
            <w:proofErr w:type="spellEnd"/>
          </w:p>
        </w:tc>
      </w:tr>
      <w:tr w:rsidR="005B1E5F" w:rsidRPr="00A22864" w:rsidTr="00EB76A2">
        <w:trPr>
          <w:trHeight w:val="227"/>
          <w:jc w:val="center"/>
        </w:trPr>
        <w:tc>
          <w:tcPr>
            <w:tcW w:w="5000" w:type="pct"/>
            <w:gridSpan w:val="10"/>
            <w:vAlign w:val="center"/>
          </w:tcPr>
          <w:p w:rsidR="005B1E5F" w:rsidRPr="00646624" w:rsidRDefault="005B1E5F" w:rsidP="00274EFF">
            <w:r w:rsidRPr="00A22864">
              <w:rPr>
                <w:b/>
                <w:lang w:val="sr-Cyrl-CS"/>
              </w:rPr>
              <w:t xml:space="preserve">Списак предмета </w:t>
            </w:r>
            <w:r>
              <w:rPr>
                <w:b/>
              </w:rPr>
              <w:t xml:space="preserve">које наставник држи на докторским студијама </w:t>
            </w:r>
          </w:p>
        </w:tc>
      </w:tr>
      <w:tr w:rsidR="005B1E5F" w:rsidRPr="00A22864" w:rsidTr="006F1603">
        <w:trPr>
          <w:trHeight w:val="227"/>
          <w:jc w:val="center"/>
        </w:trPr>
        <w:tc>
          <w:tcPr>
            <w:tcW w:w="977" w:type="pct"/>
            <w:gridSpan w:val="3"/>
            <w:shd w:val="clear" w:color="auto" w:fill="auto"/>
            <w:vAlign w:val="center"/>
          </w:tcPr>
          <w:p w:rsidR="005B1E5F" w:rsidRPr="00646624" w:rsidRDefault="005B1E5F" w:rsidP="00274EFF">
            <w:pPr>
              <w:rPr>
                <w:b/>
                <w:lang w:val="sr-Cyrl-CS"/>
              </w:rPr>
            </w:pPr>
            <w:r w:rsidRPr="00646624">
              <w:rPr>
                <w:b/>
                <w:lang w:val="sr-Cyrl-CS"/>
              </w:rPr>
              <w:t>Р.Б.</w:t>
            </w:r>
          </w:p>
        </w:tc>
        <w:tc>
          <w:tcPr>
            <w:tcW w:w="414" w:type="pct"/>
            <w:gridSpan w:val="2"/>
            <w:shd w:val="clear" w:color="auto" w:fill="auto"/>
            <w:vAlign w:val="center"/>
          </w:tcPr>
          <w:p w:rsidR="005B1E5F" w:rsidRPr="00646624" w:rsidRDefault="005B1E5F" w:rsidP="00274EFF">
            <w:pPr>
              <w:rPr>
                <w:b/>
              </w:rPr>
            </w:pPr>
            <w:r w:rsidRPr="00646624">
              <w:rPr>
                <w:b/>
              </w:rPr>
              <w:t xml:space="preserve">Ознака </w:t>
            </w:r>
          </w:p>
        </w:tc>
        <w:tc>
          <w:tcPr>
            <w:tcW w:w="3609" w:type="pct"/>
            <w:gridSpan w:val="5"/>
            <w:vAlign w:val="center"/>
          </w:tcPr>
          <w:p w:rsidR="005B1E5F" w:rsidRPr="00646624" w:rsidRDefault="005B1E5F" w:rsidP="00274EFF">
            <w:pPr>
              <w:rPr>
                <w:b/>
              </w:rPr>
            </w:pPr>
            <w:r w:rsidRPr="00646624">
              <w:rPr>
                <w:b/>
                <w:iCs/>
                <w:lang w:val="sr-Cyrl-CS"/>
              </w:rPr>
              <w:t>Назив предмета</w:t>
            </w:r>
          </w:p>
        </w:tc>
      </w:tr>
      <w:tr w:rsidR="005B1E5F" w:rsidRPr="00A22864" w:rsidTr="006F1603">
        <w:trPr>
          <w:trHeight w:val="227"/>
          <w:jc w:val="center"/>
        </w:trPr>
        <w:tc>
          <w:tcPr>
            <w:tcW w:w="977" w:type="pct"/>
            <w:gridSpan w:val="3"/>
            <w:shd w:val="clear" w:color="auto" w:fill="auto"/>
            <w:vAlign w:val="center"/>
          </w:tcPr>
          <w:p w:rsidR="005B1E5F" w:rsidRPr="00646624" w:rsidRDefault="005B1E5F" w:rsidP="00274EFF">
            <w:pPr>
              <w:rPr>
                <w:b/>
                <w:lang w:val="sr-Cyrl-CS"/>
              </w:rPr>
            </w:pPr>
          </w:p>
        </w:tc>
        <w:tc>
          <w:tcPr>
            <w:tcW w:w="414" w:type="pct"/>
            <w:gridSpan w:val="2"/>
            <w:shd w:val="clear" w:color="auto" w:fill="auto"/>
            <w:vAlign w:val="center"/>
          </w:tcPr>
          <w:p w:rsidR="005B1E5F" w:rsidRPr="00646624" w:rsidRDefault="005B1E5F" w:rsidP="00274EFF">
            <w:pPr>
              <w:rPr>
                <w:b/>
              </w:rPr>
            </w:pPr>
          </w:p>
        </w:tc>
        <w:tc>
          <w:tcPr>
            <w:tcW w:w="3609" w:type="pct"/>
            <w:gridSpan w:val="5"/>
            <w:vAlign w:val="center"/>
          </w:tcPr>
          <w:p w:rsidR="005B1E5F" w:rsidRPr="00747130" w:rsidRDefault="005B1E5F" w:rsidP="00274EFF">
            <w:pPr>
              <w:rPr>
                <w:iCs/>
              </w:rPr>
            </w:pPr>
          </w:p>
        </w:tc>
      </w:tr>
      <w:tr w:rsidR="005B1E5F" w:rsidRPr="00A22864" w:rsidTr="00EB76A2">
        <w:trPr>
          <w:trHeight w:val="227"/>
          <w:jc w:val="center"/>
        </w:trPr>
        <w:tc>
          <w:tcPr>
            <w:tcW w:w="5000" w:type="pct"/>
            <w:gridSpan w:val="10"/>
            <w:vAlign w:val="center"/>
          </w:tcPr>
          <w:p w:rsidR="005B1E5F" w:rsidRPr="00A22864" w:rsidRDefault="005B1E5F" w:rsidP="00274EFF">
            <w:pPr>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w:t>
            </w:r>
            <w:r>
              <w:rPr>
                <w:b/>
                <w:lang w:val="sr-Cyrl-CS"/>
              </w:rPr>
              <w:t xml:space="preserve"> услова </w:t>
            </w:r>
            <w:r w:rsidRPr="00A22864">
              <w:rPr>
                <w:b/>
                <w:lang w:val="sr-Cyrl-CS"/>
              </w:rPr>
              <w:t xml:space="preserve"> стандарда за дато поље (минимално 10 не више од 20)</w:t>
            </w:r>
          </w:p>
        </w:tc>
      </w:tr>
      <w:tr w:rsidR="005B1E5F" w:rsidRPr="00A22864" w:rsidTr="006F1603">
        <w:trPr>
          <w:trHeight w:val="227"/>
          <w:jc w:val="center"/>
        </w:trPr>
        <w:tc>
          <w:tcPr>
            <w:tcW w:w="234" w:type="pct"/>
            <w:vAlign w:val="center"/>
          </w:tcPr>
          <w:p w:rsidR="005B1E5F" w:rsidRPr="00AF2CE0" w:rsidRDefault="005B1E5F" w:rsidP="00EB76A2">
            <w:pPr>
              <w:widowControl/>
              <w:tabs>
                <w:tab w:val="left" w:pos="567"/>
              </w:tabs>
              <w:autoSpaceDE/>
              <w:autoSpaceDN/>
              <w:adjustRightInd/>
              <w:spacing w:after="60"/>
              <w:jc w:val="center"/>
              <w:rPr>
                <w:lang w:val="en-US"/>
              </w:rPr>
            </w:pPr>
            <w:r>
              <w:rPr>
                <w:lang w:val="en-US"/>
              </w:rPr>
              <w:t>1.</w:t>
            </w:r>
          </w:p>
        </w:tc>
        <w:tc>
          <w:tcPr>
            <w:tcW w:w="4446" w:type="pct"/>
            <w:gridSpan w:val="8"/>
            <w:shd w:val="clear" w:color="auto" w:fill="auto"/>
          </w:tcPr>
          <w:p w:rsidR="005B1E5F" w:rsidRPr="00FB4AB7" w:rsidRDefault="005B1E5F" w:rsidP="008702D0">
            <w:pPr>
              <w:jc w:val="both"/>
            </w:pPr>
            <w:r w:rsidRPr="00FC2279">
              <w:rPr>
                <w:b/>
                <w:bCs/>
              </w:rPr>
              <w:t>Fa S.</w:t>
            </w:r>
            <w:r w:rsidRPr="00FB4AB7">
              <w:rPr>
                <w:bCs/>
              </w:rPr>
              <w:t>, Larsen T.V., Bilde K., Daugaard T.F., Ernst E.H., Olesen R.H., Mamsen L.S., Ernst E., Larsen A., Nielsen AL. (2016) Assessment of global DNA methylation in the first trimester fetal tissues exposed to maternal cigarette smoking. Clin Epigenetics 8:128.</w:t>
            </w:r>
          </w:p>
        </w:tc>
        <w:tc>
          <w:tcPr>
            <w:tcW w:w="320" w:type="pct"/>
            <w:vAlign w:val="center"/>
          </w:tcPr>
          <w:p w:rsidR="005B1E5F" w:rsidRPr="00A22864" w:rsidRDefault="005B1E5F" w:rsidP="00274EFF">
            <w:pPr>
              <w:rPr>
                <w:lang w:val="sr-Cyrl-CS"/>
              </w:rPr>
            </w:pPr>
            <w:r>
              <w:rPr>
                <w:lang w:val="en-US"/>
              </w:rPr>
              <w:t>M21</w:t>
            </w:r>
          </w:p>
        </w:tc>
      </w:tr>
      <w:tr w:rsidR="005B1E5F" w:rsidRPr="00A22864" w:rsidTr="006F1603">
        <w:trPr>
          <w:trHeight w:val="227"/>
          <w:jc w:val="center"/>
        </w:trPr>
        <w:tc>
          <w:tcPr>
            <w:tcW w:w="234" w:type="pct"/>
            <w:vAlign w:val="center"/>
          </w:tcPr>
          <w:p w:rsidR="005B1E5F" w:rsidRDefault="005B1E5F" w:rsidP="00EB76A2">
            <w:pPr>
              <w:jc w:val="center"/>
              <w:rPr>
                <w:lang w:val="en-US"/>
              </w:rPr>
            </w:pPr>
            <w:r>
              <w:rPr>
                <w:lang w:val="en-US"/>
              </w:rPr>
              <w:t>2.</w:t>
            </w:r>
          </w:p>
        </w:tc>
        <w:tc>
          <w:tcPr>
            <w:tcW w:w="4446" w:type="pct"/>
            <w:gridSpan w:val="8"/>
            <w:shd w:val="clear" w:color="auto" w:fill="auto"/>
          </w:tcPr>
          <w:p w:rsidR="005B1E5F" w:rsidRPr="00FB4AB7" w:rsidRDefault="005B1E5F" w:rsidP="00F70EF7">
            <w:pPr>
              <w:jc w:val="both"/>
            </w:pPr>
            <w:r w:rsidRPr="00FC2279">
              <w:rPr>
                <w:b/>
                <w:bCs/>
              </w:rPr>
              <w:t>Fa S.</w:t>
            </w:r>
            <w:r w:rsidRPr="00FB4AB7">
              <w:rPr>
                <w:bCs/>
              </w:rPr>
              <w:t xml:space="preserve">, Larsen T.V., Bilde K., Daugaard T.F., Ernst E.H., Lykke-Hartmann K., Olesen R.H., Mamsen L.S., Ernst E., Larsen A., Nielsen A.L. (2018) Changes in First Trimester Fetal CYP1A1 and AHRR DNA Methylation and mRNA Expression in Response to Exposure to Maternal Cigarette Smoking. Environ Toxicol Pharmacol 57:19-27. </w:t>
            </w:r>
          </w:p>
        </w:tc>
        <w:tc>
          <w:tcPr>
            <w:tcW w:w="320" w:type="pct"/>
            <w:vAlign w:val="center"/>
          </w:tcPr>
          <w:p w:rsidR="005B1E5F" w:rsidRPr="00A22864" w:rsidRDefault="005B1E5F" w:rsidP="00F70EF7">
            <w:pPr>
              <w:rPr>
                <w:lang w:val="sr-Cyrl-CS"/>
              </w:rPr>
            </w:pPr>
            <w:r>
              <w:rPr>
                <w:lang w:val="en-US"/>
              </w:rPr>
              <w:t>M22</w:t>
            </w:r>
          </w:p>
        </w:tc>
      </w:tr>
      <w:tr w:rsidR="005B1E5F" w:rsidRPr="00A22864" w:rsidTr="006F1603">
        <w:trPr>
          <w:trHeight w:val="227"/>
          <w:jc w:val="center"/>
        </w:trPr>
        <w:tc>
          <w:tcPr>
            <w:tcW w:w="234" w:type="pct"/>
            <w:vAlign w:val="center"/>
          </w:tcPr>
          <w:p w:rsidR="005B1E5F" w:rsidRDefault="005B1E5F" w:rsidP="00EB76A2">
            <w:pPr>
              <w:jc w:val="center"/>
            </w:pPr>
            <w:r>
              <w:rPr>
                <w:lang w:val="en-US"/>
              </w:rPr>
              <w:t>3</w:t>
            </w:r>
            <w:r w:rsidRPr="007C5BE2">
              <w:rPr>
                <w:lang w:val="en-US"/>
              </w:rPr>
              <w:t>.</w:t>
            </w:r>
          </w:p>
        </w:tc>
        <w:tc>
          <w:tcPr>
            <w:tcW w:w="4446" w:type="pct"/>
            <w:gridSpan w:val="8"/>
            <w:shd w:val="clear" w:color="auto" w:fill="auto"/>
          </w:tcPr>
          <w:p w:rsidR="005B1E5F" w:rsidRPr="00FB4AB7" w:rsidRDefault="005B1E5F" w:rsidP="003549BE">
            <w:pPr>
              <w:jc w:val="both"/>
              <w:rPr>
                <w:lang w:val="sr-Cyrl-CS"/>
              </w:rPr>
            </w:pPr>
            <w:r w:rsidRPr="00FB4AB7">
              <w:rPr>
                <w:bCs/>
              </w:rPr>
              <w:t xml:space="preserve">Hrubik J., Glisic B., Samardzija D., Stanic B., Pogrmic-Majkic K., </w:t>
            </w:r>
            <w:r w:rsidRPr="00FC2279">
              <w:rPr>
                <w:b/>
                <w:bCs/>
              </w:rPr>
              <w:t>Fa S.</w:t>
            </w:r>
            <w:r w:rsidRPr="00FB4AB7">
              <w:rPr>
                <w:bCs/>
              </w:rPr>
              <w:t xml:space="preserve">, Andric N. (2016) Effect of PMA-induced protein kinase C activation on development and apoptosis in early zebrafish embryos. Comp Biochem Physiol C Toxicol Pharmacol 190:24-31. </w:t>
            </w:r>
          </w:p>
        </w:tc>
        <w:tc>
          <w:tcPr>
            <w:tcW w:w="320" w:type="pct"/>
            <w:vAlign w:val="center"/>
          </w:tcPr>
          <w:p w:rsidR="005B1E5F" w:rsidRPr="00EB76A2" w:rsidRDefault="005B1E5F" w:rsidP="00274EFF">
            <w:pPr>
              <w:rPr>
                <w:lang w:val="en-US"/>
              </w:rPr>
            </w:pPr>
            <w:r>
              <w:rPr>
                <w:lang w:val="en-US"/>
              </w:rPr>
              <w:t>M21a</w:t>
            </w:r>
          </w:p>
        </w:tc>
      </w:tr>
      <w:tr w:rsidR="005B1E5F" w:rsidRPr="00A22864" w:rsidTr="006F1603">
        <w:trPr>
          <w:trHeight w:val="227"/>
          <w:jc w:val="center"/>
        </w:trPr>
        <w:tc>
          <w:tcPr>
            <w:tcW w:w="234" w:type="pct"/>
            <w:vAlign w:val="center"/>
          </w:tcPr>
          <w:p w:rsidR="005B1E5F" w:rsidRDefault="005B1E5F" w:rsidP="00EB76A2">
            <w:pPr>
              <w:jc w:val="center"/>
            </w:pPr>
            <w:r>
              <w:rPr>
                <w:lang w:val="en-US"/>
              </w:rPr>
              <w:t>4</w:t>
            </w:r>
            <w:r w:rsidRPr="007C5BE2">
              <w:rPr>
                <w:lang w:val="en-US"/>
              </w:rPr>
              <w:t>.</w:t>
            </w:r>
          </w:p>
        </w:tc>
        <w:tc>
          <w:tcPr>
            <w:tcW w:w="4446" w:type="pct"/>
            <w:gridSpan w:val="8"/>
            <w:shd w:val="clear" w:color="auto" w:fill="auto"/>
          </w:tcPr>
          <w:p w:rsidR="005B1E5F" w:rsidRPr="00FB4AB7" w:rsidRDefault="005B1E5F" w:rsidP="003549BE">
            <w:pPr>
              <w:jc w:val="both"/>
              <w:rPr>
                <w:lang w:val="sr-Cyrl-CS"/>
              </w:rPr>
            </w:pPr>
            <w:r w:rsidRPr="00FC2279">
              <w:rPr>
                <w:lang w:val="sr-Cyrl-CS"/>
              </w:rPr>
              <w:t xml:space="preserve">Samardzija D., Pogrmic-Majkic K., </w:t>
            </w:r>
            <w:r w:rsidRPr="00FC2279">
              <w:rPr>
                <w:b/>
                <w:lang w:val="sr-Cyrl-CS"/>
              </w:rPr>
              <w:t>Fa S.</w:t>
            </w:r>
            <w:r w:rsidRPr="00FC2279">
              <w:rPr>
                <w:lang w:val="sr-Cyrl-CS"/>
              </w:rPr>
              <w:t xml:space="preserve">, Glisic B., Stanic B., Andric N. (2016) Atrazine blocks ovulation via suppression of Lhr and Cyp19a1 mRNA and estradiol secretion in immature gonadotropin-treated rats. Reprod Toxicol 61:10-8. </w:t>
            </w:r>
          </w:p>
        </w:tc>
        <w:tc>
          <w:tcPr>
            <w:tcW w:w="320" w:type="pct"/>
            <w:vAlign w:val="center"/>
          </w:tcPr>
          <w:p w:rsidR="005B1E5F" w:rsidRPr="00A22864" w:rsidRDefault="005B1E5F" w:rsidP="00274EFF">
            <w:pPr>
              <w:rPr>
                <w:lang w:val="sr-Cyrl-CS"/>
              </w:rPr>
            </w:pPr>
            <w:r>
              <w:rPr>
                <w:lang w:val="en-US"/>
              </w:rPr>
              <w:t>M21</w:t>
            </w:r>
          </w:p>
        </w:tc>
      </w:tr>
      <w:tr w:rsidR="005B1E5F" w:rsidRPr="00A22864" w:rsidTr="006F1603">
        <w:trPr>
          <w:trHeight w:val="227"/>
          <w:jc w:val="center"/>
        </w:trPr>
        <w:tc>
          <w:tcPr>
            <w:tcW w:w="234" w:type="pct"/>
            <w:vAlign w:val="center"/>
          </w:tcPr>
          <w:p w:rsidR="005B1E5F" w:rsidRDefault="005B1E5F" w:rsidP="00EB76A2">
            <w:pPr>
              <w:jc w:val="center"/>
            </w:pPr>
            <w:r>
              <w:rPr>
                <w:lang w:val="en-US"/>
              </w:rPr>
              <w:t>5</w:t>
            </w:r>
            <w:r w:rsidRPr="007C5BE2">
              <w:rPr>
                <w:lang w:val="en-US"/>
              </w:rPr>
              <w:t>.</w:t>
            </w:r>
          </w:p>
        </w:tc>
        <w:tc>
          <w:tcPr>
            <w:tcW w:w="4446" w:type="pct"/>
            <w:gridSpan w:val="8"/>
            <w:shd w:val="clear" w:color="auto" w:fill="auto"/>
          </w:tcPr>
          <w:p w:rsidR="005B1E5F" w:rsidRPr="00FF670B" w:rsidRDefault="005B1E5F" w:rsidP="008702D0">
            <w:pPr>
              <w:jc w:val="both"/>
              <w:rPr>
                <w:lang w:val="sr-Cyrl-CS"/>
              </w:rPr>
            </w:pPr>
            <w:r w:rsidRPr="00FC2279">
              <w:rPr>
                <w:b/>
                <w:lang w:val="sr-Cyrl-CS"/>
              </w:rPr>
              <w:t>Fa S.</w:t>
            </w:r>
            <w:r w:rsidRPr="00FB4AB7">
              <w:rPr>
                <w:lang w:val="sr-Cyrl-CS"/>
              </w:rPr>
              <w:t>, Pogrmic-Majkic K., Samardzija D., Hrubik J., Glisic B., Kovacevic R., Andric N. (2015) HBCDD-induced sustained reduction in mitochondrial membrane potential,  ATP and steroidogenesis in peripubertal rat Leydig cells.Toxicol Appl Pharmacol, 282 (1), 20-29.</w:t>
            </w:r>
          </w:p>
        </w:tc>
        <w:tc>
          <w:tcPr>
            <w:tcW w:w="320" w:type="pct"/>
            <w:vAlign w:val="center"/>
          </w:tcPr>
          <w:p w:rsidR="005B1E5F" w:rsidRPr="00A22864" w:rsidRDefault="005B1E5F" w:rsidP="00274EFF">
            <w:pPr>
              <w:rPr>
                <w:lang w:val="sr-Cyrl-CS"/>
              </w:rPr>
            </w:pPr>
            <w:r>
              <w:rPr>
                <w:lang w:val="en-US"/>
              </w:rPr>
              <w:t>M21</w:t>
            </w:r>
          </w:p>
        </w:tc>
      </w:tr>
      <w:tr w:rsidR="005B1E5F" w:rsidRPr="00A22864" w:rsidTr="006F1603">
        <w:trPr>
          <w:trHeight w:val="227"/>
          <w:jc w:val="center"/>
        </w:trPr>
        <w:tc>
          <w:tcPr>
            <w:tcW w:w="234" w:type="pct"/>
            <w:vAlign w:val="center"/>
          </w:tcPr>
          <w:p w:rsidR="005B1E5F" w:rsidRDefault="005B1E5F" w:rsidP="00EB76A2">
            <w:pPr>
              <w:jc w:val="center"/>
            </w:pPr>
            <w:r>
              <w:rPr>
                <w:lang w:val="en-US"/>
              </w:rPr>
              <w:t>6</w:t>
            </w:r>
            <w:r w:rsidRPr="007C5BE2">
              <w:rPr>
                <w:lang w:val="en-US"/>
              </w:rPr>
              <w:t>.</w:t>
            </w:r>
          </w:p>
        </w:tc>
        <w:tc>
          <w:tcPr>
            <w:tcW w:w="4446" w:type="pct"/>
            <w:gridSpan w:val="8"/>
            <w:shd w:val="clear" w:color="auto" w:fill="auto"/>
          </w:tcPr>
          <w:p w:rsidR="005B1E5F" w:rsidRPr="002A4A47" w:rsidRDefault="005B1E5F" w:rsidP="008702D0">
            <w:pPr>
              <w:jc w:val="both"/>
              <w:rPr>
                <w:bCs/>
              </w:rPr>
            </w:pPr>
            <w:r w:rsidRPr="00FC2279">
              <w:rPr>
                <w:b/>
              </w:rPr>
              <w:t>Fa S.</w:t>
            </w:r>
            <w:r w:rsidRPr="00FB4AB7">
              <w:t>, Samardzija D., Odzic L., Pogrmic-Majkic K., Kaisarevic S., Kovacevic R., Andric N. (2014) Hexabromocyclododecane facilitates FSH activation of ERK1/2 and AKT through epidermal growth factor receptor in rat granulosa cells. Arch Toxicol, 88 (2), 345-354.</w:t>
            </w:r>
          </w:p>
        </w:tc>
        <w:tc>
          <w:tcPr>
            <w:tcW w:w="320" w:type="pct"/>
            <w:vAlign w:val="center"/>
          </w:tcPr>
          <w:p w:rsidR="005B1E5F" w:rsidRPr="00A22864" w:rsidRDefault="005B1E5F" w:rsidP="00274EFF">
            <w:pPr>
              <w:rPr>
                <w:lang w:val="sr-Cyrl-CS"/>
              </w:rPr>
            </w:pPr>
            <w:r>
              <w:rPr>
                <w:lang w:val="en-US"/>
              </w:rPr>
              <w:t>M21a</w:t>
            </w:r>
          </w:p>
        </w:tc>
      </w:tr>
      <w:tr w:rsidR="005B1E5F" w:rsidRPr="00A22864" w:rsidTr="006F1603">
        <w:trPr>
          <w:trHeight w:val="227"/>
          <w:jc w:val="center"/>
        </w:trPr>
        <w:tc>
          <w:tcPr>
            <w:tcW w:w="234" w:type="pct"/>
            <w:vAlign w:val="center"/>
          </w:tcPr>
          <w:p w:rsidR="005B1E5F" w:rsidRDefault="005B1E5F" w:rsidP="00EB76A2">
            <w:pPr>
              <w:jc w:val="center"/>
            </w:pPr>
            <w:r>
              <w:rPr>
                <w:lang w:val="en-US"/>
              </w:rPr>
              <w:t>7</w:t>
            </w:r>
            <w:r w:rsidRPr="007C5BE2">
              <w:rPr>
                <w:lang w:val="en-US"/>
              </w:rPr>
              <w:t>.</w:t>
            </w:r>
          </w:p>
        </w:tc>
        <w:tc>
          <w:tcPr>
            <w:tcW w:w="4446" w:type="pct"/>
            <w:gridSpan w:val="8"/>
            <w:shd w:val="clear" w:color="auto" w:fill="auto"/>
          </w:tcPr>
          <w:p w:rsidR="005B1E5F" w:rsidRPr="00FF670B" w:rsidRDefault="005B1E5F" w:rsidP="008702D0">
            <w:pPr>
              <w:jc w:val="both"/>
              <w:rPr>
                <w:i/>
                <w:lang w:val="sr-Cyrl-CS"/>
              </w:rPr>
            </w:pPr>
            <w:r w:rsidRPr="00FC2279">
              <w:rPr>
                <w:b/>
              </w:rPr>
              <w:t>Fa S.</w:t>
            </w:r>
            <w:r w:rsidRPr="004D76B2">
              <w:t>,  Pogrmic-Majkic K., Samardzija D., Glisic B., Kaisarevic S., Kovacevic R., Andric N. (2013)  Involvement of ERK1/2 signaling pathway in atrazine action on FSH-stimulated LHR and CYP19A1 expression in rat granulosa cells. Toxicol Appl Pharmacol, 270 (1), 1-8.</w:t>
            </w:r>
          </w:p>
        </w:tc>
        <w:tc>
          <w:tcPr>
            <w:tcW w:w="320" w:type="pct"/>
            <w:vAlign w:val="center"/>
          </w:tcPr>
          <w:p w:rsidR="005B1E5F" w:rsidRPr="00A22864" w:rsidRDefault="005B1E5F" w:rsidP="00274EFF">
            <w:pPr>
              <w:rPr>
                <w:lang w:val="sr-Cyrl-CS"/>
              </w:rPr>
            </w:pPr>
            <w:r>
              <w:rPr>
                <w:lang w:val="en-US"/>
              </w:rPr>
              <w:t>M21</w:t>
            </w:r>
          </w:p>
        </w:tc>
      </w:tr>
      <w:tr w:rsidR="005B1E5F" w:rsidRPr="00A22864" w:rsidTr="006F1603">
        <w:trPr>
          <w:trHeight w:val="227"/>
          <w:jc w:val="center"/>
        </w:trPr>
        <w:tc>
          <w:tcPr>
            <w:tcW w:w="234" w:type="pct"/>
            <w:vAlign w:val="center"/>
          </w:tcPr>
          <w:p w:rsidR="005B1E5F" w:rsidRDefault="005B1E5F" w:rsidP="00EB76A2">
            <w:pPr>
              <w:jc w:val="center"/>
            </w:pPr>
            <w:r>
              <w:rPr>
                <w:lang w:val="en-US"/>
              </w:rPr>
              <w:t>8</w:t>
            </w:r>
            <w:r w:rsidRPr="007C5BE2">
              <w:rPr>
                <w:lang w:val="en-US"/>
              </w:rPr>
              <w:t>.</w:t>
            </w:r>
          </w:p>
        </w:tc>
        <w:tc>
          <w:tcPr>
            <w:tcW w:w="4446" w:type="pct"/>
            <w:gridSpan w:val="8"/>
            <w:shd w:val="clear" w:color="auto" w:fill="auto"/>
          </w:tcPr>
          <w:p w:rsidR="005B1E5F" w:rsidRPr="00FF670B" w:rsidRDefault="005B1E5F" w:rsidP="008702D0">
            <w:pPr>
              <w:jc w:val="both"/>
              <w:rPr>
                <w:lang w:val="sr-Cyrl-CS"/>
              </w:rPr>
            </w:pPr>
            <w:r w:rsidRPr="00FC2279">
              <w:rPr>
                <w:b/>
              </w:rPr>
              <w:t>Fa S.</w:t>
            </w:r>
            <w:r w:rsidRPr="004D76B2">
              <w:t>, Pogrmic-Majkic K., Dakic V., Kaisarevic S., Hrubik J., Andric N., Stojilkovic S., Kovacevic R. (2013) Acute effects of hexabromocyclododecane on Leydig cell cyclic nucleotide signaling and steroidogenesis in vitro. Toxicol Lett 218 (1), 81-90.</w:t>
            </w:r>
          </w:p>
        </w:tc>
        <w:tc>
          <w:tcPr>
            <w:tcW w:w="320" w:type="pct"/>
            <w:vAlign w:val="center"/>
          </w:tcPr>
          <w:p w:rsidR="005B1E5F" w:rsidRPr="00A22864" w:rsidRDefault="005B1E5F" w:rsidP="00274EFF">
            <w:pPr>
              <w:rPr>
                <w:lang w:val="sr-Cyrl-CS"/>
              </w:rPr>
            </w:pPr>
            <w:r>
              <w:rPr>
                <w:lang w:val="en-US"/>
              </w:rPr>
              <w:t>M21</w:t>
            </w:r>
          </w:p>
        </w:tc>
      </w:tr>
      <w:tr w:rsidR="005B1E5F" w:rsidRPr="00A22864" w:rsidTr="006F1603">
        <w:trPr>
          <w:trHeight w:val="227"/>
          <w:jc w:val="center"/>
        </w:trPr>
        <w:tc>
          <w:tcPr>
            <w:tcW w:w="234" w:type="pct"/>
            <w:vAlign w:val="center"/>
          </w:tcPr>
          <w:p w:rsidR="005B1E5F" w:rsidRDefault="005B1E5F" w:rsidP="00EB76A2">
            <w:pPr>
              <w:jc w:val="center"/>
            </w:pPr>
            <w:r>
              <w:rPr>
                <w:lang w:val="en-US"/>
              </w:rPr>
              <w:t>9</w:t>
            </w:r>
            <w:r w:rsidRPr="007C5BE2">
              <w:rPr>
                <w:lang w:val="en-US"/>
              </w:rPr>
              <w:t>.</w:t>
            </w:r>
          </w:p>
        </w:tc>
        <w:tc>
          <w:tcPr>
            <w:tcW w:w="4446" w:type="pct"/>
            <w:gridSpan w:val="8"/>
            <w:shd w:val="clear" w:color="auto" w:fill="auto"/>
          </w:tcPr>
          <w:p w:rsidR="005B1E5F" w:rsidRPr="004D76B2" w:rsidRDefault="005B1E5F" w:rsidP="008702D0">
            <w:pPr>
              <w:jc w:val="both"/>
            </w:pPr>
            <w:r w:rsidRPr="00FB4AB7">
              <w:rPr>
                <w:lang w:val="sr-Cyrl-CS"/>
              </w:rPr>
              <w:t xml:space="preserve">Kucka M., Pogrmic-Majkic K., </w:t>
            </w:r>
            <w:r w:rsidRPr="00FC2279">
              <w:rPr>
                <w:b/>
                <w:lang w:val="sr-Cyrl-CS"/>
              </w:rPr>
              <w:t>Fa S.</w:t>
            </w:r>
            <w:r w:rsidRPr="00FB4AB7">
              <w:rPr>
                <w:lang w:val="sr-Cyrl-CS"/>
              </w:rPr>
              <w:t>, Stojilkovic S.S., Kovacevic R. (2012) Atrazine acts as an endocrine disrupter by inhibiting cAMP-specific phosphodiesterase-4. Toxicol Appl Pharmacol 265, 19-26.</w:t>
            </w:r>
          </w:p>
        </w:tc>
        <w:tc>
          <w:tcPr>
            <w:tcW w:w="320" w:type="pct"/>
            <w:vAlign w:val="center"/>
          </w:tcPr>
          <w:p w:rsidR="005B1E5F" w:rsidRPr="00EB76A2" w:rsidRDefault="005B1E5F" w:rsidP="00274EFF">
            <w:pPr>
              <w:rPr>
                <w:lang w:val="en-US"/>
              </w:rPr>
            </w:pPr>
            <w:r>
              <w:rPr>
                <w:lang w:val="en-US"/>
              </w:rPr>
              <w:t>M21</w:t>
            </w:r>
          </w:p>
        </w:tc>
      </w:tr>
      <w:tr w:rsidR="005B1E5F" w:rsidRPr="00A22864" w:rsidTr="006F1603">
        <w:trPr>
          <w:trHeight w:val="227"/>
          <w:jc w:val="center"/>
        </w:trPr>
        <w:tc>
          <w:tcPr>
            <w:tcW w:w="234" w:type="pct"/>
            <w:vAlign w:val="center"/>
          </w:tcPr>
          <w:p w:rsidR="005B1E5F" w:rsidRDefault="005B1E5F" w:rsidP="00EB76A2">
            <w:pPr>
              <w:jc w:val="center"/>
            </w:pPr>
            <w:r>
              <w:rPr>
                <w:lang w:val="en-US"/>
              </w:rPr>
              <w:t>10</w:t>
            </w:r>
            <w:r w:rsidRPr="007C5BE2">
              <w:rPr>
                <w:lang w:val="en-US"/>
              </w:rPr>
              <w:t>.</w:t>
            </w:r>
          </w:p>
        </w:tc>
        <w:tc>
          <w:tcPr>
            <w:tcW w:w="4446" w:type="pct"/>
            <w:gridSpan w:val="8"/>
            <w:shd w:val="clear" w:color="auto" w:fill="auto"/>
          </w:tcPr>
          <w:p w:rsidR="005B1E5F" w:rsidRPr="00FF670B" w:rsidRDefault="005B1E5F" w:rsidP="008702D0">
            <w:pPr>
              <w:jc w:val="both"/>
            </w:pPr>
            <w:r w:rsidRPr="004D76B2">
              <w:t xml:space="preserve">Pogrmic K., </w:t>
            </w:r>
            <w:r w:rsidRPr="00FC2279">
              <w:rPr>
                <w:b/>
              </w:rPr>
              <w:t>Fa S.</w:t>
            </w:r>
            <w:r w:rsidRPr="004D76B2">
              <w:t xml:space="preserve">, Dakic V., Kaisarevic S., Kovacevic R. (2009) Atrazine oral exposure of peripubertal male rats down regulates steroidogenesis gene expression in Leydig cells. Toxicol Sci 111, 189-197 </w:t>
            </w:r>
          </w:p>
        </w:tc>
        <w:tc>
          <w:tcPr>
            <w:tcW w:w="320" w:type="pct"/>
            <w:vAlign w:val="center"/>
          </w:tcPr>
          <w:p w:rsidR="005B1E5F" w:rsidRPr="00EB76A2" w:rsidRDefault="005B1E5F" w:rsidP="00274EFF">
            <w:pPr>
              <w:rPr>
                <w:lang w:val="en-US"/>
              </w:rPr>
            </w:pPr>
            <w:r>
              <w:rPr>
                <w:lang w:val="en-US"/>
              </w:rPr>
              <w:t>M21</w:t>
            </w:r>
          </w:p>
        </w:tc>
      </w:tr>
      <w:tr w:rsidR="005B1E5F" w:rsidRPr="00A22864" w:rsidTr="00EB76A2">
        <w:trPr>
          <w:trHeight w:val="227"/>
          <w:jc w:val="center"/>
        </w:trPr>
        <w:tc>
          <w:tcPr>
            <w:tcW w:w="5000" w:type="pct"/>
            <w:gridSpan w:val="10"/>
            <w:vAlign w:val="center"/>
          </w:tcPr>
          <w:p w:rsidR="005B1E5F" w:rsidRPr="00A22864" w:rsidRDefault="005B1E5F" w:rsidP="00274EFF">
            <w:pPr>
              <w:rPr>
                <w:lang w:val="sr-Cyrl-CS"/>
              </w:rPr>
            </w:pPr>
            <w:r w:rsidRPr="00A22864">
              <w:rPr>
                <w:b/>
                <w:lang w:val="sr-Cyrl-CS"/>
              </w:rPr>
              <w:t>Збирни подаци научне активност наставника</w:t>
            </w:r>
          </w:p>
        </w:tc>
      </w:tr>
      <w:tr w:rsidR="005B1E5F" w:rsidRPr="00A22864" w:rsidTr="006F1603">
        <w:trPr>
          <w:trHeight w:val="227"/>
          <w:jc w:val="center"/>
        </w:trPr>
        <w:tc>
          <w:tcPr>
            <w:tcW w:w="1860" w:type="pct"/>
            <w:gridSpan w:val="6"/>
            <w:vAlign w:val="center"/>
          </w:tcPr>
          <w:p w:rsidR="005B1E5F" w:rsidRPr="00A22864" w:rsidRDefault="005B1E5F" w:rsidP="00274EFF">
            <w:pPr>
              <w:rPr>
                <w:lang w:val="sr-Cyrl-CS"/>
              </w:rPr>
            </w:pPr>
            <w:r w:rsidRPr="00A22864">
              <w:rPr>
                <w:lang w:val="sr-Cyrl-CS"/>
              </w:rPr>
              <w:t>Укупан број цитата, без аутоцитата</w:t>
            </w:r>
          </w:p>
        </w:tc>
        <w:tc>
          <w:tcPr>
            <w:tcW w:w="3140" w:type="pct"/>
            <w:gridSpan w:val="4"/>
            <w:vAlign w:val="center"/>
          </w:tcPr>
          <w:p w:rsidR="005B1E5F" w:rsidRPr="00A22864" w:rsidRDefault="00743018" w:rsidP="00274EFF">
            <w:pPr>
              <w:rPr>
                <w:lang w:val="sr-Cyrl-CS"/>
              </w:rPr>
            </w:pPr>
            <w:r>
              <w:rPr>
                <w:lang w:val="sr-Cyrl-CS"/>
              </w:rPr>
              <w:t>223</w:t>
            </w:r>
          </w:p>
        </w:tc>
      </w:tr>
      <w:tr w:rsidR="005B1E5F" w:rsidRPr="00A22864" w:rsidTr="006F1603">
        <w:trPr>
          <w:trHeight w:val="227"/>
          <w:jc w:val="center"/>
        </w:trPr>
        <w:tc>
          <w:tcPr>
            <w:tcW w:w="1860" w:type="pct"/>
            <w:gridSpan w:val="6"/>
            <w:vAlign w:val="center"/>
          </w:tcPr>
          <w:p w:rsidR="005B1E5F" w:rsidRPr="00A22864" w:rsidRDefault="005B1E5F" w:rsidP="00274EFF">
            <w:pPr>
              <w:rPr>
                <w:lang w:val="sr-Cyrl-CS"/>
              </w:rPr>
            </w:pPr>
            <w:r w:rsidRPr="00A22864">
              <w:rPr>
                <w:lang w:val="sr-Cyrl-CS"/>
              </w:rPr>
              <w:t>Укупан број радова са SCI (или SSCI) листе</w:t>
            </w:r>
          </w:p>
        </w:tc>
        <w:tc>
          <w:tcPr>
            <w:tcW w:w="3140" w:type="pct"/>
            <w:gridSpan w:val="4"/>
            <w:vAlign w:val="center"/>
          </w:tcPr>
          <w:p w:rsidR="005B1E5F" w:rsidRPr="00A22864" w:rsidRDefault="00743018" w:rsidP="00274EFF">
            <w:pPr>
              <w:rPr>
                <w:lang w:val="sr-Cyrl-CS"/>
              </w:rPr>
            </w:pPr>
            <w:r>
              <w:rPr>
                <w:lang w:val="sr-Cyrl-CS"/>
              </w:rPr>
              <w:t>22</w:t>
            </w:r>
          </w:p>
        </w:tc>
      </w:tr>
      <w:tr w:rsidR="005B1E5F" w:rsidRPr="00A22864" w:rsidTr="006F1603">
        <w:trPr>
          <w:trHeight w:val="227"/>
          <w:jc w:val="center"/>
        </w:trPr>
        <w:tc>
          <w:tcPr>
            <w:tcW w:w="1860" w:type="pct"/>
            <w:gridSpan w:val="6"/>
            <w:vAlign w:val="center"/>
          </w:tcPr>
          <w:p w:rsidR="005B1E5F" w:rsidRPr="00A22864" w:rsidRDefault="005B1E5F" w:rsidP="00274EFF">
            <w:pPr>
              <w:rPr>
                <w:lang w:val="sr-Cyrl-CS"/>
              </w:rPr>
            </w:pPr>
            <w:r w:rsidRPr="00A22864">
              <w:rPr>
                <w:lang w:val="sr-Cyrl-CS"/>
              </w:rPr>
              <w:t>Тренутно учешће на пројектима</w:t>
            </w:r>
          </w:p>
        </w:tc>
        <w:tc>
          <w:tcPr>
            <w:tcW w:w="1701" w:type="pct"/>
            <w:gridSpan w:val="2"/>
            <w:vAlign w:val="center"/>
          </w:tcPr>
          <w:p w:rsidR="005B1E5F" w:rsidRPr="00A22864" w:rsidRDefault="005B1E5F" w:rsidP="00274EFF">
            <w:pPr>
              <w:rPr>
                <w:lang w:val="sr-Cyrl-CS"/>
              </w:rPr>
            </w:pPr>
            <w:r w:rsidRPr="00A22864">
              <w:rPr>
                <w:lang w:val="sr-Cyrl-CS"/>
              </w:rPr>
              <w:t>Домаћи</w:t>
            </w:r>
            <w:r>
              <w:rPr>
                <w:lang w:val="sr-Cyrl-CS"/>
              </w:rPr>
              <w:t xml:space="preserve">    2</w:t>
            </w:r>
          </w:p>
        </w:tc>
        <w:tc>
          <w:tcPr>
            <w:tcW w:w="1439" w:type="pct"/>
            <w:gridSpan w:val="2"/>
            <w:vAlign w:val="center"/>
          </w:tcPr>
          <w:p w:rsidR="005B1E5F" w:rsidRPr="00A22864" w:rsidRDefault="005B1E5F" w:rsidP="00274EFF">
            <w:pPr>
              <w:rPr>
                <w:lang w:val="sr-Cyrl-CS"/>
              </w:rPr>
            </w:pPr>
            <w:r w:rsidRPr="00A22864">
              <w:rPr>
                <w:lang w:val="sr-Cyrl-CS"/>
              </w:rPr>
              <w:t>Међународни</w:t>
            </w:r>
            <w:r>
              <w:rPr>
                <w:lang w:val="sr-Cyrl-CS"/>
              </w:rPr>
              <w:t xml:space="preserve">     1</w:t>
            </w:r>
          </w:p>
        </w:tc>
      </w:tr>
      <w:tr w:rsidR="005B1E5F" w:rsidRPr="00A22864" w:rsidTr="006F1603">
        <w:trPr>
          <w:trHeight w:val="227"/>
          <w:jc w:val="center"/>
        </w:trPr>
        <w:tc>
          <w:tcPr>
            <w:tcW w:w="651" w:type="pct"/>
            <w:gridSpan w:val="2"/>
            <w:vAlign w:val="center"/>
          </w:tcPr>
          <w:p w:rsidR="005B1E5F" w:rsidRPr="00A22864" w:rsidRDefault="005B1E5F" w:rsidP="00274EFF">
            <w:pPr>
              <w:rPr>
                <w:lang w:val="sr-Cyrl-CS"/>
              </w:rPr>
            </w:pPr>
            <w:r w:rsidRPr="00A22864">
              <w:rPr>
                <w:lang w:val="sr-Cyrl-CS"/>
              </w:rPr>
              <w:t xml:space="preserve">Усавршавања </w:t>
            </w:r>
          </w:p>
        </w:tc>
        <w:tc>
          <w:tcPr>
            <w:tcW w:w="4349" w:type="pct"/>
            <w:gridSpan w:val="8"/>
            <w:vAlign w:val="center"/>
          </w:tcPr>
          <w:p w:rsidR="005B1E5F" w:rsidRPr="00A22864" w:rsidRDefault="005B1E5F" w:rsidP="00C04A4B">
            <w:pPr>
              <w:rPr>
                <w:lang w:val="sr-Cyrl-CS"/>
              </w:rPr>
            </w:pPr>
            <w:r>
              <w:t xml:space="preserve">Постдокторско усавршавање, Епигенетика раног развића, Универзитет у Архусу, Данска, 2015-2016 </w:t>
            </w:r>
          </w:p>
        </w:tc>
      </w:tr>
      <w:tr w:rsidR="005B1E5F" w:rsidRPr="00A22864" w:rsidTr="00EB76A2">
        <w:trPr>
          <w:trHeight w:val="227"/>
          <w:jc w:val="center"/>
        </w:trPr>
        <w:tc>
          <w:tcPr>
            <w:tcW w:w="5000" w:type="pct"/>
            <w:gridSpan w:val="10"/>
            <w:vAlign w:val="center"/>
          </w:tcPr>
          <w:p w:rsidR="005B1E5F" w:rsidRPr="00A22864" w:rsidRDefault="005B1E5F" w:rsidP="003549BE">
            <w:pPr>
              <w:rPr>
                <w:lang w:val="sr-Cyrl-CS"/>
              </w:rPr>
            </w:pPr>
            <w:r w:rsidRPr="00A22864">
              <w:rPr>
                <w:lang w:val="sr-Cyrl-CS"/>
              </w:rPr>
              <w:t>Други подаци које сматрате релевантним</w:t>
            </w:r>
            <w:r>
              <w:rPr>
                <w:lang w:val="sr-Cyrl-CS"/>
              </w:rPr>
              <w:t>:</w:t>
            </w:r>
            <w:r>
              <w:rPr>
                <w:lang w:val="en-US"/>
              </w:rPr>
              <w:t xml:space="preserve">  </w:t>
            </w:r>
            <w:r>
              <w:t>Рецензент</w:t>
            </w:r>
            <w:r>
              <w:rPr>
                <w:lang w:val="sr-Cyrl-CS"/>
              </w:rPr>
              <w:t xml:space="preserve">   научних радова за часопис ТААР; Члан Етичке комисије за заштиту огледних животиња  на  УНС; Чланства у: Српско друштв</w:t>
            </w:r>
            <w:r>
              <w:rPr>
                <w:lang w:val="en-US"/>
              </w:rPr>
              <w:t>o</w:t>
            </w:r>
            <w:r>
              <w:rPr>
                <w:lang w:val="sr-Cyrl-CS"/>
              </w:rPr>
              <w:t xml:space="preserve"> за молекуларну биологију, Биохемијско</w:t>
            </w:r>
            <w:r>
              <w:rPr>
                <w:lang w:val="en-US"/>
              </w:rPr>
              <w:t xml:space="preserve"> </w:t>
            </w:r>
            <w:r>
              <w:rPr>
                <w:lang w:val="sr-Cyrl-CS"/>
              </w:rPr>
              <w:t>друштв</w:t>
            </w:r>
            <w:r>
              <w:rPr>
                <w:lang w:val="en-US"/>
              </w:rPr>
              <w:t>o</w:t>
            </w:r>
            <w:r>
              <w:rPr>
                <w:lang w:val="sr-Cyrl-CS"/>
              </w:rPr>
              <w:t xml:space="preserve"> Србије, </w:t>
            </w:r>
            <w:r>
              <w:t>Удружење токсиколога Србије</w:t>
            </w:r>
          </w:p>
        </w:tc>
      </w:tr>
    </w:tbl>
    <w:p w:rsidR="00765095" w:rsidRPr="00421337" w:rsidRDefault="00765095"/>
    <w:sectPr w:rsidR="00765095" w:rsidRPr="00421337" w:rsidSect="007650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641D9C"/>
    <w:rsid w:val="0003697A"/>
    <w:rsid w:val="003549BE"/>
    <w:rsid w:val="00421337"/>
    <w:rsid w:val="005740E1"/>
    <w:rsid w:val="005B1E5F"/>
    <w:rsid w:val="006407C4"/>
    <w:rsid w:val="00641D9C"/>
    <w:rsid w:val="006F1603"/>
    <w:rsid w:val="00736903"/>
    <w:rsid w:val="00743018"/>
    <w:rsid w:val="00747130"/>
    <w:rsid w:val="00765095"/>
    <w:rsid w:val="00847884"/>
    <w:rsid w:val="00871131"/>
    <w:rsid w:val="00890AFF"/>
    <w:rsid w:val="008E6CE8"/>
    <w:rsid w:val="00916CCC"/>
    <w:rsid w:val="00995AB8"/>
    <w:rsid w:val="009F19D1"/>
    <w:rsid w:val="009F49A0"/>
    <w:rsid w:val="00AF2CE0"/>
    <w:rsid w:val="00B92A62"/>
    <w:rsid w:val="00C04A4B"/>
    <w:rsid w:val="00DD46F9"/>
    <w:rsid w:val="00EB5E7E"/>
    <w:rsid w:val="00EB76A2"/>
    <w:rsid w:val="00F53537"/>
    <w:rsid w:val="00FD1F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D9C"/>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576</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4</cp:revision>
  <dcterms:created xsi:type="dcterms:W3CDTF">2019-09-24T07:52:00Z</dcterms:created>
  <dcterms:modified xsi:type="dcterms:W3CDTF">2020-05-17T17:19:00Z</dcterms:modified>
</cp:coreProperties>
</file>