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53"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9"/>
        <w:gridCol w:w="492"/>
        <w:gridCol w:w="916"/>
        <w:gridCol w:w="991"/>
        <w:gridCol w:w="1192"/>
        <w:gridCol w:w="2211"/>
        <w:gridCol w:w="1844"/>
        <w:gridCol w:w="218"/>
        <w:gridCol w:w="1412"/>
        <w:gridCol w:w="881"/>
      </w:tblGrid>
      <w:tr w:rsidR="00A242B6" w:rsidRPr="00A22864" w:rsidTr="00C109BF">
        <w:trPr>
          <w:trHeight w:val="227"/>
        </w:trPr>
        <w:tc>
          <w:tcPr>
            <w:tcW w:w="1407" w:type="pct"/>
            <w:gridSpan w:val="4"/>
            <w:vAlign w:val="center"/>
          </w:tcPr>
          <w:p w:rsidR="00A242B6" w:rsidRPr="00A22864" w:rsidRDefault="00A242B6" w:rsidP="00A242B6">
            <w:pPr>
              <w:tabs>
                <w:tab w:val="left" w:pos="567"/>
              </w:tabs>
              <w:rPr>
                <w:lang w:val="sr-Cyrl-CS"/>
              </w:rPr>
            </w:pPr>
            <w:r w:rsidRPr="00A22864">
              <w:rPr>
                <w:b/>
                <w:lang w:val="sr-Cyrl-CS"/>
              </w:rPr>
              <w:t>Име и презиме</w:t>
            </w:r>
          </w:p>
        </w:tc>
        <w:tc>
          <w:tcPr>
            <w:tcW w:w="3593" w:type="pct"/>
            <w:gridSpan w:val="6"/>
            <w:vAlign w:val="center"/>
          </w:tcPr>
          <w:p w:rsidR="00A242B6" w:rsidRPr="00AC3AFE" w:rsidRDefault="00A242B6" w:rsidP="00A242B6">
            <w:pPr>
              <w:tabs>
                <w:tab w:val="left" w:pos="567"/>
              </w:tabs>
              <w:spacing w:after="60"/>
              <w:rPr>
                <w:b/>
                <w:lang w:val="sr-Cyrl-CS"/>
              </w:rPr>
            </w:pPr>
            <w:r w:rsidRPr="00AC3AFE">
              <w:rPr>
                <w:b/>
                <w:lang w:val="sr-Cyrl-CS"/>
              </w:rPr>
              <w:t>Елвира Вукашиновић</w:t>
            </w:r>
          </w:p>
        </w:tc>
      </w:tr>
      <w:tr w:rsidR="00A242B6" w:rsidRPr="00A22864" w:rsidTr="00C109BF">
        <w:trPr>
          <w:trHeight w:val="227"/>
        </w:trPr>
        <w:tc>
          <w:tcPr>
            <w:tcW w:w="1407" w:type="pct"/>
            <w:gridSpan w:val="4"/>
            <w:vAlign w:val="center"/>
          </w:tcPr>
          <w:p w:rsidR="00A242B6" w:rsidRPr="00A22864" w:rsidRDefault="00A242B6" w:rsidP="00A242B6">
            <w:pPr>
              <w:tabs>
                <w:tab w:val="left" w:pos="567"/>
              </w:tabs>
              <w:rPr>
                <w:lang w:val="sr-Cyrl-CS"/>
              </w:rPr>
            </w:pPr>
            <w:r w:rsidRPr="00A22864">
              <w:rPr>
                <w:b/>
                <w:lang w:val="sr-Cyrl-CS"/>
              </w:rPr>
              <w:t>Звање</w:t>
            </w:r>
          </w:p>
        </w:tc>
        <w:tc>
          <w:tcPr>
            <w:tcW w:w="3593" w:type="pct"/>
            <w:gridSpan w:val="6"/>
            <w:vAlign w:val="center"/>
          </w:tcPr>
          <w:p w:rsidR="00A242B6" w:rsidRPr="00A22864" w:rsidRDefault="00A242B6" w:rsidP="00A242B6">
            <w:pPr>
              <w:tabs>
                <w:tab w:val="left" w:pos="567"/>
              </w:tabs>
              <w:rPr>
                <w:lang w:val="sr-Cyrl-CS"/>
              </w:rPr>
            </w:pPr>
            <w:r>
              <w:rPr>
                <w:lang w:val="sr-Cyrl-CS"/>
              </w:rPr>
              <w:t>Научни сарадник</w:t>
            </w:r>
          </w:p>
        </w:tc>
      </w:tr>
      <w:tr w:rsidR="00A242B6" w:rsidRPr="00A22864" w:rsidTr="00C109BF">
        <w:trPr>
          <w:trHeight w:val="227"/>
        </w:trPr>
        <w:tc>
          <w:tcPr>
            <w:tcW w:w="1407" w:type="pct"/>
            <w:gridSpan w:val="4"/>
            <w:vAlign w:val="center"/>
          </w:tcPr>
          <w:p w:rsidR="00A242B6" w:rsidRPr="00A22864" w:rsidRDefault="00A242B6" w:rsidP="00A242B6">
            <w:pPr>
              <w:tabs>
                <w:tab w:val="left" w:pos="567"/>
              </w:tabs>
              <w:rPr>
                <w:lang w:val="sr-Cyrl-CS"/>
              </w:rPr>
            </w:pPr>
            <w:r w:rsidRPr="00A22864">
              <w:rPr>
                <w:b/>
                <w:lang w:val="sr-Cyrl-CS"/>
              </w:rPr>
              <w:t>Ужа научна област</w:t>
            </w:r>
          </w:p>
        </w:tc>
        <w:tc>
          <w:tcPr>
            <w:tcW w:w="3593" w:type="pct"/>
            <w:gridSpan w:val="6"/>
            <w:vAlign w:val="center"/>
          </w:tcPr>
          <w:p w:rsidR="00A242B6" w:rsidRPr="00A242B6" w:rsidRDefault="0015511E" w:rsidP="00A242B6">
            <w:pPr>
              <w:tabs>
                <w:tab w:val="left" w:pos="567"/>
              </w:tabs>
            </w:pPr>
            <w:r w:rsidRPr="0015511E">
              <w:t>Биохемија</w:t>
            </w:r>
          </w:p>
        </w:tc>
      </w:tr>
      <w:tr w:rsidR="00C109BF" w:rsidRPr="00A22864" w:rsidTr="00C109BF">
        <w:trPr>
          <w:trHeight w:val="227"/>
        </w:trPr>
        <w:tc>
          <w:tcPr>
            <w:tcW w:w="948" w:type="pct"/>
            <w:gridSpan w:val="3"/>
            <w:vAlign w:val="center"/>
          </w:tcPr>
          <w:p w:rsidR="00C109BF" w:rsidRPr="00A22864" w:rsidRDefault="00C109BF" w:rsidP="00A242B6">
            <w:pPr>
              <w:tabs>
                <w:tab w:val="left" w:pos="567"/>
              </w:tabs>
              <w:rPr>
                <w:lang w:val="sr-Cyrl-CS"/>
              </w:rPr>
            </w:pPr>
            <w:r w:rsidRPr="00A22864">
              <w:rPr>
                <w:b/>
                <w:lang w:val="sr-Cyrl-CS"/>
              </w:rPr>
              <w:t>Академска каријера</w:t>
            </w:r>
          </w:p>
        </w:tc>
        <w:tc>
          <w:tcPr>
            <w:tcW w:w="459" w:type="pct"/>
            <w:vAlign w:val="center"/>
          </w:tcPr>
          <w:p w:rsidR="00C109BF" w:rsidRPr="00AC3AFE" w:rsidRDefault="00C109BF" w:rsidP="00A242B6">
            <w:pPr>
              <w:tabs>
                <w:tab w:val="left" w:pos="567"/>
              </w:tabs>
              <w:rPr>
                <w:b/>
                <w:lang w:val="sr-Cyrl-CS"/>
              </w:rPr>
            </w:pPr>
            <w:r w:rsidRPr="00AC3AFE">
              <w:rPr>
                <w:b/>
                <w:lang w:val="sr-Cyrl-CS"/>
              </w:rPr>
              <w:t xml:space="preserve">Година </w:t>
            </w:r>
          </w:p>
        </w:tc>
        <w:tc>
          <w:tcPr>
            <w:tcW w:w="1576" w:type="pct"/>
            <w:gridSpan w:val="2"/>
            <w:vAlign w:val="center"/>
          </w:tcPr>
          <w:p w:rsidR="00C109BF" w:rsidRPr="00AC3AFE" w:rsidRDefault="00C109BF" w:rsidP="00A242B6">
            <w:pPr>
              <w:tabs>
                <w:tab w:val="left" w:pos="567"/>
              </w:tabs>
              <w:rPr>
                <w:b/>
                <w:lang w:val="sr-Cyrl-CS"/>
              </w:rPr>
            </w:pPr>
            <w:r w:rsidRPr="00AC3AFE">
              <w:rPr>
                <w:b/>
                <w:lang w:val="sr-Cyrl-CS"/>
              </w:rPr>
              <w:t xml:space="preserve">Институција </w:t>
            </w:r>
          </w:p>
        </w:tc>
        <w:tc>
          <w:tcPr>
            <w:tcW w:w="854" w:type="pct"/>
            <w:vAlign w:val="center"/>
          </w:tcPr>
          <w:p w:rsidR="00C109BF" w:rsidRPr="00AC3AFE" w:rsidRDefault="00C109BF" w:rsidP="00531A52">
            <w:pPr>
              <w:rPr>
                <w:b/>
                <w:lang w:val="sr-Cyrl-CS"/>
              </w:rPr>
            </w:pPr>
            <w:r w:rsidRPr="00AC3AFE">
              <w:rPr>
                <w:b/>
                <w:lang w:val="sr-Cyrl-CS"/>
              </w:rPr>
              <w:t>Област</w:t>
            </w:r>
            <w:r w:rsidRPr="00AC3AFE">
              <w:rPr>
                <w:b/>
              </w:rPr>
              <w:t xml:space="preserve"> </w:t>
            </w:r>
          </w:p>
        </w:tc>
        <w:tc>
          <w:tcPr>
            <w:tcW w:w="1163" w:type="pct"/>
            <w:gridSpan w:val="3"/>
            <w:vAlign w:val="center"/>
          </w:tcPr>
          <w:p w:rsidR="00C109BF" w:rsidRPr="00AC3AFE" w:rsidRDefault="00C109BF" w:rsidP="00531A52">
            <w:pPr>
              <w:rPr>
                <w:b/>
              </w:rPr>
            </w:pPr>
            <w:r w:rsidRPr="00AC3AFE">
              <w:rPr>
                <w:b/>
              </w:rPr>
              <w:t>Ужа научна односно уметничка област</w:t>
            </w:r>
          </w:p>
        </w:tc>
      </w:tr>
      <w:tr w:rsidR="00C109BF" w:rsidRPr="00A22864" w:rsidTr="00C109BF">
        <w:trPr>
          <w:trHeight w:val="227"/>
        </w:trPr>
        <w:tc>
          <w:tcPr>
            <w:tcW w:w="948" w:type="pct"/>
            <w:gridSpan w:val="3"/>
            <w:vAlign w:val="center"/>
          </w:tcPr>
          <w:p w:rsidR="00C109BF" w:rsidRPr="00A22864" w:rsidRDefault="00C109BF" w:rsidP="00A242B6">
            <w:pPr>
              <w:tabs>
                <w:tab w:val="left" w:pos="567"/>
              </w:tabs>
              <w:rPr>
                <w:lang w:val="sr-Cyrl-CS"/>
              </w:rPr>
            </w:pPr>
            <w:r w:rsidRPr="00A22864">
              <w:rPr>
                <w:lang w:val="sr-Cyrl-CS"/>
              </w:rPr>
              <w:t>Избор у звање</w:t>
            </w:r>
          </w:p>
        </w:tc>
        <w:tc>
          <w:tcPr>
            <w:tcW w:w="459" w:type="pct"/>
            <w:vAlign w:val="center"/>
          </w:tcPr>
          <w:p w:rsidR="00C109BF" w:rsidRPr="00A22864" w:rsidRDefault="00C109BF" w:rsidP="00A242B6">
            <w:pPr>
              <w:tabs>
                <w:tab w:val="left" w:pos="567"/>
              </w:tabs>
              <w:rPr>
                <w:lang w:val="sr-Cyrl-CS"/>
              </w:rPr>
            </w:pPr>
            <w:r>
              <w:rPr>
                <w:lang w:val="sr-Cyrl-CS"/>
              </w:rPr>
              <w:t>2015</w:t>
            </w:r>
          </w:p>
        </w:tc>
        <w:tc>
          <w:tcPr>
            <w:tcW w:w="1576" w:type="pct"/>
            <w:gridSpan w:val="2"/>
            <w:vAlign w:val="center"/>
          </w:tcPr>
          <w:p w:rsidR="00C109BF" w:rsidRPr="00A22864" w:rsidRDefault="00C109BF" w:rsidP="00A242B6">
            <w:pPr>
              <w:tabs>
                <w:tab w:val="left" w:pos="567"/>
              </w:tabs>
              <w:rPr>
                <w:lang w:val="sr-Cyrl-CS"/>
              </w:rPr>
            </w:pPr>
            <w:r>
              <w:rPr>
                <w:szCs w:val="24"/>
              </w:rPr>
              <w:t>Природно-математички факултет</w:t>
            </w:r>
            <w:r w:rsidRPr="00A41739">
              <w:rPr>
                <w:szCs w:val="24"/>
              </w:rPr>
              <w:t>,</w:t>
            </w:r>
            <w:r>
              <w:rPr>
                <w:szCs w:val="24"/>
              </w:rPr>
              <w:t xml:space="preserve"> Универзитет у Новом Саду</w:t>
            </w:r>
          </w:p>
        </w:tc>
        <w:tc>
          <w:tcPr>
            <w:tcW w:w="854" w:type="pct"/>
            <w:vAlign w:val="center"/>
          </w:tcPr>
          <w:p w:rsidR="00C109BF" w:rsidRPr="00A22864" w:rsidRDefault="00C109BF" w:rsidP="003F5D49">
            <w:pPr>
              <w:tabs>
                <w:tab w:val="left" w:pos="567"/>
              </w:tabs>
              <w:rPr>
                <w:lang w:val="sr-Cyrl-CS"/>
              </w:rPr>
            </w:pPr>
            <w:r w:rsidRPr="00481CEE">
              <w:rPr>
                <w:color w:val="000000" w:themeColor="text1"/>
              </w:rPr>
              <w:t>Природно</w:t>
            </w:r>
            <w:r>
              <w:rPr>
                <w:color w:val="000000" w:themeColor="text1"/>
              </w:rPr>
              <w:t xml:space="preserve"> </w:t>
            </w:r>
            <w:r w:rsidRPr="00481CEE">
              <w:rPr>
                <w:color w:val="000000" w:themeColor="text1"/>
              </w:rPr>
              <w:t>математичке науке-биологија</w:t>
            </w:r>
          </w:p>
        </w:tc>
        <w:tc>
          <w:tcPr>
            <w:tcW w:w="1163" w:type="pct"/>
            <w:gridSpan w:val="3"/>
            <w:vAlign w:val="center"/>
          </w:tcPr>
          <w:p w:rsidR="00C109BF" w:rsidRPr="005E4342" w:rsidRDefault="00C109BF" w:rsidP="00531A52">
            <w:pPr>
              <w:rPr>
                <w:lang w:val="sr-Cyrl-CS"/>
              </w:rPr>
            </w:pPr>
            <w:r w:rsidRPr="005E4342">
              <w:rPr>
                <w:lang w:val="sr-Cyrl-CS"/>
              </w:rPr>
              <w:t>биохемија</w:t>
            </w:r>
          </w:p>
        </w:tc>
      </w:tr>
      <w:tr w:rsidR="00C109BF" w:rsidRPr="00A22864" w:rsidTr="00C109BF">
        <w:trPr>
          <w:trHeight w:val="227"/>
        </w:trPr>
        <w:tc>
          <w:tcPr>
            <w:tcW w:w="948" w:type="pct"/>
            <w:gridSpan w:val="3"/>
            <w:tcBorders>
              <w:bottom w:val="single" w:sz="4" w:space="0" w:color="auto"/>
            </w:tcBorders>
            <w:vAlign w:val="center"/>
          </w:tcPr>
          <w:p w:rsidR="00C109BF" w:rsidRPr="00A22864" w:rsidRDefault="00C109BF" w:rsidP="00A242B6">
            <w:pPr>
              <w:tabs>
                <w:tab w:val="left" w:pos="567"/>
              </w:tabs>
              <w:rPr>
                <w:lang w:val="sr-Cyrl-CS"/>
              </w:rPr>
            </w:pPr>
            <w:r w:rsidRPr="00A22864">
              <w:rPr>
                <w:lang w:val="sr-Cyrl-CS"/>
              </w:rPr>
              <w:t>Докторат</w:t>
            </w:r>
          </w:p>
        </w:tc>
        <w:tc>
          <w:tcPr>
            <w:tcW w:w="459" w:type="pct"/>
            <w:tcBorders>
              <w:bottom w:val="single" w:sz="4" w:space="0" w:color="auto"/>
            </w:tcBorders>
            <w:vAlign w:val="center"/>
          </w:tcPr>
          <w:p w:rsidR="00C109BF" w:rsidRPr="00A22864" w:rsidRDefault="00C109BF" w:rsidP="00A242B6">
            <w:pPr>
              <w:tabs>
                <w:tab w:val="left" w:pos="567"/>
              </w:tabs>
              <w:rPr>
                <w:lang w:val="sr-Cyrl-CS"/>
              </w:rPr>
            </w:pPr>
            <w:r>
              <w:rPr>
                <w:lang w:val="sr-Cyrl-CS"/>
              </w:rPr>
              <w:t>2014</w:t>
            </w:r>
          </w:p>
        </w:tc>
        <w:tc>
          <w:tcPr>
            <w:tcW w:w="1576" w:type="pct"/>
            <w:gridSpan w:val="2"/>
            <w:vAlign w:val="center"/>
          </w:tcPr>
          <w:p w:rsidR="00C109BF" w:rsidRPr="00A22864" w:rsidRDefault="00C109BF" w:rsidP="00A242B6">
            <w:pPr>
              <w:tabs>
                <w:tab w:val="left" w:pos="567"/>
              </w:tabs>
              <w:rPr>
                <w:lang w:val="sr-Cyrl-CS"/>
              </w:rPr>
            </w:pPr>
            <w:r>
              <w:rPr>
                <w:szCs w:val="24"/>
              </w:rPr>
              <w:t>Природно-математички факултет</w:t>
            </w:r>
            <w:r w:rsidRPr="00A41739">
              <w:rPr>
                <w:szCs w:val="24"/>
              </w:rPr>
              <w:t>,</w:t>
            </w:r>
            <w:r>
              <w:rPr>
                <w:szCs w:val="24"/>
              </w:rPr>
              <w:t xml:space="preserve"> Универзитет у Новом Саду</w:t>
            </w:r>
          </w:p>
        </w:tc>
        <w:tc>
          <w:tcPr>
            <w:tcW w:w="854" w:type="pct"/>
            <w:vAlign w:val="center"/>
          </w:tcPr>
          <w:p w:rsidR="00C109BF" w:rsidRPr="00A22864" w:rsidRDefault="00C109BF" w:rsidP="003F5D49">
            <w:pPr>
              <w:tabs>
                <w:tab w:val="left" w:pos="567"/>
              </w:tabs>
              <w:rPr>
                <w:lang w:val="sr-Cyrl-CS"/>
              </w:rPr>
            </w:pPr>
            <w:r w:rsidRPr="00403077">
              <w:rPr>
                <w:color w:val="000000" w:themeColor="text1"/>
                <w:szCs w:val="24"/>
              </w:rPr>
              <w:t>Доктор</w:t>
            </w:r>
            <w:r>
              <w:rPr>
                <w:szCs w:val="24"/>
              </w:rPr>
              <w:t xml:space="preserve"> наука-биолошке науке</w:t>
            </w:r>
          </w:p>
        </w:tc>
        <w:tc>
          <w:tcPr>
            <w:tcW w:w="1163" w:type="pct"/>
            <w:gridSpan w:val="3"/>
            <w:vAlign w:val="center"/>
          </w:tcPr>
          <w:p w:rsidR="00C109BF" w:rsidRPr="005E4342" w:rsidRDefault="00C109BF" w:rsidP="00531A52">
            <w:pPr>
              <w:rPr>
                <w:lang w:val="sr-Cyrl-CS"/>
              </w:rPr>
            </w:pPr>
            <w:r w:rsidRPr="005E4342">
              <w:rPr>
                <w:lang w:val="sr-Cyrl-CS"/>
              </w:rPr>
              <w:t>биохемија</w:t>
            </w:r>
          </w:p>
        </w:tc>
      </w:tr>
      <w:tr w:rsidR="00C109BF" w:rsidRPr="00A22864" w:rsidTr="00C109BF">
        <w:trPr>
          <w:trHeight w:val="227"/>
        </w:trPr>
        <w:tc>
          <w:tcPr>
            <w:tcW w:w="948" w:type="pct"/>
            <w:gridSpan w:val="3"/>
            <w:tcBorders>
              <w:top w:val="single" w:sz="4" w:space="0" w:color="auto"/>
              <w:left w:val="single" w:sz="4" w:space="0" w:color="auto"/>
              <w:bottom w:val="nil"/>
              <w:right w:val="single" w:sz="4" w:space="0" w:color="auto"/>
            </w:tcBorders>
            <w:vAlign w:val="center"/>
          </w:tcPr>
          <w:p w:rsidR="00C109BF" w:rsidRPr="00A22864" w:rsidRDefault="00C109BF" w:rsidP="00A242B6">
            <w:pPr>
              <w:tabs>
                <w:tab w:val="left" w:pos="567"/>
              </w:tabs>
              <w:rPr>
                <w:lang w:val="sr-Cyrl-CS"/>
              </w:rPr>
            </w:pPr>
            <w:r w:rsidRPr="00A22864">
              <w:rPr>
                <w:lang w:val="sr-Cyrl-CS"/>
              </w:rPr>
              <w:t>Диплома</w:t>
            </w:r>
          </w:p>
        </w:tc>
        <w:tc>
          <w:tcPr>
            <w:tcW w:w="459" w:type="pct"/>
            <w:tcBorders>
              <w:top w:val="single" w:sz="4" w:space="0" w:color="auto"/>
              <w:left w:val="single" w:sz="4" w:space="0" w:color="auto"/>
              <w:bottom w:val="single" w:sz="4" w:space="0" w:color="auto"/>
              <w:right w:val="single" w:sz="4" w:space="0" w:color="auto"/>
            </w:tcBorders>
            <w:vAlign w:val="center"/>
          </w:tcPr>
          <w:p w:rsidR="00C109BF" w:rsidRPr="00A22864" w:rsidRDefault="00C109BF" w:rsidP="00A242B6">
            <w:pPr>
              <w:tabs>
                <w:tab w:val="left" w:pos="567"/>
              </w:tabs>
              <w:rPr>
                <w:lang w:val="sr-Cyrl-CS"/>
              </w:rPr>
            </w:pPr>
            <w:r>
              <w:rPr>
                <w:lang w:val="sr-Cyrl-CS"/>
              </w:rPr>
              <w:t>2007</w:t>
            </w:r>
          </w:p>
        </w:tc>
        <w:tc>
          <w:tcPr>
            <w:tcW w:w="1576" w:type="pct"/>
            <w:gridSpan w:val="2"/>
            <w:tcBorders>
              <w:left w:val="single" w:sz="4" w:space="0" w:color="auto"/>
            </w:tcBorders>
            <w:vAlign w:val="center"/>
          </w:tcPr>
          <w:p w:rsidR="00C109BF" w:rsidRPr="00A22864" w:rsidRDefault="00C109BF" w:rsidP="00A242B6">
            <w:pPr>
              <w:tabs>
                <w:tab w:val="left" w:pos="567"/>
              </w:tabs>
              <w:rPr>
                <w:lang w:val="sr-Cyrl-CS"/>
              </w:rPr>
            </w:pPr>
            <w:r>
              <w:rPr>
                <w:szCs w:val="24"/>
              </w:rPr>
              <w:t>Природно-математички факултет</w:t>
            </w:r>
            <w:r w:rsidRPr="00A41739">
              <w:rPr>
                <w:szCs w:val="24"/>
              </w:rPr>
              <w:t>,</w:t>
            </w:r>
            <w:r>
              <w:rPr>
                <w:szCs w:val="24"/>
              </w:rPr>
              <w:t xml:space="preserve"> Универзитет у Новом Саду</w:t>
            </w:r>
          </w:p>
        </w:tc>
        <w:tc>
          <w:tcPr>
            <w:tcW w:w="854" w:type="pct"/>
            <w:tcBorders>
              <w:left w:val="single" w:sz="4" w:space="0" w:color="auto"/>
            </w:tcBorders>
            <w:vAlign w:val="center"/>
          </w:tcPr>
          <w:p w:rsidR="00C109BF" w:rsidRPr="00A22864" w:rsidRDefault="00C109BF" w:rsidP="003F5D49">
            <w:pPr>
              <w:tabs>
                <w:tab w:val="left" w:pos="567"/>
              </w:tabs>
              <w:rPr>
                <w:lang w:val="sr-Cyrl-CS"/>
              </w:rPr>
            </w:pPr>
            <w:r>
              <w:rPr>
                <w:szCs w:val="24"/>
              </w:rPr>
              <w:t>Дипломирани биолог-мастер</w:t>
            </w:r>
          </w:p>
        </w:tc>
        <w:tc>
          <w:tcPr>
            <w:tcW w:w="1163" w:type="pct"/>
            <w:gridSpan w:val="3"/>
            <w:vAlign w:val="center"/>
          </w:tcPr>
          <w:p w:rsidR="00C109BF" w:rsidRPr="005E4342" w:rsidRDefault="00C109BF" w:rsidP="00531A52">
            <w:pPr>
              <w:rPr>
                <w:lang w:val="sr-Cyrl-CS"/>
              </w:rPr>
            </w:pPr>
            <w:r w:rsidRPr="005E4342">
              <w:rPr>
                <w:lang w:val="sr-Cyrl-CS"/>
              </w:rPr>
              <w:t>биохемија</w:t>
            </w:r>
          </w:p>
        </w:tc>
      </w:tr>
      <w:tr w:rsidR="00C109BF" w:rsidRPr="00A22864" w:rsidTr="00C109BF">
        <w:trPr>
          <w:trHeight w:val="227"/>
        </w:trPr>
        <w:tc>
          <w:tcPr>
            <w:tcW w:w="948" w:type="pct"/>
            <w:gridSpan w:val="3"/>
            <w:tcBorders>
              <w:top w:val="nil"/>
              <w:left w:val="single" w:sz="4" w:space="0" w:color="auto"/>
              <w:bottom w:val="single" w:sz="4" w:space="0" w:color="auto"/>
              <w:right w:val="single" w:sz="4" w:space="0" w:color="auto"/>
            </w:tcBorders>
            <w:vAlign w:val="center"/>
          </w:tcPr>
          <w:p w:rsidR="00C109BF" w:rsidRPr="00A22864" w:rsidRDefault="00C109BF" w:rsidP="00A242B6">
            <w:pPr>
              <w:tabs>
                <w:tab w:val="left" w:pos="567"/>
              </w:tabs>
              <w:rPr>
                <w:lang w:val="sr-Cyrl-CS"/>
              </w:rPr>
            </w:pPr>
          </w:p>
        </w:tc>
        <w:tc>
          <w:tcPr>
            <w:tcW w:w="459" w:type="pct"/>
            <w:tcBorders>
              <w:top w:val="single" w:sz="4" w:space="0" w:color="auto"/>
              <w:left w:val="single" w:sz="4" w:space="0" w:color="auto"/>
              <w:bottom w:val="single" w:sz="4" w:space="0" w:color="auto"/>
              <w:right w:val="single" w:sz="4" w:space="0" w:color="auto"/>
            </w:tcBorders>
            <w:vAlign w:val="center"/>
          </w:tcPr>
          <w:p w:rsidR="00C109BF" w:rsidRDefault="00C109BF" w:rsidP="00A242B6">
            <w:pPr>
              <w:tabs>
                <w:tab w:val="left" w:pos="567"/>
              </w:tabs>
              <w:rPr>
                <w:lang w:val="sr-Cyrl-CS"/>
              </w:rPr>
            </w:pPr>
            <w:r>
              <w:rPr>
                <w:lang w:val="sr-Cyrl-CS"/>
              </w:rPr>
              <w:t>2006</w:t>
            </w:r>
          </w:p>
        </w:tc>
        <w:tc>
          <w:tcPr>
            <w:tcW w:w="1576" w:type="pct"/>
            <w:gridSpan w:val="2"/>
            <w:tcBorders>
              <w:left w:val="single" w:sz="4" w:space="0" w:color="auto"/>
            </w:tcBorders>
            <w:vAlign w:val="center"/>
          </w:tcPr>
          <w:p w:rsidR="00C109BF" w:rsidRDefault="00C109BF" w:rsidP="00A242B6">
            <w:pPr>
              <w:tabs>
                <w:tab w:val="left" w:pos="567"/>
              </w:tabs>
              <w:rPr>
                <w:szCs w:val="24"/>
              </w:rPr>
            </w:pPr>
            <w:r>
              <w:rPr>
                <w:szCs w:val="24"/>
              </w:rPr>
              <w:t>Природно-математички факултет</w:t>
            </w:r>
            <w:r w:rsidRPr="00A41739">
              <w:rPr>
                <w:szCs w:val="24"/>
              </w:rPr>
              <w:t>,</w:t>
            </w:r>
            <w:r>
              <w:rPr>
                <w:szCs w:val="24"/>
              </w:rPr>
              <w:t xml:space="preserve"> Универзитет у Новом Саду</w:t>
            </w:r>
          </w:p>
        </w:tc>
        <w:tc>
          <w:tcPr>
            <w:tcW w:w="854" w:type="pct"/>
            <w:tcBorders>
              <w:left w:val="single" w:sz="4" w:space="0" w:color="auto"/>
            </w:tcBorders>
            <w:vAlign w:val="center"/>
          </w:tcPr>
          <w:p w:rsidR="00C109BF" w:rsidRPr="00A242B6" w:rsidRDefault="00C109BF" w:rsidP="003F5D49">
            <w:pPr>
              <w:tabs>
                <w:tab w:val="left" w:pos="567"/>
              </w:tabs>
              <w:rPr>
                <w:szCs w:val="24"/>
              </w:rPr>
            </w:pPr>
            <w:r>
              <w:rPr>
                <w:szCs w:val="24"/>
              </w:rPr>
              <w:t>Дипломирани биолог</w:t>
            </w:r>
          </w:p>
        </w:tc>
        <w:tc>
          <w:tcPr>
            <w:tcW w:w="1163" w:type="pct"/>
            <w:gridSpan w:val="3"/>
            <w:vAlign w:val="center"/>
          </w:tcPr>
          <w:p w:rsidR="00C109BF" w:rsidRPr="005E4342" w:rsidRDefault="00C109BF" w:rsidP="00531A52">
            <w:pPr>
              <w:rPr>
                <w:lang w:val="sr-Cyrl-CS"/>
              </w:rPr>
            </w:pPr>
            <w:r w:rsidRPr="005E4342">
              <w:rPr>
                <w:lang w:val="sr-Cyrl-CS"/>
              </w:rPr>
              <w:t>биохемија</w:t>
            </w:r>
          </w:p>
        </w:tc>
      </w:tr>
      <w:tr w:rsidR="00C109BF" w:rsidRPr="00A22864" w:rsidTr="00B70F2E">
        <w:trPr>
          <w:trHeight w:val="227"/>
        </w:trPr>
        <w:tc>
          <w:tcPr>
            <w:tcW w:w="5000" w:type="pct"/>
            <w:gridSpan w:val="10"/>
            <w:vAlign w:val="center"/>
          </w:tcPr>
          <w:p w:rsidR="00C109BF" w:rsidRPr="00A22864" w:rsidRDefault="00C109BF" w:rsidP="00A242B6">
            <w:pPr>
              <w:tabs>
                <w:tab w:val="left" w:pos="567"/>
              </w:tabs>
              <w:rPr>
                <w:lang w:val="sr-Cyrl-CS"/>
              </w:rPr>
            </w:pPr>
            <w:r w:rsidRPr="00A22864">
              <w:rPr>
                <w:b/>
                <w:lang w:val="sr-Cyrl-CS"/>
              </w:rPr>
              <w:t>Списак предмета које наставник држи у текућој школској години</w:t>
            </w:r>
          </w:p>
        </w:tc>
      </w:tr>
      <w:tr w:rsidR="00C109BF" w:rsidRPr="00A22864" w:rsidTr="00B70F2E">
        <w:trPr>
          <w:trHeight w:val="227"/>
        </w:trPr>
        <w:tc>
          <w:tcPr>
            <w:tcW w:w="524" w:type="pct"/>
            <w:gridSpan w:val="2"/>
            <w:vAlign w:val="center"/>
          </w:tcPr>
          <w:p w:rsidR="00C109BF" w:rsidRPr="00A22864" w:rsidRDefault="00C109BF" w:rsidP="00A242B6">
            <w:pPr>
              <w:tabs>
                <w:tab w:val="left" w:pos="567"/>
              </w:tabs>
              <w:rPr>
                <w:lang w:val="sr-Cyrl-CS"/>
              </w:rPr>
            </w:pPr>
            <w:r w:rsidRPr="00A22864">
              <w:rPr>
                <w:lang w:val="sr-Cyrl-CS"/>
              </w:rPr>
              <w:t>Р.Б.</w:t>
            </w:r>
          </w:p>
        </w:tc>
        <w:tc>
          <w:tcPr>
            <w:tcW w:w="3414" w:type="pct"/>
            <w:gridSpan w:val="6"/>
            <w:vAlign w:val="center"/>
          </w:tcPr>
          <w:p w:rsidR="00C109BF" w:rsidRPr="00A22864" w:rsidRDefault="00C109BF" w:rsidP="00A242B6">
            <w:pPr>
              <w:tabs>
                <w:tab w:val="left" w:pos="567"/>
              </w:tabs>
              <w:rPr>
                <w:lang w:val="sr-Cyrl-CS"/>
              </w:rPr>
            </w:pPr>
            <w:r w:rsidRPr="00A22864">
              <w:rPr>
                <w:iCs/>
                <w:lang w:val="sr-Cyrl-CS"/>
              </w:rPr>
              <w:t>Назив предмета</w:t>
            </w:r>
            <w:bookmarkStart w:id="0" w:name="_GoBack"/>
            <w:bookmarkEnd w:id="0"/>
          </w:p>
        </w:tc>
        <w:tc>
          <w:tcPr>
            <w:tcW w:w="1062" w:type="pct"/>
            <w:gridSpan w:val="2"/>
            <w:vAlign w:val="center"/>
          </w:tcPr>
          <w:p w:rsidR="00C109BF" w:rsidRPr="00A22864" w:rsidRDefault="00C109BF" w:rsidP="00A242B6">
            <w:pPr>
              <w:tabs>
                <w:tab w:val="left" w:pos="567"/>
              </w:tabs>
              <w:rPr>
                <w:lang w:val="sr-Cyrl-CS"/>
              </w:rPr>
            </w:pPr>
          </w:p>
        </w:tc>
      </w:tr>
      <w:tr w:rsidR="00C109BF" w:rsidRPr="00A22864" w:rsidTr="00B70F2E">
        <w:trPr>
          <w:trHeight w:val="227"/>
        </w:trPr>
        <w:tc>
          <w:tcPr>
            <w:tcW w:w="524" w:type="pct"/>
            <w:gridSpan w:val="2"/>
            <w:vAlign w:val="center"/>
          </w:tcPr>
          <w:p w:rsidR="00C109BF" w:rsidRPr="00A22864" w:rsidRDefault="00C109BF" w:rsidP="00A242B6">
            <w:pPr>
              <w:tabs>
                <w:tab w:val="left" w:pos="567"/>
              </w:tabs>
              <w:rPr>
                <w:lang w:val="sr-Cyrl-CS"/>
              </w:rPr>
            </w:pPr>
          </w:p>
        </w:tc>
        <w:tc>
          <w:tcPr>
            <w:tcW w:w="3414" w:type="pct"/>
            <w:gridSpan w:val="6"/>
            <w:vAlign w:val="center"/>
          </w:tcPr>
          <w:p w:rsidR="00C109BF" w:rsidRPr="00C536B7" w:rsidRDefault="00C109BF" w:rsidP="00A242B6">
            <w:pPr>
              <w:tabs>
                <w:tab w:val="left" w:pos="567"/>
              </w:tabs>
              <w:rPr>
                <w:lang w:val="sr-Cyrl-CS"/>
              </w:rPr>
            </w:pPr>
          </w:p>
        </w:tc>
        <w:tc>
          <w:tcPr>
            <w:tcW w:w="1062" w:type="pct"/>
            <w:gridSpan w:val="2"/>
            <w:vAlign w:val="center"/>
          </w:tcPr>
          <w:p w:rsidR="00C109BF" w:rsidRPr="00A22864" w:rsidRDefault="00C109BF" w:rsidP="00B70F2E">
            <w:pPr>
              <w:tabs>
                <w:tab w:val="left" w:pos="567"/>
              </w:tabs>
              <w:rPr>
                <w:lang w:val="sr-Cyrl-CS"/>
              </w:rPr>
            </w:pPr>
          </w:p>
        </w:tc>
      </w:tr>
      <w:tr w:rsidR="00C109BF" w:rsidRPr="00A22864" w:rsidTr="00B70F2E">
        <w:trPr>
          <w:trHeight w:val="227"/>
        </w:trPr>
        <w:tc>
          <w:tcPr>
            <w:tcW w:w="5000" w:type="pct"/>
            <w:gridSpan w:val="10"/>
            <w:vAlign w:val="center"/>
          </w:tcPr>
          <w:p w:rsidR="00C109BF" w:rsidRPr="00A22864" w:rsidRDefault="00C109BF" w:rsidP="00A242B6">
            <w:pPr>
              <w:tabs>
                <w:tab w:val="left" w:pos="567"/>
              </w:tabs>
              <w:rPr>
                <w:b/>
                <w:lang w:val="sr-Cyrl-CS"/>
              </w:rPr>
            </w:pPr>
            <w:r w:rsidRPr="00A22864">
              <w:rPr>
                <w:lang w:val="sr-Cyrl-CS"/>
              </w:rPr>
              <w:t xml:space="preserve">Најзначајнији радови </w:t>
            </w:r>
            <w:r w:rsidRPr="00A22864">
              <w:rPr>
                <w:b/>
                <w:lang w:val="sr-Cyrl-CS"/>
              </w:rPr>
              <w:t xml:space="preserve"> у складу са захтевима допунских стандарда за дато поље (минимално 10 не више од 20)</w:t>
            </w:r>
          </w:p>
        </w:tc>
      </w:tr>
      <w:tr w:rsidR="00C109BF" w:rsidRPr="00A22864" w:rsidTr="00C109BF">
        <w:trPr>
          <w:trHeight w:val="227"/>
        </w:trPr>
        <w:tc>
          <w:tcPr>
            <w:tcW w:w="296" w:type="pct"/>
            <w:vAlign w:val="center"/>
          </w:tcPr>
          <w:p w:rsidR="00C109BF" w:rsidRPr="00A22864" w:rsidRDefault="00C109BF" w:rsidP="00A242B6">
            <w:pPr>
              <w:tabs>
                <w:tab w:val="left" w:pos="567"/>
              </w:tabs>
              <w:rPr>
                <w:lang w:val="sr-Cyrl-CS"/>
              </w:rPr>
            </w:pPr>
            <w:r>
              <w:rPr>
                <w:lang w:val="sr-Cyrl-CS"/>
              </w:rPr>
              <w:t>1.</w:t>
            </w:r>
          </w:p>
        </w:tc>
        <w:tc>
          <w:tcPr>
            <w:tcW w:w="4296" w:type="pct"/>
            <w:gridSpan w:val="8"/>
            <w:shd w:val="clear" w:color="auto" w:fill="auto"/>
            <w:vAlign w:val="center"/>
          </w:tcPr>
          <w:p w:rsidR="00C109BF" w:rsidRPr="00791E84" w:rsidRDefault="00C109BF" w:rsidP="00A242B6">
            <w:pPr>
              <w:tabs>
                <w:tab w:val="left" w:pos="567"/>
              </w:tabs>
              <w:rPr>
                <w:sz w:val="18"/>
                <w:lang w:val="sr-Cyrl-CS"/>
              </w:rPr>
            </w:pPr>
            <w:r w:rsidRPr="00791E84">
              <w:rPr>
                <w:color w:val="000000" w:themeColor="text1"/>
                <w:sz w:val="18"/>
              </w:rPr>
              <w:t>Nikolić T., Kojić D., Orčić S., Vukašinović E., Blagojević D. and Purać J. (2019) Laboratory bioassays on the response of honey bee (Apis mellifera L.) glutathione S-transferase and acetylcholinesterase to the oral exposure to copper, cadmium, and lead. </w:t>
            </w:r>
            <w:r w:rsidRPr="00791E84">
              <w:rPr>
                <w:i/>
                <w:iCs/>
                <w:color w:val="000000" w:themeColor="text1"/>
                <w:sz w:val="18"/>
              </w:rPr>
              <w:t>Environmental Science and Pollution Research</w:t>
            </w:r>
          </w:p>
        </w:tc>
        <w:tc>
          <w:tcPr>
            <w:tcW w:w="408" w:type="pct"/>
            <w:vAlign w:val="center"/>
          </w:tcPr>
          <w:p w:rsidR="00C109BF" w:rsidRPr="00B70F2E" w:rsidRDefault="00C109BF" w:rsidP="00A242B6">
            <w:pPr>
              <w:tabs>
                <w:tab w:val="left" w:pos="567"/>
              </w:tabs>
            </w:pPr>
            <w:r>
              <w:t>M22</w:t>
            </w:r>
          </w:p>
        </w:tc>
      </w:tr>
      <w:tr w:rsidR="00C109BF" w:rsidRPr="00A22864" w:rsidTr="00C109BF">
        <w:trPr>
          <w:trHeight w:val="227"/>
        </w:trPr>
        <w:tc>
          <w:tcPr>
            <w:tcW w:w="296" w:type="pct"/>
            <w:vAlign w:val="center"/>
          </w:tcPr>
          <w:p w:rsidR="00C109BF" w:rsidRPr="00A22864" w:rsidRDefault="00C109BF" w:rsidP="00A242B6">
            <w:pPr>
              <w:tabs>
                <w:tab w:val="left" w:pos="567"/>
              </w:tabs>
              <w:rPr>
                <w:lang w:val="sr-Cyrl-CS"/>
              </w:rPr>
            </w:pPr>
            <w:r>
              <w:rPr>
                <w:lang w:val="sr-Cyrl-CS"/>
              </w:rPr>
              <w:t>2.</w:t>
            </w:r>
          </w:p>
        </w:tc>
        <w:tc>
          <w:tcPr>
            <w:tcW w:w="4296" w:type="pct"/>
            <w:gridSpan w:val="8"/>
            <w:shd w:val="clear" w:color="auto" w:fill="auto"/>
            <w:vAlign w:val="center"/>
          </w:tcPr>
          <w:p w:rsidR="00C109BF" w:rsidRPr="00791E84" w:rsidRDefault="00C109BF" w:rsidP="00A242B6">
            <w:pPr>
              <w:tabs>
                <w:tab w:val="left" w:pos="567"/>
              </w:tabs>
              <w:rPr>
                <w:sz w:val="18"/>
                <w:lang w:val="sr-Cyrl-CS"/>
              </w:rPr>
            </w:pPr>
            <w:r w:rsidRPr="00791E84">
              <w:rPr>
                <w:color w:val="000000" w:themeColor="text1"/>
                <w:sz w:val="18"/>
              </w:rPr>
              <w:t xml:space="preserve">Kojić D., Popović Ž.D., Orčić D., Purać J., Orčić S., Vukašinović  E.L., Nikolić T., Blagojević D.P. </w:t>
            </w:r>
            <w:r w:rsidRPr="00791E84">
              <w:rPr>
                <w:color w:val="000000" w:themeColor="text1"/>
                <w:sz w:val="18"/>
                <w:lang w:val="en-US"/>
              </w:rPr>
              <w:t xml:space="preserve">(2018) </w:t>
            </w:r>
            <w:r w:rsidRPr="00791E84">
              <w:rPr>
                <w:color w:val="000000" w:themeColor="text1"/>
                <w:sz w:val="18"/>
              </w:rPr>
              <w:t xml:space="preserve">The influence of low temperature and diapause phase on sugar and polyol content in the European corn borer </w:t>
            </w:r>
            <w:r w:rsidRPr="00791E84">
              <w:rPr>
                <w:i/>
                <w:color w:val="000000" w:themeColor="text1"/>
                <w:sz w:val="18"/>
              </w:rPr>
              <w:t>Ostrinia nubilalis</w:t>
            </w:r>
            <w:r w:rsidRPr="00791E84">
              <w:rPr>
                <w:color w:val="000000" w:themeColor="text1"/>
                <w:sz w:val="18"/>
              </w:rPr>
              <w:t xml:space="preserve"> (Hbn.) </w:t>
            </w:r>
            <w:r w:rsidRPr="00791E84">
              <w:rPr>
                <w:i/>
                <w:color w:val="000000" w:themeColor="text1"/>
                <w:sz w:val="18"/>
              </w:rPr>
              <w:t>Journal of Insect Physiology</w:t>
            </w:r>
            <w:r w:rsidRPr="00791E84">
              <w:rPr>
                <w:color w:val="000000" w:themeColor="text1"/>
                <w:sz w:val="18"/>
              </w:rPr>
              <w:t>, 109, 107-113</w:t>
            </w:r>
          </w:p>
        </w:tc>
        <w:tc>
          <w:tcPr>
            <w:tcW w:w="408" w:type="pct"/>
            <w:vAlign w:val="center"/>
          </w:tcPr>
          <w:p w:rsidR="00C109BF" w:rsidRPr="00B70F2E" w:rsidRDefault="00C109BF" w:rsidP="00A242B6">
            <w:pPr>
              <w:tabs>
                <w:tab w:val="left" w:pos="567"/>
              </w:tabs>
            </w:pPr>
            <w:r>
              <w:t>M21a</w:t>
            </w:r>
          </w:p>
        </w:tc>
      </w:tr>
      <w:tr w:rsidR="00C109BF" w:rsidRPr="00A22864" w:rsidTr="00C109BF">
        <w:trPr>
          <w:trHeight w:val="227"/>
        </w:trPr>
        <w:tc>
          <w:tcPr>
            <w:tcW w:w="296" w:type="pct"/>
            <w:vAlign w:val="center"/>
          </w:tcPr>
          <w:p w:rsidR="00C109BF" w:rsidRPr="00A22864" w:rsidRDefault="00C109BF" w:rsidP="00A242B6">
            <w:pPr>
              <w:tabs>
                <w:tab w:val="left" w:pos="567"/>
              </w:tabs>
              <w:rPr>
                <w:lang w:val="sr-Cyrl-CS"/>
              </w:rPr>
            </w:pPr>
            <w:r>
              <w:rPr>
                <w:lang w:val="sr-Cyrl-CS"/>
              </w:rPr>
              <w:t>3.</w:t>
            </w:r>
          </w:p>
        </w:tc>
        <w:tc>
          <w:tcPr>
            <w:tcW w:w="4296" w:type="pct"/>
            <w:gridSpan w:val="8"/>
            <w:shd w:val="clear" w:color="auto" w:fill="auto"/>
            <w:vAlign w:val="center"/>
          </w:tcPr>
          <w:p w:rsidR="00C109BF" w:rsidRPr="00791E84" w:rsidRDefault="00C109BF" w:rsidP="00A242B6">
            <w:pPr>
              <w:tabs>
                <w:tab w:val="left" w:pos="567"/>
              </w:tabs>
              <w:rPr>
                <w:sz w:val="18"/>
                <w:lang w:val="sr-Cyrl-CS"/>
              </w:rPr>
            </w:pPr>
            <w:r w:rsidRPr="00791E84">
              <w:rPr>
                <w:rStyle w:val="ui-cell-data"/>
                <w:color w:val="000000" w:themeColor="text1"/>
                <w:sz w:val="18"/>
              </w:rPr>
              <w:t xml:space="preserve">Vukašinović E.L., Pond D.W., Grubor-Lajšić G., Worland M.R., Kojić D., Purać J., Popović Ž.D., Blagojević D.P. (2018) Temperature adaptation of lipids in diapausing </w:t>
            </w:r>
            <w:r w:rsidRPr="00791E84">
              <w:rPr>
                <w:rStyle w:val="ui-cell-data"/>
                <w:i/>
                <w:color w:val="000000" w:themeColor="text1"/>
                <w:sz w:val="18"/>
              </w:rPr>
              <w:t>Ostrinia nubilalis</w:t>
            </w:r>
            <w:r w:rsidRPr="00791E84">
              <w:rPr>
                <w:rStyle w:val="ui-cell-data"/>
                <w:color w:val="000000" w:themeColor="text1"/>
                <w:sz w:val="18"/>
              </w:rPr>
              <w:t xml:space="preserve">: an experimental study to distinguish environmental versus endogenous controls. </w:t>
            </w:r>
            <w:r w:rsidRPr="00791E84">
              <w:rPr>
                <w:i/>
                <w:color w:val="000000" w:themeColor="text1"/>
                <w:sz w:val="18"/>
              </w:rPr>
              <w:t>Journal of Comparative Physiology, Part B</w:t>
            </w:r>
            <w:r w:rsidRPr="00791E84">
              <w:rPr>
                <w:color w:val="000000" w:themeColor="text1"/>
                <w:sz w:val="18"/>
              </w:rPr>
              <w:t>, 1</w:t>
            </w:r>
            <w:r w:rsidRPr="00791E84">
              <w:rPr>
                <w:rStyle w:val="ui-cell-data"/>
                <w:color w:val="000000" w:themeColor="text1"/>
                <w:sz w:val="18"/>
              </w:rPr>
              <w:t>88, 27 - 36</w:t>
            </w:r>
          </w:p>
        </w:tc>
        <w:tc>
          <w:tcPr>
            <w:tcW w:w="408" w:type="pct"/>
            <w:vAlign w:val="center"/>
          </w:tcPr>
          <w:p w:rsidR="00C109BF" w:rsidRPr="00B70F2E" w:rsidRDefault="00C109BF" w:rsidP="00A242B6">
            <w:pPr>
              <w:tabs>
                <w:tab w:val="left" w:pos="567"/>
              </w:tabs>
            </w:pPr>
            <w:r>
              <w:t>M21</w:t>
            </w:r>
          </w:p>
        </w:tc>
      </w:tr>
      <w:tr w:rsidR="00C109BF" w:rsidRPr="00A22864" w:rsidTr="00C109BF">
        <w:trPr>
          <w:trHeight w:val="227"/>
        </w:trPr>
        <w:tc>
          <w:tcPr>
            <w:tcW w:w="296" w:type="pct"/>
            <w:vAlign w:val="center"/>
          </w:tcPr>
          <w:p w:rsidR="00C109BF" w:rsidRPr="00A22864" w:rsidRDefault="00C109BF" w:rsidP="00A242B6">
            <w:pPr>
              <w:tabs>
                <w:tab w:val="left" w:pos="567"/>
              </w:tabs>
              <w:rPr>
                <w:lang w:val="sr-Cyrl-CS"/>
              </w:rPr>
            </w:pPr>
            <w:r>
              <w:rPr>
                <w:lang w:val="sr-Cyrl-CS"/>
              </w:rPr>
              <w:t>4.</w:t>
            </w:r>
          </w:p>
        </w:tc>
        <w:tc>
          <w:tcPr>
            <w:tcW w:w="4296" w:type="pct"/>
            <w:gridSpan w:val="8"/>
            <w:shd w:val="clear" w:color="auto" w:fill="auto"/>
            <w:vAlign w:val="center"/>
          </w:tcPr>
          <w:p w:rsidR="00C109BF" w:rsidRPr="00791E84" w:rsidRDefault="00C109BF" w:rsidP="00A242B6">
            <w:pPr>
              <w:tabs>
                <w:tab w:val="left" w:pos="567"/>
              </w:tabs>
              <w:rPr>
                <w:sz w:val="18"/>
                <w:lang w:val="sr-Cyrl-CS"/>
              </w:rPr>
            </w:pPr>
            <w:r w:rsidRPr="00791E84">
              <w:rPr>
                <w:color w:val="000000" w:themeColor="text1"/>
                <w:sz w:val="18"/>
              </w:rPr>
              <w:t>Orčić S., Nikolić T., Purać J., Šikoparija B., Blagojević D., Vukašinović E., Plavša N., Jevrosima S. and Kojić D. (2017) Seasonal variation in the activity of selected antioxidant enzymes and malondialdehyde level in worker honey bees. </w:t>
            </w:r>
            <w:r w:rsidRPr="00791E84">
              <w:rPr>
                <w:i/>
                <w:iCs/>
                <w:color w:val="000000" w:themeColor="text1"/>
                <w:sz w:val="18"/>
              </w:rPr>
              <w:t>Entomologia Experimentalis et Applicata</w:t>
            </w:r>
            <w:r w:rsidRPr="00791E84">
              <w:rPr>
                <w:color w:val="000000" w:themeColor="text1"/>
                <w:sz w:val="18"/>
              </w:rPr>
              <w:t>, 165 (2-3), pp. 120-128</w:t>
            </w:r>
          </w:p>
        </w:tc>
        <w:tc>
          <w:tcPr>
            <w:tcW w:w="408" w:type="pct"/>
            <w:vAlign w:val="center"/>
          </w:tcPr>
          <w:p w:rsidR="00C109BF" w:rsidRPr="00B70F2E" w:rsidRDefault="00C109BF" w:rsidP="00A242B6">
            <w:pPr>
              <w:tabs>
                <w:tab w:val="left" w:pos="567"/>
              </w:tabs>
            </w:pPr>
            <w:r>
              <w:t>M22</w:t>
            </w:r>
          </w:p>
        </w:tc>
      </w:tr>
      <w:tr w:rsidR="00C109BF" w:rsidRPr="00A22864" w:rsidTr="00C109BF">
        <w:trPr>
          <w:trHeight w:val="227"/>
        </w:trPr>
        <w:tc>
          <w:tcPr>
            <w:tcW w:w="296" w:type="pct"/>
            <w:vAlign w:val="center"/>
          </w:tcPr>
          <w:p w:rsidR="00C109BF" w:rsidRPr="00A22864" w:rsidRDefault="00C109BF" w:rsidP="00A242B6">
            <w:pPr>
              <w:tabs>
                <w:tab w:val="left" w:pos="567"/>
              </w:tabs>
              <w:rPr>
                <w:lang w:val="sr-Cyrl-CS"/>
              </w:rPr>
            </w:pPr>
            <w:r>
              <w:rPr>
                <w:lang w:val="sr-Cyrl-CS"/>
              </w:rPr>
              <w:t>5.</w:t>
            </w:r>
          </w:p>
        </w:tc>
        <w:tc>
          <w:tcPr>
            <w:tcW w:w="4296" w:type="pct"/>
            <w:gridSpan w:val="8"/>
            <w:shd w:val="clear" w:color="auto" w:fill="auto"/>
            <w:vAlign w:val="center"/>
          </w:tcPr>
          <w:p w:rsidR="00C109BF" w:rsidRPr="00791E84" w:rsidRDefault="00C109BF" w:rsidP="00A242B6">
            <w:pPr>
              <w:tabs>
                <w:tab w:val="left" w:pos="567"/>
              </w:tabs>
              <w:rPr>
                <w:sz w:val="18"/>
                <w:lang w:val="sr-Cyrl-CS"/>
              </w:rPr>
            </w:pPr>
            <w:r w:rsidRPr="00791E84">
              <w:rPr>
                <w:rStyle w:val="ui-cell-data"/>
                <w:color w:val="000000" w:themeColor="text1"/>
                <w:sz w:val="18"/>
              </w:rPr>
              <w:t xml:space="preserve">Nikolić T., Kojić D., Orčić S., Batinić D., Vukašinović E.L., Blagojević D.P., Purać J. (2016) The impact of sublethal concentrations of Cu, Pb and Cd on honey bee redox status, superoxide dismutase and catalase in laboratory conditions. </w:t>
            </w:r>
            <w:r w:rsidRPr="00791E84">
              <w:rPr>
                <w:rStyle w:val="ui-cell-data"/>
                <w:i/>
                <w:color w:val="000000" w:themeColor="text1"/>
                <w:sz w:val="18"/>
              </w:rPr>
              <w:t>Chemosphere</w:t>
            </w:r>
            <w:r w:rsidRPr="00791E84">
              <w:rPr>
                <w:rStyle w:val="ui-cell-data"/>
                <w:color w:val="000000" w:themeColor="text1"/>
                <w:sz w:val="18"/>
              </w:rPr>
              <w:t>, 164, 98 – 105</w:t>
            </w:r>
          </w:p>
        </w:tc>
        <w:tc>
          <w:tcPr>
            <w:tcW w:w="408" w:type="pct"/>
            <w:vAlign w:val="center"/>
          </w:tcPr>
          <w:p w:rsidR="00C109BF" w:rsidRPr="00B70F2E" w:rsidRDefault="00C109BF" w:rsidP="00A242B6">
            <w:pPr>
              <w:tabs>
                <w:tab w:val="left" w:pos="567"/>
              </w:tabs>
            </w:pPr>
            <w:r>
              <w:t>M21</w:t>
            </w:r>
          </w:p>
        </w:tc>
      </w:tr>
      <w:tr w:rsidR="00C109BF" w:rsidRPr="00A22864" w:rsidTr="00C109BF">
        <w:trPr>
          <w:trHeight w:val="227"/>
        </w:trPr>
        <w:tc>
          <w:tcPr>
            <w:tcW w:w="296" w:type="pct"/>
            <w:vAlign w:val="center"/>
          </w:tcPr>
          <w:p w:rsidR="00C109BF" w:rsidRPr="00A22864" w:rsidRDefault="00C109BF" w:rsidP="00A242B6">
            <w:pPr>
              <w:tabs>
                <w:tab w:val="left" w:pos="567"/>
              </w:tabs>
              <w:rPr>
                <w:lang w:val="sr-Cyrl-CS"/>
              </w:rPr>
            </w:pPr>
            <w:r>
              <w:rPr>
                <w:lang w:val="sr-Cyrl-CS"/>
              </w:rPr>
              <w:t>6.</w:t>
            </w:r>
          </w:p>
        </w:tc>
        <w:tc>
          <w:tcPr>
            <w:tcW w:w="4296" w:type="pct"/>
            <w:gridSpan w:val="8"/>
            <w:shd w:val="clear" w:color="auto" w:fill="auto"/>
            <w:vAlign w:val="center"/>
          </w:tcPr>
          <w:p w:rsidR="00C109BF" w:rsidRPr="00791E84" w:rsidRDefault="00C109BF" w:rsidP="00A242B6">
            <w:pPr>
              <w:tabs>
                <w:tab w:val="left" w:pos="567"/>
              </w:tabs>
              <w:rPr>
                <w:sz w:val="18"/>
                <w:lang w:val="sr-Cyrl-CS"/>
              </w:rPr>
            </w:pPr>
            <w:r w:rsidRPr="00791E84">
              <w:rPr>
                <w:rStyle w:val="ui-cell-data"/>
                <w:color w:val="000000" w:themeColor="text1"/>
                <w:sz w:val="18"/>
              </w:rPr>
              <w:t xml:space="preserve">Vukašinović E.L., Pond D.W., Worland M.R., Kojić D., Purać J., Popović Ž.D., Grubor-Lajšić G. (2015) Diapause induces remodeling of the fatty acid composition of membrane and storage lipids in overwintering larvae of </w:t>
            </w:r>
            <w:r w:rsidRPr="00791E84">
              <w:rPr>
                <w:rStyle w:val="ui-cell-data"/>
                <w:i/>
                <w:color w:val="000000" w:themeColor="text1"/>
                <w:sz w:val="18"/>
              </w:rPr>
              <w:t>Ostrinia</w:t>
            </w:r>
            <w:r w:rsidRPr="00791E84">
              <w:rPr>
                <w:rStyle w:val="ui-cell-data"/>
                <w:color w:val="000000" w:themeColor="text1"/>
                <w:sz w:val="18"/>
              </w:rPr>
              <w:t xml:space="preserve"> </w:t>
            </w:r>
            <w:r w:rsidRPr="00791E84">
              <w:rPr>
                <w:rStyle w:val="ui-cell-data"/>
                <w:i/>
                <w:color w:val="000000" w:themeColor="text1"/>
                <w:sz w:val="18"/>
              </w:rPr>
              <w:t>nubilalis</w:t>
            </w:r>
            <w:r w:rsidRPr="00791E84">
              <w:rPr>
                <w:rStyle w:val="ui-cell-data"/>
                <w:color w:val="000000" w:themeColor="text1"/>
                <w:sz w:val="18"/>
              </w:rPr>
              <w:t xml:space="preserve">, Hubn. (Lepidoptera: Crambidae) </w:t>
            </w:r>
            <w:r w:rsidRPr="00791E84">
              <w:rPr>
                <w:rStyle w:val="ui-cell-data"/>
                <w:i/>
                <w:color w:val="000000" w:themeColor="text1"/>
                <w:sz w:val="18"/>
              </w:rPr>
              <w:t>Comparative Biochemistry and Physiology, Part B</w:t>
            </w:r>
            <w:r w:rsidRPr="00791E84">
              <w:rPr>
                <w:rStyle w:val="ui-cell-data"/>
                <w:color w:val="000000" w:themeColor="text1"/>
                <w:sz w:val="18"/>
              </w:rPr>
              <w:t>: Biochemistry and Molecular Biology, 184, 36 – 43</w:t>
            </w:r>
          </w:p>
        </w:tc>
        <w:tc>
          <w:tcPr>
            <w:tcW w:w="408" w:type="pct"/>
            <w:vAlign w:val="center"/>
          </w:tcPr>
          <w:p w:rsidR="00C109BF" w:rsidRPr="00B70F2E" w:rsidRDefault="00C109BF" w:rsidP="00A242B6">
            <w:pPr>
              <w:tabs>
                <w:tab w:val="left" w:pos="567"/>
              </w:tabs>
            </w:pPr>
            <w:r>
              <w:t>M21</w:t>
            </w:r>
          </w:p>
        </w:tc>
      </w:tr>
      <w:tr w:rsidR="00C109BF" w:rsidRPr="00A22864" w:rsidTr="00C109BF">
        <w:trPr>
          <w:trHeight w:val="227"/>
        </w:trPr>
        <w:tc>
          <w:tcPr>
            <w:tcW w:w="296" w:type="pct"/>
            <w:vAlign w:val="center"/>
          </w:tcPr>
          <w:p w:rsidR="00C109BF" w:rsidRPr="00A22864" w:rsidRDefault="00C109BF" w:rsidP="00A242B6">
            <w:pPr>
              <w:tabs>
                <w:tab w:val="left" w:pos="567"/>
              </w:tabs>
              <w:rPr>
                <w:lang w:val="sr-Cyrl-CS"/>
              </w:rPr>
            </w:pPr>
            <w:r>
              <w:rPr>
                <w:lang w:val="sr-Cyrl-CS"/>
              </w:rPr>
              <w:t>7.</w:t>
            </w:r>
          </w:p>
        </w:tc>
        <w:tc>
          <w:tcPr>
            <w:tcW w:w="4296" w:type="pct"/>
            <w:gridSpan w:val="8"/>
            <w:shd w:val="clear" w:color="auto" w:fill="auto"/>
            <w:vAlign w:val="center"/>
          </w:tcPr>
          <w:p w:rsidR="00C109BF" w:rsidRPr="00791E84" w:rsidRDefault="00C109BF" w:rsidP="00A242B6">
            <w:pPr>
              <w:tabs>
                <w:tab w:val="left" w:pos="567"/>
              </w:tabs>
              <w:rPr>
                <w:sz w:val="18"/>
                <w:lang w:val="sr-Cyrl-CS"/>
              </w:rPr>
            </w:pPr>
            <w:r w:rsidRPr="00791E84">
              <w:rPr>
                <w:color w:val="000000" w:themeColor="text1"/>
                <w:sz w:val="18"/>
              </w:rPr>
              <w:t xml:space="preserve">Purać J., Kojić D., Popović Ž., Vukašinović E., Tiziani S., Günther U. and Grubor-Lajšić G. (2015) Metabolomic Analysis of Diapausing and Noni-diapausing Larvae of the European Corn Borer </w:t>
            </w:r>
            <w:r w:rsidRPr="00791E84">
              <w:rPr>
                <w:i/>
                <w:color w:val="000000" w:themeColor="text1"/>
                <w:sz w:val="18"/>
              </w:rPr>
              <w:t>Ostrinia</w:t>
            </w:r>
            <w:r w:rsidRPr="00791E84">
              <w:rPr>
                <w:color w:val="000000" w:themeColor="text1"/>
                <w:sz w:val="18"/>
              </w:rPr>
              <w:t xml:space="preserve"> </w:t>
            </w:r>
            <w:r w:rsidRPr="00791E84">
              <w:rPr>
                <w:i/>
                <w:color w:val="000000" w:themeColor="text1"/>
                <w:sz w:val="18"/>
              </w:rPr>
              <w:t>nubilalis</w:t>
            </w:r>
            <w:r w:rsidRPr="00791E84">
              <w:rPr>
                <w:color w:val="000000" w:themeColor="text1"/>
                <w:sz w:val="18"/>
              </w:rPr>
              <w:t xml:space="preserve"> (Hbn.) (Lepidoptera: Crambidae). </w:t>
            </w:r>
            <w:r w:rsidRPr="00791E84">
              <w:rPr>
                <w:i/>
                <w:iCs/>
                <w:color w:val="000000" w:themeColor="text1"/>
                <w:sz w:val="18"/>
              </w:rPr>
              <w:t>Acta Chimica Slovenica</w:t>
            </w:r>
            <w:r w:rsidRPr="00791E84">
              <w:rPr>
                <w:color w:val="000000" w:themeColor="text1"/>
                <w:sz w:val="18"/>
              </w:rPr>
              <w:t>, 62 (4)</w:t>
            </w:r>
          </w:p>
        </w:tc>
        <w:tc>
          <w:tcPr>
            <w:tcW w:w="408" w:type="pct"/>
            <w:vAlign w:val="center"/>
          </w:tcPr>
          <w:p w:rsidR="00C109BF" w:rsidRPr="00B70F2E" w:rsidRDefault="00C109BF" w:rsidP="00A242B6">
            <w:pPr>
              <w:tabs>
                <w:tab w:val="left" w:pos="567"/>
              </w:tabs>
            </w:pPr>
            <w:r>
              <w:t>M23</w:t>
            </w:r>
          </w:p>
        </w:tc>
      </w:tr>
      <w:tr w:rsidR="00C109BF" w:rsidRPr="00A22864" w:rsidTr="00C109BF">
        <w:trPr>
          <w:trHeight w:val="227"/>
        </w:trPr>
        <w:tc>
          <w:tcPr>
            <w:tcW w:w="296" w:type="pct"/>
            <w:vAlign w:val="center"/>
          </w:tcPr>
          <w:p w:rsidR="00C109BF" w:rsidRPr="00A22864" w:rsidRDefault="00C109BF" w:rsidP="00A242B6">
            <w:pPr>
              <w:tabs>
                <w:tab w:val="left" w:pos="567"/>
              </w:tabs>
              <w:rPr>
                <w:lang w:val="sr-Cyrl-CS"/>
              </w:rPr>
            </w:pPr>
            <w:r>
              <w:rPr>
                <w:lang w:val="sr-Cyrl-CS"/>
              </w:rPr>
              <w:t>8.</w:t>
            </w:r>
          </w:p>
        </w:tc>
        <w:tc>
          <w:tcPr>
            <w:tcW w:w="4296" w:type="pct"/>
            <w:gridSpan w:val="8"/>
            <w:shd w:val="clear" w:color="auto" w:fill="auto"/>
            <w:vAlign w:val="center"/>
          </w:tcPr>
          <w:p w:rsidR="00C109BF" w:rsidRPr="00791E84" w:rsidRDefault="00C109BF" w:rsidP="00A242B6">
            <w:pPr>
              <w:tabs>
                <w:tab w:val="left" w:pos="567"/>
              </w:tabs>
              <w:rPr>
                <w:sz w:val="18"/>
                <w:lang w:val="sr-Cyrl-CS"/>
              </w:rPr>
            </w:pPr>
            <w:r w:rsidRPr="00791E84">
              <w:rPr>
                <w:rStyle w:val="ui-cell-data"/>
                <w:color w:val="000000" w:themeColor="text1"/>
                <w:sz w:val="18"/>
              </w:rPr>
              <w:t xml:space="preserve">Vukašinović E.L., Pond D.W., Worland M.R., Kojić D., Purać J., Blagojević D.P., Grubor-Lajšić G. (2013)  Diapause induces changes in the composition and biophysical properties of lipids in larvae of the european corn borer, ostrinia nubilalis (Lepidoptera: Crambidae) </w:t>
            </w:r>
            <w:r w:rsidRPr="00791E84">
              <w:rPr>
                <w:rStyle w:val="ui-cell-data"/>
                <w:i/>
                <w:color w:val="000000" w:themeColor="text1"/>
                <w:sz w:val="18"/>
              </w:rPr>
              <w:t>Comparative Biochemistry and Physiology - Part B</w:t>
            </w:r>
            <w:r w:rsidRPr="00791E84">
              <w:rPr>
                <w:rStyle w:val="ui-cell-data"/>
                <w:color w:val="000000" w:themeColor="text1"/>
                <w:sz w:val="18"/>
              </w:rPr>
              <w:t>: Biochemistry and Molecular Biology, 4, 219 - 225</w:t>
            </w:r>
          </w:p>
        </w:tc>
        <w:tc>
          <w:tcPr>
            <w:tcW w:w="408" w:type="pct"/>
            <w:vAlign w:val="center"/>
          </w:tcPr>
          <w:p w:rsidR="00C109BF" w:rsidRPr="00B70F2E" w:rsidRDefault="00C109BF" w:rsidP="00A242B6">
            <w:pPr>
              <w:tabs>
                <w:tab w:val="left" w:pos="567"/>
              </w:tabs>
            </w:pPr>
            <w:r>
              <w:t>M21</w:t>
            </w:r>
          </w:p>
        </w:tc>
      </w:tr>
      <w:tr w:rsidR="00C109BF" w:rsidRPr="00A22864" w:rsidTr="00C109BF">
        <w:trPr>
          <w:trHeight w:val="227"/>
        </w:trPr>
        <w:tc>
          <w:tcPr>
            <w:tcW w:w="296" w:type="pct"/>
            <w:vAlign w:val="center"/>
          </w:tcPr>
          <w:p w:rsidR="00C109BF" w:rsidRPr="00A22864" w:rsidRDefault="00C109BF" w:rsidP="00C536B7">
            <w:pPr>
              <w:tabs>
                <w:tab w:val="left" w:pos="567"/>
              </w:tabs>
              <w:rPr>
                <w:lang w:val="sr-Cyrl-CS"/>
              </w:rPr>
            </w:pPr>
            <w:r>
              <w:rPr>
                <w:lang w:val="sr-Cyrl-CS"/>
              </w:rPr>
              <w:t>9.</w:t>
            </w:r>
          </w:p>
        </w:tc>
        <w:tc>
          <w:tcPr>
            <w:tcW w:w="4296" w:type="pct"/>
            <w:gridSpan w:val="8"/>
            <w:shd w:val="clear" w:color="auto" w:fill="auto"/>
            <w:vAlign w:val="center"/>
          </w:tcPr>
          <w:p w:rsidR="00C109BF" w:rsidRPr="00791E84" w:rsidRDefault="00C109BF" w:rsidP="00C536B7">
            <w:pPr>
              <w:tabs>
                <w:tab w:val="left" w:pos="567"/>
              </w:tabs>
              <w:spacing w:after="60"/>
              <w:rPr>
                <w:color w:val="000000" w:themeColor="text1"/>
                <w:sz w:val="18"/>
                <w:lang w:val="sr-Cyrl-CS"/>
              </w:rPr>
            </w:pPr>
            <w:r w:rsidRPr="00791E84">
              <w:rPr>
                <w:color w:val="000000" w:themeColor="text1"/>
                <w:sz w:val="18"/>
              </w:rPr>
              <w:t xml:space="preserve">Popović Ž., Purać J., Kojić D., Pamer E., Worland M., Blagojević D. and Grubor-Lajšić G. (2011) LEA protein expression during cold-induced dehydration in the Arctic collembola </w:t>
            </w:r>
            <w:r w:rsidRPr="00791E84">
              <w:rPr>
                <w:i/>
                <w:color w:val="000000" w:themeColor="text1"/>
                <w:sz w:val="18"/>
              </w:rPr>
              <w:t>Megaphorura</w:t>
            </w:r>
            <w:r w:rsidRPr="00791E84">
              <w:rPr>
                <w:color w:val="000000" w:themeColor="text1"/>
                <w:sz w:val="18"/>
              </w:rPr>
              <w:t xml:space="preserve"> </w:t>
            </w:r>
            <w:r w:rsidRPr="00791E84">
              <w:rPr>
                <w:i/>
                <w:color w:val="000000" w:themeColor="text1"/>
                <w:sz w:val="18"/>
              </w:rPr>
              <w:t>arctica</w:t>
            </w:r>
            <w:r w:rsidRPr="00791E84">
              <w:rPr>
                <w:color w:val="000000" w:themeColor="text1"/>
                <w:sz w:val="18"/>
              </w:rPr>
              <w:t>. </w:t>
            </w:r>
            <w:r w:rsidRPr="00791E84">
              <w:rPr>
                <w:i/>
                <w:iCs/>
                <w:color w:val="000000" w:themeColor="text1"/>
                <w:sz w:val="18"/>
              </w:rPr>
              <w:t>Archives of biological sciences</w:t>
            </w:r>
            <w:r w:rsidRPr="00791E84">
              <w:rPr>
                <w:color w:val="000000" w:themeColor="text1"/>
                <w:sz w:val="18"/>
              </w:rPr>
              <w:t>, 63 (3), pp. 681-683</w:t>
            </w:r>
          </w:p>
        </w:tc>
        <w:tc>
          <w:tcPr>
            <w:tcW w:w="408" w:type="pct"/>
            <w:vAlign w:val="center"/>
          </w:tcPr>
          <w:p w:rsidR="00C109BF" w:rsidRPr="00B70F2E" w:rsidRDefault="00C109BF" w:rsidP="00C536B7">
            <w:pPr>
              <w:tabs>
                <w:tab w:val="left" w:pos="567"/>
              </w:tabs>
            </w:pPr>
            <w:r>
              <w:t>M23</w:t>
            </w:r>
          </w:p>
        </w:tc>
      </w:tr>
      <w:tr w:rsidR="00C109BF" w:rsidRPr="00A22864" w:rsidTr="00C109BF">
        <w:trPr>
          <w:trHeight w:val="227"/>
        </w:trPr>
        <w:tc>
          <w:tcPr>
            <w:tcW w:w="296" w:type="pct"/>
            <w:vAlign w:val="center"/>
          </w:tcPr>
          <w:p w:rsidR="00C109BF" w:rsidRPr="00A22864" w:rsidRDefault="00C109BF" w:rsidP="00C536B7">
            <w:pPr>
              <w:tabs>
                <w:tab w:val="left" w:pos="567"/>
              </w:tabs>
              <w:rPr>
                <w:lang w:val="sr-Cyrl-CS"/>
              </w:rPr>
            </w:pPr>
            <w:r>
              <w:rPr>
                <w:lang w:val="sr-Cyrl-CS"/>
              </w:rPr>
              <w:t>10.</w:t>
            </w:r>
          </w:p>
        </w:tc>
        <w:tc>
          <w:tcPr>
            <w:tcW w:w="4296" w:type="pct"/>
            <w:gridSpan w:val="8"/>
            <w:shd w:val="clear" w:color="auto" w:fill="auto"/>
            <w:vAlign w:val="center"/>
          </w:tcPr>
          <w:p w:rsidR="00C109BF" w:rsidRPr="00791E84" w:rsidRDefault="00C109BF" w:rsidP="00C536B7">
            <w:pPr>
              <w:tabs>
                <w:tab w:val="left" w:pos="567"/>
              </w:tabs>
              <w:rPr>
                <w:sz w:val="18"/>
                <w:lang w:val="sr-Cyrl-CS"/>
              </w:rPr>
            </w:pPr>
            <w:r w:rsidRPr="00791E84">
              <w:rPr>
                <w:color w:val="000000" w:themeColor="text1"/>
                <w:sz w:val="18"/>
              </w:rPr>
              <w:t>Kojić D., Pajević S., Jovanović-Galović A., Purać J., Pamer E., Škondrić S., Milovac S., Popović Ž. and Grubor-Lajšić G. (2012) Efficacy of natural aluminosilicates in moderating drought effects on the morphological and physiological parameters of maize plants (</w:t>
            </w:r>
            <w:r w:rsidRPr="00791E84">
              <w:rPr>
                <w:i/>
                <w:color w:val="000000" w:themeColor="text1"/>
                <w:sz w:val="18"/>
              </w:rPr>
              <w:t>Zea</w:t>
            </w:r>
            <w:r w:rsidRPr="00791E84">
              <w:rPr>
                <w:color w:val="000000" w:themeColor="text1"/>
                <w:sz w:val="18"/>
              </w:rPr>
              <w:t xml:space="preserve"> </w:t>
            </w:r>
            <w:r w:rsidRPr="00791E84">
              <w:rPr>
                <w:i/>
                <w:color w:val="000000" w:themeColor="text1"/>
                <w:sz w:val="18"/>
              </w:rPr>
              <w:t>mays</w:t>
            </w:r>
            <w:r w:rsidRPr="00791E84">
              <w:rPr>
                <w:color w:val="000000" w:themeColor="text1"/>
                <w:sz w:val="18"/>
              </w:rPr>
              <w:t xml:space="preserve"> L.). </w:t>
            </w:r>
            <w:r w:rsidRPr="00791E84">
              <w:rPr>
                <w:i/>
                <w:iCs/>
                <w:color w:val="000000" w:themeColor="text1"/>
                <w:sz w:val="18"/>
              </w:rPr>
              <w:t>Journal of Soil Science and Plant Nutrition</w:t>
            </w:r>
            <w:r w:rsidRPr="00791E84">
              <w:rPr>
                <w:color w:val="000000" w:themeColor="text1"/>
                <w:sz w:val="18"/>
              </w:rPr>
              <w:t>, 12 (1), pp. 113-123</w:t>
            </w:r>
          </w:p>
        </w:tc>
        <w:tc>
          <w:tcPr>
            <w:tcW w:w="408" w:type="pct"/>
            <w:vAlign w:val="center"/>
          </w:tcPr>
          <w:p w:rsidR="00C109BF" w:rsidRPr="00B70F2E" w:rsidRDefault="00C109BF" w:rsidP="00C536B7">
            <w:pPr>
              <w:tabs>
                <w:tab w:val="left" w:pos="567"/>
              </w:tabs>
            </w:pPr>
            <w:r>
              <w:t>M23</w:t>
            </w:r>
          </w:p>
        </w:tc>
      </w:tr>
      <w:tr w:rsidR="00C109BF" w:rsidRPr="00A22864" w:rsidTr="00B70F2E">
        <w:trPr>
          <w:trHeight w:val="227"/>
        </w:trPr>
        <w:tc>
          <w:tcPr>
            <w:tcW w:w="5000" w:type="pct"/>
            <w:gridSpan w:val="10"/>
            <w:vAlign w:val="center"/>
          </w:tcPr>
          <w:p w:rsidR="00C109BF" w:rsidRPr="00A22864" w:rsidRDefault="00C109BF" w:rsidP="00C536B7">
            <w:pPr>
              <w:tabs>
                <w:tab w:val="left" w:pos="567"/>
              </w:tabs>
              <w:rPr>
                <w:lang w:val="sr-Cyrl-CS"/>
              </w:rPr>
            </w:pPr>
            <w:r w:rsidRPr="00A22864">
              <w:rPr>
                <w:b/>
                <w:lang w:val="sr-Cyrl-CS"/>
              </w:rPr>
              <w:t>Збирни подаци научне активност наставника</w:t>
            </w:r>
          </w:p>
        </w:tc>
      </w:tr>
      <w:tr w:rsidR="00C109BF" w:rsidRPr="00A22864" w:rsidTr="00791E84">
        <w:trPr>
          <w:trHeight w:val="227"/>
        </w:trPr>
        <w:tc>
          <w:tcPr>
            <w:tcW w:w="1959" w:type="pct"/>
            <w:gridSpan w:val="5"/>
            <w:vAlign w:val="center"/>
          </w:tcPr>
          <w:p w:rsidR="00C109BF" w:rsidRPr="00A22864" w:rsidRDefault="00C109BF" w:rsidP="00C536B7">
            <w:pPr>
              <w:tabs>
                <w:tab w:val="left" w:pos="567"/>
              </w:tabs>
              <w:rPr>
                <w:lang w:val="sr-Cyrl-CS"/>
              </w:rPr>
            </w:pPr>
            <w:r w:rsidRPr="00A22864">
              <w:rPr>
                <w:lang w:val="sr-Cyrl-CS"/>
              </w:rPr>
              <w:t>Укупан број цитата, без аутоцитата</w:t>
            </w:r>
          </w:p>
        </w:tc>
        <w:tc>
          <w:tcPr>
            <w:tcW w:w="3041" w:type="pct"/>
            <w:gridSpan w:val="5"/>
            <w:vAlign w:val="center"/>
          </w:tcPr>
          <w:p w:rsidR="00C109BF" w:rsidRPr="00A22864" w:rsidRDefault="00C109BF" w:rsidP="00C536B7">
            <w:pPr>
              <w:tabs>
                <w:tab w:val="left" w:pos="567"/>
              </w:tabs>
              <w:rPr>
                <w:lang w:val="sr-Cyrl-CS"/>
              </w:rPr>
            </w:pPr>
            <w:r>
              <w:rPr>
                <w:lang w:val="sr-Cyrl-CS"/>
              </w:rPr>
              <w:t>30</w:t>
            </w:r>
          </w:p>
        </w:tc>
      </w:tr>
      <w:tr w:rsidR="00C109BF" w:rsidRPr="00A22864" w:rsidTr="00791E84">
        <w:trPr>
          <w:trHeight w:val="227"/>
        </w:trPr>
        <w:tc>
          <w:tcPr>
            <w:tcW w:w="1959" w:type="pct"/>
            <w:gridSpan w:val="5"/>
            <w:vAlign w:val="center"/>
          </w:tcPr>
          <w:p w:rsidR="00C109BF" w:rsidRPr="00A22864" w:rsidRDefault="00C109BF" w:rsidP="00C536B7">
            <w:pPr>
              <w:tabs>
                <w:tab w:val="left" w:pos="567"/>
              </w:tabs>
              <w:rPr>
                <w:lang w:val="sr-Cyrl-CS"/>
              </w:rPr>
            </w:pPr>
            <w:r w:rsidRPr="00A22864">
              <w:rPr>
                <w:lang w:val="sr-Cyrl-CS"/>
              </w:rPr>
              <w:t>Укупан број радова са SCI (или SSCI) листе</w:t>
            </w:r>
          </w:p>
        </w:tc>
        <w:tc>
          <w:tcPr>
            <w:tcW w:w="3041" w:type="pct"/>
            <w:gridSpan w:val="5"/>
            <w:vAlign w:val="center"/>
          </w:tcPr>
          <w:p w:rsidR="00C109BF" w:rsidRPr="00A22864" w:rsidRDefault="00C109BF" w:rsidP="00C536B7">
            <w:pPr>
              <w:tabs>
                <w:tab w:val="left" w:pos="567"/>
              </w:tabs>
              <w:rPr>
                <w:lang w:val="sr-Cyrl-CS"/>
              </w:rPr>
            </w:pPr>
            <w:r>
              <w:rPr>
                <w:lang w:val="sr-Cyrl-CS"/>
              </w:rPr>
              <w:t>12</w:t>
            </w:r>
          </w:p>
        </w:tc>
      </w:tr>
      <w:tr w:rsidR="00C109BF" w:rsidRPr="00A22864" w:rsidTr="00791E84">
        <w:trPr>
          <w:trHeight w:val="227"/>
        </w:trPr>
        <w:tc>
          <w:tcPr>
            <w:tcW w:w="1959" w:type="pct"/>
            <w:gridSpan w:val="5"/>
            <w:vAlign w:val="center"/>
          </w:tcPr>
          <w:p w:rsidR="00C109BF" w:rsidRPr="00A22864" w:rsidRDefault="00C109BF" w:rsidP="00C536B7">
            <w:pPr>
              <w:tabs>
                <w:tab w:val="left" w:pos="567"/>
              </w:tabs>
              <w:rPr>
                <w:lang w:val="sr-Cyrl-CS"/>
              </w:rPr>
            </w:pPr>
            <w:r w:rsidRPr="00A22864">
              <w:rPr>
                <w:lang w:val="sr-Cyrl-CS"/>
              </w:rPr>
              <w:t>Тренутно учешће на пројектима</w:t>
            </w:r>
          </w:p>
        </w:tc>
        <w:tc>
          <w:tcPr>
            <w:tcW w:w="1979" w:type="pct"/>
            <w:gridSpan w:val="3"/>
            <w:vAlign w:val="center"/>
          </w:tcPr>
          <w:p w:rsidR="00C109BF" w:rsidRPr="00A22864" w:rsidRDefault="00C109BF" w:rsidP="00C536B7">
            <w:pPr>
              <w:tabs>
                <w:tab w:val="left" w:pos="567"/>
              </w:tabs>
              <w:rPr>
                <w:lang w:val="sr-Cyrl-CS"/>
              </w:rPr>
            </w:pPr>
            <w:r w:rsidRPr="00A22864">
              <w:rPr>
                <w:lang w:val="sr-Cyrl-CS"/>
              </w:rPr>
              <w:t>Домаћи</w:t>
            </w:r>
            <w:r>
              <w:rPr>
                <w:lang w:val="sr-Cyrl-CS"/>
              </w:rPr>
              <w:t>: 2</w:t>
            </w:r>
          </w:p>
        </w:tc>
        <w:tc>
          <w:tcPr>
            <w:tcW w:w="1062" w:type="pct"/>
            <w:gridSpan w:val="2"/>
            <w:vAlign w:val="center"/>
          </w:tcPr>
          <w:p w:rsidR="00C109BF" w:rsidRPr="00A22864" w:rsidRDefault="00C109BF" w:rsidP="00C536B7">
            <w:pPr>
              <w:tabs>
                <w:tab w:val="left" w:pos="567"/>
              </w:tabs>
              <w:rPr>
                <w:lang w:val="sr-Cyrl-CS"/>
              </w:rPr>
            </w:pPr>
            <w:r w:rsidRPr="00A22864">
              <w:rPr>
                <w:lang w:val="sr-Cyrl-CS"/>
              </w:rPr>
              <w:t>Међународни</w:t>
            </w:r>
            <w:r>
              <w:rPr>
                <w:lang w:val="sr-Cyrl-CS"/>
              </w:rPr>
              <w:t>: 0</w:t>
            </w:r>
          </w:p>
        </w:tc>
      </w:tr>
      <w:tr w:rsidR="00C109BF" w:rsidRPr="00A22864" w:rsidTr="00791E84">
        <w:trPr>
          <w:trHeight w:val="227"/>
        </w:trPr>
        <w:tc>
          <w:tcPr>
            <w:tcW w:w="1959" w:type="pct"/>
            <w:gridSpan w:val="5"/>
            <w:vAlign w:val="center"/>
          </w:tcPr>
          <w:p w:rsidR="00C109BF" w:rsidRPr="00A22864" w:rsidRDefault="00C109BF" w:rsidP="00C536B7">
            <w:pPr>
              <w:tabs>
                <w:tab w:val="left" w:pos="567"/>
              </w:tabs>
              <w:rPr>
                <w:lang w:val="sr-Cyrl-CS"/>
              </w:rPr>
            </w:pPr>
            <w:r w:rsidRPr="00A22864">
              <w:rPr>
                <w:lang w:val="sr-Cyrl-CS"/>
              </w:rPr>
              <w:t xml:space="preserve">Усавршавања </w:t>
            </w:r>
          </w:p>
        </w:tc>
        <w:tc>
          <w:tcPr>
            <w:tcW w:w="3041" w:type="pct"/>
            <w:gridSpan w:val="5"/>
            <w:vAlign w:val="center"/>
          </w:tcPr>
          <w:p w:rsidR="00C109BF" w:rsidRPr="00B570CD" w:rsidRDefault="00C109BF" w:rsidP="008E42A1">
            <w:pPr>
              <w:jc w:val="both"/>
              <w:rPr>
                <w:szCs w:val="24"/>
              </w:rPr>
            </w:pPr>
            <w:r w:rsidRPr="00B570CD">
              <w:rPr>
                <w:szCs w:val="24"/>
              </w:rPr>
              <w:t>Истраживачки боравак у Великој Британији на Институту за истраживање Антарктика (British Antarctic Survey, BAS) у Kембриџу, у трајању од 3 месеца</w:t>
            </w:r>
          </w:p>
          <w:p w:rsidR="00C109BF" w:rsidRDefault="00C109BF" w:rsidP="008E42A1">
            <w:pPr>
              <w:jc w:val="both"/>
              <w:rPr>
                <w:szCs w:val="24"/>
              </w:rPr>
            </w:pPr>
          </w:p>
          <w:p w:rsidR="00C109BF" w:rsidRPr="008E42A1" w:rsidRDefault="00C109BF" w:rsidP="008E42A1">
            <w:pPr>
              <w:jc w:val="both"/>
              <w:rPr>
                <w:szCs w:val="24"/>
              </w:rPr>
            </w:pPr>
            <w:r w:rsidRPr="00B570CD">
              <w:rPr>
                <w:szCs w:val="24"/>
              </w:rPr>
              <w:t xml:space="preserve">Истраживачки боравак у Аустрији као стипендиста пројекта „One Month Visit”, организације </w:t>
            </w:r>
            <w:r w:rsidRPr="00B570CD">
              <w:rPr>
                <w:rFonts w:cs="Calibri"/>
                <w:szCs w:val="24"/>
              </w:rPr>
              <w:t>”</w:t>
            </w:r>
            <w:r w:rsidRPr="00B570CD">
              <w:rPr>
                <w:szCs w:val="24"/>
              </w:rPr>
              <w:t>WUS Austria</w:t>
            </w:r>
            <w:r w:rsidRPr="00B570CD">
              <w:rPr>
                <w:rFonts w:cs="Calibri"/>
                <w:szCs w:val="24"/>
              </w:rPr>
              <w:t>”</w:t>
            </w:r>
            <w:r w:rsidRPr="00B570CD">
              <w:rPr>
                <w:szCs w:val="24"/>
              </w:rPr>
              <w:t>, финансиран од стране Министарства за образовање, науку и културу Републике Аустрије, Аустријске ректорскеа конференције и Аустријске службе за размену (ÖAD)</w:t>
            </w:r>
          </w:p>
        </w:tc>
      </w:tr>
      <w:tr w:rsidR="00C109BF" w:rsidRPr="00A22864" w:rsidTr="00B70F2E">
        <w:trPr>
          <w:trHeight w:val="227"/>
        </w:trPr>
        <w:tc>
          <w:tcPr>
            <w:tcW w:w="5000" w:type="pct"/>
            <w:gridSpan w:val="10"/>
            <w:vAlign w:val="center"/>
          </w:tcPr>
          <w:p w:rsidR="00C109BF" w:rsidRPr="005610EB" w:rsidRDefault="00C109BF" w:rsidP="005610EB">
            <w:pPr>
              <w:jc w:val="both"/>
              <w:rPr>
                <w:szCs w:val="24"/>
              </w:rPr>
            </w:pPr>
            <w:r w:rsidRPr="005610EB">
              <w:rPr>
                <w:lang w:val="sr-Cyrl-CS"/>
              </w:rPr>
              <w:t>Други подаци које сматрате релевантним</w:t>
            </w:r>
            <w:r w:rsidRPr="005610EB">
              <w:t xml:space="preserve">: </w:t>
            </w:r>
            <w:r w:rsidRPr="005610EB">
              <w:rPr>
                <w:szCs w:val="24"/>
              </w:rPr>
              <w:t>Члан Биохемијског друштва Србије, Ентомолошког друштва Србије, Биолошког друштва Србије</w:t>
            </w:r>
          </w:p>
        </w:tc>
      </w:tr>
    </w:tbl>
    <w:p w:rsidR="00AB10D4" w:rsidRDefault="00AB10D4" w:rsidP="00AB10D4">
      <w:pPr>
        <w:tabs>
          <w:tab w:val="left" w:pos="567"/>
        </w:tabs>
        <w:spacing w:after="60"/>
        <w:jc w:val="both"/>
        <w:rPr>
          <w:b/>
          <w:u w:val="single"/>
        </w:rPr>
      </w:pPr>
    </w:p>
    <w:p w:rsidR="00DE212D" w:rsidRDefault="00DE212D"/>
    <w:sectPr w:rsidR="00DE212D" w:rsidSect="00791E84">
      <w:pgSz w:w="11907" w:h="16839"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2E0C9E"/>
    <w:multiLevelType w:val="hybridMultilevel"/>
    <w:tmpl w:val="79B0D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00"/>
  <w:displayHorizontalDrawingGridEvery w:val="2"/>
  <w:characterSpacingControl w:val="doNotCompress"/>
  <w:compat/>
  <w:rsids>
    <w:rsidRoot w:val="00AB10D4"/>
    <w:rsid w:val="0015511E"/>
    <w:rsid w:val="005610EB"/>
    <w:rsid w:val="007311C9"/>
    <w:rsid w:val="00791E84"/>
    <w:rsid w:val="008E42A1"/>
    <w:rsid w:val="009F5F73"/>
    <w:rsid w:val="00A242B6"/>
    <w:rsid w:val="00AB10D4"/>
    <w:rsid w:val="00AC3AFE"/>
    <w:rsid w:val="00B70F2E"/>
    <w:rsid w:val="00C109BF"/>
    <w:rsid w:val="00C536B7"/>
    <w:rsid w:val="00DE212D"/>
    <w:rsid w:val="00FD25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0D4"/>
    <w:pPr>
      <w:widowControl w:val="0"/>
      <w:autoSpaceDE w:val="0"/>
      <w:autoSpaceDN w:val="0"/>
      <w:adjustRightInd w:val="0"/>
      <w:spacing w:after="0" w:line="240" w:lineRule="auto"/>
    </w:pPr>
    <w:rPr>
      <w:rFonts w:ascii="Times New Roman" w:eastAsia="Times New Roman"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i-cell-data">
    <w:name w:val="ui-cell-data"/>
    <w:basedOn w:val="DefaultParagraphFont"/>
    <w:rsid w:val="00C536B7"/>
  </w:style>
  <w:style w:type="paragraph" w:styleId="ListParagraph">
    <w:name w:val="List Paragraph"/>
    <w:basedOn w:val="Normal"/>
    <w:uiPriority w:val="34"/>
    <w:qFormat/>
    <w:rsid w:val="005610EB"/>
    <w:pPr>
      <w:widowControl/>
      <w:autoSpaceDE/>
      <w:autoSpaceDN/>
      <w:adjustRightInd/>
      <w:spacing w:after="160" w:line="259" w:lineRule="auto"/>
      <w:ind w:left="720"/>
      <w:contextualSpacing/>
    </w:pPr>
    <w:rPr>
      <w:rFonts w:ascii="Calibri" w:eastAsiaTheme="minorHAnsi" w:hAnsi="Calibri" w:cstheme="minorBidi"/>
      <w:sz w:val="24"/>
      <w:szCs w:val="21"/>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698</Words>
  <Characters>3983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Windows User</cp:lastModifiedBy>
  <cp:revision>9</cp:revision>
  <dcterms:created xsi:type="dcterms:W3CDTF">2019-04-09T10:05:00Z</dcterms:created>
  <dcterms:modified xsi:type="dcterms:W3CDTF">2020-05-17T17:16:00Z</dcterms:modified>
</cp:coreProperties>
</file>