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"/>
        <w:gridCol w:w="885"/>
        <w:gridCol w:w="1125"/>
        <w:gridCol w:w="1156"/>
        <w:gridCol w:w="381"/>
        <w:gridCol w:w="494"/>
        <w:gridCol w:w="1385"/>
        <w:gridCol w:w="1136"/>
        <w:gridCol w:w="31"/>
        <w:gridCol w:w="1941"/>
        <w:gridCol w:w="611"/>
      </w:tblGrid>
      <w:tr w:rsidR="00D07E4B" w:rsidRPr="00A22864" w:rsidTr="00F272A7">
        <w:trPr>
          <w:trHeight w:val="227"/>
          <w:jc w:val="center"/>
        </w:trPr>
        <w:tc>
          <w:tcPr>
            <w:tcW w:w="2359" w:type="pct"/>
            <w:gridSpan w:val="6"/>
            <w:vAlign w:val="center"/>
          </w:tcPr>
          <w:p w:rsidR="00D07E4B" w:rsidRPr="00F05071" w:rsidRDefault="00D07E4B" w:rsidP="00F05071">
            <w:r w:rsidRPr="00A22864">
              <w:rPr>
                <w:b/>
                <w:lang w:val="sr-Cyrl-CS"/>
              </w:rPr>
              <w:t>Име и презиме</w:t>
            </w:r>
            <w:r w:rsidR="00F05071">
              <w:rPr>
                <w:b/>
                <w:lang w:val="en-GB"/>
              </w:rPr>
              <w:t xml:space="preserve"> </w:t>
            </w:r>
          </w:p>
        </w:tc>
        <w:tc>
          <w:tcPr>
            <w:tcW w:w="2641" w:type="pct"/>
            <w:gridSpan w:val="5"/>
            <w:vAlign w:val="center"/>
          </w:tcPr>
          <w:p w:rsidR="00D07E4B" w:rsidRPr="004A2BFD" w:rsidRDefault="004A2BFD" w:rsidP="00243734">
            <w:pPr>
              <w:rPr>
                <w:b/>
                <w:lang w:val="sr-Cyrl-CS"/>
              </w:rPr>
            </w:pPr>
            <w:r w:rsidRPr="004A2BFD">
              <w:rPr>
                <w:b/>
              </w:rPr>
              <w:t xml:space="preserve">Јелена </w:t>
            </w:r>
            <w:r w:rsidR="00F05071" w:rsidRPr="004A2BFD">
              <w:rPr>
                <w:b/>
              </w:rPr>
              <w:t>Алексић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2359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641" w:type="pct"/>
            <w:gridSpan w:val="5"/>
            <w:vAlign w:val="center"/>
          </w:tcPr>
          <w:p w:rsidR="00D07E4B" w:rsidRPr="00A22864" w:rsidRDefault="00F05071" w:rsidP="00F05071">
            <w:pPr>
              <w:rPr>
                <w:lang w:val="sr-Cyrl-CS"/>
              </w:rPr>
            </w:pPr>
            <w:r>
              <w:rPr>
                <w:lang w:val="sr-Cyrl-CS"/>
              </w:rPr>
              <w:t>Виши научни сарадник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2359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641" w:type="pct"/>
            <w:gridSpan w:val="5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1913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6" w:type="pct"/>
            <w:gridSpan w:val="2"/>
            <w:vAlign w:val="center"/>
          </w:tcPr>
          <w:p w:rsidR="00D07E4B" w:rsidRPr="004A2BFD" w:rsidRDefault="00D07E4B" w:rsidP="00243734">
            <w:pPr>
              <w:rPr>
                <w:b/>
                <w:lang w:val="sr-Cyrl-CS"/>
              </w:rPr>
            </w:pPr>
            <w:r w:rsidRPr="004A2BFD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690" w:type="pct"/>
            <w:vAlign w:val="center"/>
          </w:tcPr>
          <w:p w:rsidR="00D07E4B" w:rsidRPr="004A2BFD" w:rsidRDefault="00D07E4B" w:rsidP="00243734">
            <w:pPr>
              <w:rPr>
                <w:b/>
                <w:lang w:val="sr-Cyrl-CS"/>
              </w:rPr>
            </w:pPr>
            <w:r w:rsidRPr="004A2BFD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D07E4B" w:rsidRPr="004A2BFD" w:rsidRDefault="00D07E4B" w:rsidP="00243734">
            <w:pPr>
              <w:rPr>
                <w:b/>
                <w:lang w:val="sr-Cyrl-CS"/>
              </w:rPr>
            </w:pPr>
            <w:r w:rsidRPr="004A2BFD">
              <w:rPr>
                <w:b/>
                <w:lang w:val="sr-Cyrl-CS"/>
              </w:rPr>
              <w:t>Област</w:t>
            </w:r>
            <w:r w:rsidRPr="004A2BFD">
              <w:rPr>
                <w:b/>
              </w:rPr>
              <w:t xml:space="preserve"> 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D07E4B" w:rsidRPr="004A2BFD" w:rsidRDefault="00D07E4B" w:rsidP="00243734">
            <w:pPr>
              <w:rPr>
                <w:b/>
              </w:rPr>
            </w:pPr>
            <w:r w:rsidRPr="004A2BFD">
              <w:rPr>
                <w:b/>
              </w:rPr>
              <w:t>Ужа научна односно уметничка област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1913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6" w:type="pct"/>
            <w:gridSpan w:val="2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690" w:type="pct"/>
            <w:vAlign w:val="center"/>
          </w:tcPr>
          <w:p w:rsidR="00D07E4B" w:rsidRPr="00555A86" w:rsidRDefault="00F05071" w:rsidP="00243734">
            <w:r>
              <w:rPr>
                <w:lang w:val="sr-Cyrl-CS"/>
              </w:rPr>
              <w:t>ИМГГИ</w:t>
            </w:r>
            <w:r w:rsidR="00555A86">
              <w:rPr>
                <w:lang w:val="en-GB"/>
              </w:rPr>
              <w:t xml:space="preserve">, </w:t>
            </w:r>
            <w:r w:rsidR="00555A86">
              <w:t>УБ</w:t>
            </w:r>
            <w:bookmarkStart w:id="0" w:name="_GoBack"/>
            <w:bookmarkEnd w:id="0"/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1913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6" w:type="pct"/>
            <w:gridSpan w:val="2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690" w:type="pct"/>
            <w:vAlign w:val="center"/>
          </w:tcPr>
          <w:p w:rsidR="00D07E4B" w:rsidRPr="003922F0" w:rsidRDefault="00F05071" w:rsidP="00243734">
            <w:r>
              <w:rPr>
                <w:lang w:val="en-GB"/>
              </w:rPr>
              <w:t>BOKU</w:t>
            </w:r>
            <w:r w:rsidR="003922F0">
              <w:t>, Беч, Аустрија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 w:rsidRPr="00F05071">
              <w:rPr>
                <w:lang w:val="sr-Cyrl-CS"/>
              </w:rPr>
              <w:t>Молекуларна биологија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1913" w:type="pct"/>
            <w:gridSpan w:val="4"/>
            <w:vAlign w:val="center"/>
          </w:tcPr>
          <w:p w:rsidR="00D07E4B" w:rsidRPr="00646624" w:rsidRDefault="00D07E4B" w:rsidP="00243734">
            <w:r>
              <w:t>Магистратура</w:t>
            </w:r>
          </w:p>
        </w:tc>
        <w:tc>
          <w:tcPr>
            <w:tcW w:w="446" w:type="pct"/>
            <w:gridSpan w:val="2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690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1913" w:type="pct"/>
            <w:gridSpan w:val="4"/>
            <w:vAlign w:val="center"/>
          </w:tcPr>
          <w:p w:rsidR="00D07E4B" w:rsidRDefault="00D07E4B" w:rsidP="00243734">
            <w:r>
              <w:t>Мастер диплома</w:t>
            </w:r>
          </w:p>
        </w:tc>
        <w:tc>
          <w:tcPr>
            <w:tcW w:w="446" w:type="pct"/>
            <w:gridSpan w:val="2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690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1913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6" w:type="pct"/>
            <w:gridSpan w:val="2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1999</w:t>
            </w:r>
          </w:p>
        </w:tc>
        <w:tc>
          <w:tcPr>
            <w:tcW w:w="690" w:type="pct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БФ, УБ</w:t>
            </w:r>
          </w:p>
        </w:tc>
        <w:tc>
          <w:tcPr>
            <w:tcW w:w="613" w:type="pct"/>
            <w:gridSpan w:val="2"/>
            <w:shd w:val="clear" w:color="auto" w:fill="auto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Физилогија биљака</w:t>
            </w:r>
          </w:p>
        </w:tc>
      </w:tr>
      <w:tr w:rsidR="00D07E4B" w:rsidRPr="00A22864" w:rsidTr="00DB75C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717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693" w:type="pct"/>
            <w:gridSpan w:val="8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717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3693" w:type="pct"/>
            <w:gridSpan w:val="8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</w:tr>
      <w:tr w:rsidR="00D07E4B" w:rsidRPr="00A22864" w:rsidTr="00DB75C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A22864" w:rsidRDefault="00F05071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D75AFF" w:rsidP="00243734">
            <w:pPr>
              <w:rPr>
                <w:sz w:val="18"/>
                <w:lang w:val="sr-Cyrl-CS"/>
              </w:rPr>
            </w:pPr>
            <w:r w:rsidRPr="004F26D7">
              <w:rPr>
                <w:sz w:val="18"/>
                <w:lang w:val="sr-Cyrl-CS"/>
              </w:rPr>
              <w:t>Chen J, Li L, Milesi P, Jansson G, Berlin M, Karlsson B, Aleksić MJ, Vendramin GG, Lascoux M (2019) Genomic data provides new insights on the demographic history and the extent of recent material transfers in Norway spruce. Evolutionary Applications 12 (8): 1539-1551.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М21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4F26D7" w:rsidRDefault="004F26D7" w:rsidP="0024373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E16181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Mataruga M, Piotti A, Daničić V, Cvjetković B, Fussi B, Konnert M, Vendramin GG, Aleksic MJ (2019) Towards the dynamic conservation of Serbian spruce (Picea omorika) western populations.</w:t>
            </w:r>
            <w:r w:rsidRPr="004F26D7">
              <w:rPr>
                <w:sz w:val="18"/>
              </w:rPr>
              <w:t xml:space="preserve"> </w:t>
            </w:r>
            <w:r w:rsidRPr="004F26D7">
              <w:rPr>
                <w:sz w:val="18"/>
                <w:lang w:val="sr-Cyrl-CS"/>
              </w:rPr>
              <w:t>Annals of Forest Science, https://doi.org/10.1007/s13595-019-0892-1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М21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4F26D7" w:rsidRDefault="005A5F2D" w:rsidP="00243734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E16181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Aleksić MJ, Škondrić S, Lakušić D</w:t>
            </w:r>
            <w:r w:rsidRPr="004F26D7">
              <w:rPr>
                <w:sz w:val="18"/>
                <w:lang w:val="en-GB"/>
              </w:rPr>
              <w:t xml:space="preserve"> (2018) Comparative </w:t>
            </w:r>
            <w:proofErr w:type="spellStart"/>
            <w:r w:rsidRPr="004F26D7">
              <w:rPr>
                <w:sz w:val="18"/>
                <w:lang w:val="en-GB"/>
              </w:rPr>
              <w:t>phylogeography</w:t>
            </w:r>
            <w:proofErr w:type="spellEnd"/>
            <w:r w:rsidRPr="004F26D7">
              <w:rPr>
                <w:sz w:val="18"/>
                <w:lang w:val="en-GB"/>
              </w:rPr>
              <w:t xml:space="preserve"> of capitulate Campanula species from the Balkans, with description of a new species, C. </w:t>
            </w:r>
            <w:proofErr w:type="spellStart"/>
            <w:proofErr w:type="gramStart"/>
            <w:r w:rsidRPr="004F26D7">
              <w:rPr>
                <w:sz w:val="18"/>
                <w:lang w:val="en-GB"/>
              </w:rPr>
              <w:t>daucoides</w:t>
            </w:r>
            <w:proofErr w:type="spellEnd"/>
            <w:proofErr w:type="gramEnd"/>
            <w:r w:rsidRPr="004F26D7">
              <w:rPr>
                <w:sz w:val="18"/>
                <w:lang w:val="en-GB"/>
              </w:rPr>
              <w:t>. Plant Systematics and Evolution 304:549–575.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4F26D7" w:rsidRDefault="005A5F2D" w:rsidP="00243734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E16181" w:rsidP="00E16181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Aleksić MJ, Piotti A, Geburek T, Vendramin GG</w:t>
            </w:r>
            <w:r w:rsidRPr="004F26D7">
              <w:rPr>
                <w:sz w:val="18"/>
                <w:lang w:val="en-GB"/>
              </w:rPr>
              <w:t xml:space="preserve"> (2017) Exploring and conserving a “microcosm”: Whole-population genetic characterisation within a </w:t>
            </w:r>
            <w:proofErr w:type="spellStart"/>
            <w:r w:rsidRPr="004F26D7">
              <w:rPr>
                <w:sz w:val="18"/>
                <w:lang w:val="en-GB"/>
              </w:rPr>
              <w:t>refugial</w:t>
            </w:r>
            <w:proofErr w:type="spellEnd"/>
            <w:r w:rsidRPr="004F26D7">
              <w:rPr>
                <w:sz w:val="18"/>
                <w:lang w:val="en-GB"/>
              </w:rPr>
              <w:t xml:space="preserve"> area of the endemic, relict conifer </w:t>
            </w:r>
            <w:proofErr w:type="spellStart"/>
            <w:r w:rsidRPr="004F26D7">
              <w:rPr>
                <w:sz w:val="18"/>
                <w:lang w:val="en-GB"/>
              </w:rPr>
              <w:t>Picea</w:t>
            </w:r>
            <w:proofErr w:type="spellEnd"/>
            <w:r w:rsidRPr="004F26D7">
              <w:rPr>
                <w:sz w:val="18"/>
                <w:lang w:val="en-GB"/>
              </w:rPr>
              <w:t xml:space="preserve"> </w:t>
            </w:r>
            <w:proofErr w:type="spellStart"/>
            <w:r w:rsidRPr="004F26D7">
              <w:rPr>
                <w:sz w:val="18"/>
                <w:lang w:val="en-GB"/>
              </w:rPr>
              <w:t>omorika</w:t>
            </w:r>
            <w:proofErr w:type="spellEnd"/>
            <w:r w:rsidRPr="004F26D7">
              <w:rPr>
                <w:sz w:val="18"/>
                <w:lang w:val="en-GB"/>
              </w:rPr>
              <w:t>. Conservation Genetics 18 (4): 777-788.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4F26D7" w:rsidRDefault="005A5F2D" w:rsidP="0024373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E16181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Bjedov I, Obratov-Petković, Mišić D, Šiler B, Aleksić MJ</w:t>
            </w:r>
            <w:r w:rsidRPr="004F26D7">
              <w:rPr>
                <w:sz w:val="18"/>
                <w:lang w:val="en-GB"/>
              </w:rPr>
              <w:t xml:space="preserve"> (2015) Genetic patterns in range-edge populations of </w:t>
            </w:r>
            <w:proofErr w:type="spellStart"/>
            <w:r w:rsidRPr="004F26D7">
              <w:rPr>
                <w:sz w:val="18"/>
                <w:lang w:val="en-GB"/>
              </w:rPr>
              <w:t>Vaccinium</w:t>
            </w:r>
            <w:proofErr w:type="spellEnd"/>
            <w:r w:rsidRPr="004F26D7">
              <w:rPr>
                <w:sz w:val="18"/>
                <w:lang w:val="en-GB"/>
              </w:rPr>
              <w:t xml:space="preserve"> species from the central Balkans: implications on conservation prospects and sustainable usage. Silva </w:t>
            </w:r>
            <w:proofErr w:type="spellStart"/>
            <w:r w:rsidRPr="004F26D7">
              <w:rPr>
                <w:sz w:val="18"/>
                <w:lang w:val="en-GB"/>
              </w:rPr>
              <w:t>Fennica</w:t>
            </w:r>
            <w:proofErr w:type="spellEnd"/>
            <w:r w:rsidRPr="004F26D7">
              <w:rPr>
                <w:sz w:val="18"/>
                <w:lang w:val="en-GB"/>
              </w:rPr>
              <w:t xml:space="preserve"> 49 (4): 1-23.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4F26D7" w:rsidRDefault="005A5F2D" w:rsidP="0024373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E16181" w:rsidP="00243734">
            <w:pPr>
              <w:rPr>
                <w:sz w:val="18"/>
                <w:lang w:val="sr-Cyrl-CS"/>
              </w:rPr>
            </w:pPr>
            <w:r w:rsidRPr="004F26D7">
              <w:rPr>
                <w:sz w:val="18"/>
                <w:lang w:val="sr-Cyrl-CS"/>
              </w:rPr>
              <w:t>Duc G, Aleksić JM, Marget P, Mikic A, Paull J, Redden RJ, Sass O, Stoddard FL, Vandenberg A, Vishniakova M, Torres AM</w:t>
            </w:r>
            <w:r w:rsidRPr="004F26D7">
              <w:rPr>
                <w:sz w:val="18"/>
                <w:lang w:val="en-GB"/>
              </w:rPr>
              <w:t xml:space="preserve"> (2015) </w:t>
            </w:r>
            <w:proofErr w:type="spellStart"/>
            <w:r w:rsidRPr="004F26D7">
              <w:rPr>
                <w:sz w:val="18"/>
                <w:lang w:val="en-GB"/>
              </w:rPr>
              <w:t>Faba</w:t>
            </w:r>
            <w:proofErr w:type="spellEnd"/>
            <w:r w:rsidRPr="004F26D7">
              <w:rPr>
                <w:sz w:val="18"/>
                <w:lang w:val="en-GB"/>
              </w:rPr>
              <w:t xml:space="preserve"> bean. In: De Ron A.M. (ed.) Grain Legumes, Handbook of Plant Breeding Series. New York, Springer + Business Media, pp. 141-179.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М13</w:t>
            </w:r>
          </w:p>
        </w:tc>
      </w:tr>
      <w:tr w:rsidR="00D07E4B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D07E4B" w:rsidRPr="00E16181" w:rsidRDefault="005A5F2D" w:rsidP="00243734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D07E4B" w:rsidRPr="004F26D7" w:rsidRDefault="00E16181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Stojanović D, Aleksić MJ, Jančić I, Jančić R</w:t>
            </w:r>
            <w:r w:rsidRPr="004F26D7">
              <w:rPr>
                <w:sz w:val="18"/>
                <w:lang w:val="en-GB"/>
              </w:rPr>
              <w:t xml:space="preserve"> (2015) A Mediterranean herb in the continental Balkans: A plastid DNA-based </w:t>
            </w:r>
            <w:proofErr w:type="spellStart"/>
            <w:r w:rsidRPr="004F26D7">
              <w:rPr>
                <w:sz w:val="18"/>
                <w:lang w:val="en-GB"/>
              </w:rPr>
              <w:t>phylogeographic</w:t>
            </w:r>
            <w:proofErr w:type="spellEnd"/>
            <w:r w:rsidRPr="004F26D7">
              <w:rPr>
                <w:sz w:val="18"/>
                <w:lang w:val="en-GB"/>
              </w:rPr>
              <w:t xml:space="preserve"> survey of Salvia officinalis and its conservation implications. </w:t>
            </w:r>
            <w:proofErr w:type="spellStart"/>
            <w:r w:rsidRPr="004F26D7">
              <w:rPr>
                <w:sz w:val="18"/>
                <w:lang w:val="en-GB"/>
              </w:rPr>
              <w:t>Willdenowia</w:t>
            </w:r>
            <w:proofErr w:type="spellEnd"/>
            <w:r w:rsidRPr="004F26D7">
              <w:rPr>
                <w:sz w:val="18"/>
                <w:lang w:val="en-GB"/>
              </w:rPr>
              <w:t xml:space="preserve"> 45 (1): 103-118.</w:t>
            </w:r>
          </w:p>
        </w:tc>
        <w:tc>
          <w:tcPr>
            <w:tcW w:w="322" w:type="pct"/>
            <w:vAlign w:val="center"/>
          </w:tcPr>
          <w:p w:rsidR="00D07E4B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М23</w:t>
            </w:r>
          </w:p>
        </w:tc>
      </w:tr>
      <w:tr w:rsidR="00E16181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E16181" w:rsidRPr="00E16181" w:rsidRDefault="005A5F2D" w:rsidP="00243734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E16181" w:rsidRPr="004F26D7" w:rsidRDefault="004F26D7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Aleksić MJ, Geburek T</w:t>
            </w:r>
            <w:r w:rsidRPr="004F26D7">
              <w:rPr>
                <w:sz w:val="18"/>
                <w:lang w:val="en-GB"/>
              </w:rPr>
              <w:t xml:space="preserve"> (2014) Quaternary population dynamics of an endemic conifer, </w:t>
            </w:r>
            <w:proofErr w:type="spellStart"/>
            <w:r w:rsidRPr="004F26D7">
              <w:rPr>
                <w:sz w:val="18"/>
                <w:lang w:val="en-GB"/>
              </w:rPr>
              <w:t>Picea</w:t>
            </w:r>
            <w:proofErr w:type="spellEnd"/>
            <w:r w:rsidRPr="004F26D7">
              <w:rPr>
                <w:sz w:val="18"/>
                <w:lang w:val="en-GB"/>
              </w:rPr>
              <w:t xml:space="preserve"> </w:t>
            </w:r>
            <w:proofErr w:type="spellStart"/>
            <w:r w:rsidRPr="004F26D7">
              <w:rPr>
                <w:sz w:val="18"/>
                <w:lang w:val="en-GB"/>
              </w:rPr>
              <w:t>omorika</w:t>
            </w:r>
            <w:proofErr w:type="spellEnd"/>
            <w:r w:rsidRPr="004F26D7">
              <w:rPr>
                <w:sz w:val="18"/>
                <w:lang w:val="en-GB"/>
              </w:rPr>
              <w:t>, and their conservation implications. Conservation Genetics 15: 87–107.</w:t>
            </w:r>
          </w:p>
        </w:tc>
        <w:tc>
          <w:tcPr>
            <w:tcW w:w="322" w:type="pct"/>
            <w:vAlign w:val="center"/>
          </w:tcPr>
          <w:p w:rsidR="00E16181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E16181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E16181" w:rsidRPr="00E16181" w:rsidRDefault="005A5F2D" w:rsidP="004F26D7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E16181" w:rsidRPr="004F26D7" w:rsidRDefault="004F26D7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Škondrić S, Aleksić MJ, Lakušić</w:t>
            </w:r>
            <w:r w:rsidRPr="004F26D7">
              <w:rPr>
                <w:sz w:val="18"/>
                <w:lang w:val="en-GB"/>
              </w:rPr>
              <w:t xml:space="preserve"> (2014) Campanula </w:t>
            </w:r>
            <w:proofErr w:type="spellStart"/>
            <w:r w:rsidRPr="004F26D7">
              <w:rPr>
                <w:sz w:val="18"/>
                <w:lang w:val="en-GB"/>
              </w:rPr>
              <w:t>cichoracea</w:t>
            </w:r>
            <w:proofErr w:type="spellEnd"/>
            <w:r w:rsidRPr="004F26D7">
              <w:rPr>
                <w:sz w:val="18"/>
                <w:lang w:val="en-GB"/>
              </w:rPr>
              <w:t xml:space="preserve"> (</w:t>
            </w:r>
            <w:proofErr w:type="spellStart"/>
            <w:r w:rsidRPr="004F26D7">
              <w:rPr>
                <w:sz w:val="18"/>
                <w:lang w:val="en-GB"/>
              </w:rPr>
              <w:t>Campanulaceae</w:t>
            </w:r>
            <w:proofErr w:type="spellEnd"/>
            <w:r w:rsidRPr="004F26D7">
              <w:rPr>
                <w:sz w:val="18"/>
                <w:lang w:val="en-GB"/>
              </w:rPr>
              <w:t xml:space="preserve">), a neglected species from the Balkan-Carpathian C. </w:t>
            </w:r>
            <w:proofErr w:type="spellStart"/>
            <w:proofErr w:type="gramStart"/>
            <w:r w:rsidRPr="004F26D7">
              <w:rPr>
                <w:sz w:val="18"/>
                <w:lang w:val="en-GB"/>
              </w:rPr>
              <w:t>lingulata</w:t>
            </w:r>
            <w:proofErr w:type="spellEnd"/>
            <w:proofErr w:type="gramEnd"/>
            <w:r w:rsidRPr="004F26D7">
              <w:rPr>
                <w:sz w:val="18"/>
                <w:lang w:val="en-GB"/>
              </w:rPr>
              <w:t xml:space="preserve"> complex as inferred from molecular and morphological characters. </w:t>
            </w:r>
            <w:proofErr w:type="spellStart"/>
            <w:r w:rsidRPr="004F26D7">
              <w:rPr>
                <w:sz w:val="18"/>
                <w:lang w:val="en-GB"/>
              </w:rPr>
              <w:t>Willdenowia</w:t>
            </w:r>
            <w:proofErr w:type="spellEnd"/>
            <w:r w:rsidRPr="004F26D7">
              <w:rPr>
                <w:sz w:val="18"/>
                <w:lang w:val="en-GB"/>
              </w:rPr>
              <w:t xml:space="preserve"> 44: 77-96.</w:t>
            </w:r>
          </w:p>
        </w:tc>
        <w:tc>
          <w:tcPr>
            <w:tcW w:w="322" w:type="pct"/>
            <w:vAlign w:val="center"/>
          </w:tcPr>
          <w:p w:rsidR="00E16181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М23</w:t>
            </w:r>
          </w:p>
        </w:tc>
      </w:tr>
      <w:tr w:rsidR="00E16181" w:rsidRPr="004F26D7" w:rsidTr="00063162">
        <w:trPr>
          <w:trHeight w:val="227"/>
          <w:jc w:val="center"/>
        </w:trPr>
        <w:tc>
          <w:tcPr>
            <w:tcW w:w="252" w:type="pct"/>
            <w:vAlign w:val="center"/>
          </w:tcPr>
          <w:p w:rsidR="00E16181" w:rsidRPr="00E16181" w:rsidRDefault="004F26D7" w:rsidP="005A5F2D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5A5F2D">
              <w:rPr>
                <w:lang w:val="en-GB"/>
              </w:rPr>
              <w:t>0</w:t>
            </w:r>
          </w:p>
        </w:tc>
        <w:tc>
          <w:tcPr>
            <w:tcW w:w="4426" w:type="pct"/>
            <w:gridSpan w:val="9"/>
            <w:shd w:val="clear" w:color="auto" w:fill="auto"/>
            <w:vAlign w:val="center"/>
          </w:tcPr>
          <w:p w:rsidR="00E16181" w:rsidRPr="004F26D7" w:rsidRDefault="004F26D7" w:rsidP="00243734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Lockwood JD, Aleksić MJ, Zou J, Wang J, Liu J, Renner SS</w:t>
            </w:r>
            <w:r w:rsidRPr="004F26D7">
              <w:rPr>
                <w:sz w:val="18"/>
                <w:lang w:val="en-GB"/>
              </w:rPr>
              <w:t xml:space="preserve"> (2013) A new phylogeny for the genus </w:t>
            </w:r>
            <w:proofErr w:type="spellStart"/>
            <w:r w:rsidRPr="004F26D7">
              <w:rPr>
                <w:sz w:val="18"/>
                <w:lang w:val="en-GB"/>
              </w:rPr>
              <w:t>Picea</w:t>
            </w:r>
            <w:proofErr w:type="spellEnd"/>
            <w:r w:rsidRPr="004F26D7">
              <w:rPr>
                <w:sz w:val="18"/>
                <w:lang w:val="en-GB"/>
              </w:rPr>
              <w:t xml:space="preserve"> from plastid, mitochondrial and nuclear sequences. Molecular </w:t>
            </w:r>
            <w:proofErr w:type="spellStart"/>
            <w:r w:rsidRPr="004F26D7">
              <w:rPr>
                <w:sz w:val="18"/>
                <w:lang w:val="en-GB"/>
              </w:rPr>
              <w:t>Phylogenetics</w:t>
            </w:r>
            <w:proofErr w:type="spellEnd"/>
            <w:r w:rsidRPr="004F26D7">
              <w:rPr>
                <w:sz w:val="18"/>
                <w:lang w:val="en-GB"/>
              </w:rPr>
              <w:t xml:space="preserve"> and Evolution 69: 717-727.</w:t>
            </w:r>
          </w:p>
        </w:tc>
        <w:tc>
          <w:tcPr>
            <w:tcW w:w="322" w:type="pct"/>
            <w:vAlign w:val="center"/>
          </w:tcPr>
          <w:p w:rsidR="00E16181" w:rsidRPr="004F26D7" w:rsidRDefault="003922F0" w:rsidP="00243734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М21</w:t>
            </w:r>
          </w:p>
        </w:tc>
      </w:tr>
      <w:tr w:rsidR="00D07E4B" w:rsidRPr="00A22864" w:rsidTr="00DB75C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210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93" w:type="pct"/>
            <w:gridSpan w:val="6"/>
            <w:vAlign w:val="center"/>
          </w:tcPr>
          <w:p w:rsidR="00D07E4B" w:rsidRPr="004F26D7" w:rsidRDefault="004F26D7" w:rsidP="00243734">
            <w:pPr>
              <w:rPr>
                <w:lang w:val="en-GB"/>
              </w:rPr>
            </w:pPr>
            <w:r>
              <w:rPr>
                <w:lang w:val="en-GB"/>
              </w:rPr>
              <w:t>289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210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</w:t>
            </w:r>
            <w:r w:rsidR="00DB75CD">
              <w:rPr>
                <w:lang w:val="sr-Cyrl-CS"/>
              </w:rPr>
              <w:t>н број радова са SCI (или SSCI)</w:t>
            </w:r>
            <w:r w:rsidRPr="00A22864">
              <w:rPr>
                <w:lang w:val="sr-Cyrl-CS"/>
              </w:rPr>
              <w:t>листе</w:t>
            </w:r>
          </w:p>
        </w:tc>
        <w:tc>
          <w:tcPr>
            <w:tcW w:w="2893" w:type="pct"/>
            <w:gridSpan w:val="6"/>
            <w:vAlign w:val="center"/>
          </w:tcPr>
          <w:p w:rsidR="00D07E4B" w:rsidRPr="004F26D7" w:rsidRDefault="007D1E6E" w:rsidP="00243734">
            <w:pPr>
              <w:rPr>
                <w:lang w:val="en-GB"/>
              </w:rPr>
            </w:pPr>
            <w:r>
              <w:rPr>
                <w:lang w:val="en-GB"/>
              </w:rPr>
              <w:t>30 (SCOPUS)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210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37" w:type="pct"/>
            <w:gridSpan w:val="3"/>
            <w:vAlign w:val="center"/>
          </w:tcPr>
          <w:p w:rsidR="00D07E4B" w:rsidRPr="004F26D7" w:rsidRDefault="00D07E4B" w:rsidP="00243734">
            <w:pPr>
              <w:rPr>
                <w:lang w:val="en-GB"/>
              </w:rPr>
            </w:pPr>
            <w:r w:rsidRPr="00A22864">
              <w:rPr>
                <w:lang w:val="sr-Cyrl-CS"/>
              </w:rPr>
              <w:t>Домаћи</w:t>
            </w:r>
            <w:r w:rsidR="004F26D7">
              <w:rPr>
                <w:lang w:val="en-GB"/>
              </w:rPr>
              <w:t xml:space="preserve"> 2</w:t>
            </w:r>
          </w:p>
        </w:tc>
        <w:tc>
          <w:tcPr>
            <w:tcW w:w="1356" w:type="pct"/>
            <w:gridSpan w:val="3"/>
            <w:vAlign w:val="center"/>
          </w:tcPr>
          <w:p w:rsidR="004F26D7" w:rsidRPr="004F26D7" w:rsidRDefault="00D07E4B" w:rsidP="005A5F2D">
            <w:pPr>
              <w:rPr>
                <w:lang w:val="en-GB"/>
              </w:rPr>
            </w:pPr>
            <w:r w:rsidRPr="00A22864">
              <w:rPr>
                <w:lang w:val="sr-Cyrl-CS"/>
              </w:rPr>
              <w:t>Међународни</w:t>
            </w:r>
            <w:r w:rsidR="005A5F2D">
              <w:rPr>
                <w:lang w:val="sr-Cyrl-CS"/>
              </w:rPr>
              <w:t xml:space="preserve"> </w:t>
            </w:r>
            <w:r w:rsidR="004F26D7">
              <w:rPr>
                <w:lang w:val="en-GB"/>
              </w:rPr>
              <w:t>4</w:t>
            </w:r>
          </w:p>
        </w:tc>
      </w:tr>
      <w:tr w:rsidR="00D07E4B" w:rsidRPr="00A22864" w:rsidTr="00F272A7">
        <w:trPr>
          <w:trHeight w:val="227"/>
          <w:jc w:val="center"/>
        </w:trPr>
        <w:tc>
          <w:tcPr>
            <w:tcW w:w="210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893" w:type="pct"/>
            <w:gridSpan w:val="6"/>
            <w:vAlign w:val="center"/>
          </w:tcPr>
          <w:p w:rsidR="00D07E4B" w:rsidRPr="005A5F2D" w:rsidRDefault="005A5F2D" w:rsidP="003922F0">
            <w:pPr>
              <w:rPr>
                <w:lang w:val="en-GB"/>
              </w:rPr>
            </w:pPr>
            <w:proofErr w:type="spellStart"/>
            <w:r w:rsidRPr="005A5F2D">
              <w:rPr>
                <w:lang w:val="en-GB"/>
              </w:rPr>
              <w:t>Пос</w:t>
            </w:r>
            <w:proofErr w:type="spellEnd"/>
            <w:r>
              <w:t>ле</w:t>
            </w:r>
            <w:r w:rsidRPr="005A5F2D">
              <w:rPr>
                <w:lang w:val="en-GB"/>
              </w:rPr>
              <w:t>-</w:t>
            </w:r>
            <w:proofErr w:type="spellStart"/>
            <w:r w:rsidRPr="005A5F2D">
              <w:rPr>
                <w:lang w:val="en-GB"/>
              </w:rPr>
              <w:t>докторске</w:t>
            </w:r>
            <w:proofErr w:type="spellEnd"/>
            <w:r w:rsidRPr="005A5F2D">
              <w:rPr>
                <w:lang w:val="en-GB"/>
              </w:rPr>
              <w:t xml:space="preserve"> </w:t>
            </w:r>
            <w:proofErr w:type="spellStart"/>
            <w:r w:rsidRPr="005A5F2D">
              <w:rPr>
                <w:lang w:val="en-GB"/>
              </w:rPr>
              <w:t>студије</w:t>
            </w:r>
            <w:proofErr w:type="spellEnd"/>
            <w:r w:rsidRPr="005A5F2D">
              <w:rPr>
                <w:lang w:val="en-GB"/>
              </w:rPr>
              <w:t xml:space="preserve"> (2011-2012) </w:t>
            </w:r>
            <w:proofErr w:type="spellStart"/>
            <w:r w:rsidRPr="005A5F2D">
              <w:rPr>
                <w:lang w:val="en-GB"/>
              </w:rPr>
              <w:t>на</w:t>
            </w:r>
            <w:proofErr w:type="spellEnd"/>
            <w:r w:rsidRPr="005A5F2D">
              <w:rPr>
                <w:lang w:val="en-GB"/>
              </w:rPr>
              <w:t xml:space="preserve"> Ludwig-</w:t>
            </w:r>
            <w:proofErr w:type="spellStart"/>
            <w:r w:rsidRPr="005A5F2D">
              <w:rPr>
                <w:lang w:val="en-GB"/>
              </w:rPr>
              <w:t>Maximilians</w:t>
            </w:r>
            <w:proofErr w:type="spellEnd"/>
            <w:r w:rsidRPr="005A5F2D">
              <w:rPr>
                <w:lang w:val="en-GB"/>
              </w:rPr>
              <w:t>-</w:t>
            </w:r>
            <w:proofErr w:type="spellStart"/>
            <w:r w:rsidRPr="005A5F2D">
              <w:rPr>
                <w:lang w:val="en-GB"/>
              </w:rPr>
              <w:t>Universität</w:t>
            </w:r>
            <w:proofErr w:type="spellEnd"/>
            <w:r w:rsidRPr="005A5F2D">
              <w:rPr>
                <w:lang w:val="en-GB"/>
              </w:rPr>
              <w:t xml:space="preserve"> (LMU), </w:t>
            </w:r>
            <w:proofErr w:type="spellStart"/>
            <w:r w:rsidRPr="005A5F2D">
              <w:rPr>
                <w:lang w:val="en-GB"/>
              </w:rPr>
              <w:t>Минхен</w:t>
            </w:r>
            <w:proofErr w:type="spellEnd"/>
            <w:r w:rsidRPr="005A5F2D">
              <w:rPr>
                <w:lang w:val="en-GB"/>
              </w:rPr>
              <w:t xml:space="preserve">, </w:t>
            </w:r>
            <w:proofErr w:type="spellStart"/>
            <w:r w:rsidRPr="005A5F2D">
              <w:rPr>
                <w:lang w:val="en-GB"/>
              </w:rPr>
              <w:t>Немачка</w:t>
            </w:r>
            <w:proofErr w:type="spellEnd"/>
            <w:r w:rsidRPr="005A5F2D">
              <w:rPr>
                <w:lang w:val="en-GB"/>
              </w:rPr>
              <w:t xml:space="preserve"> </w:t>
            </w:r>
            <w:r>
              <w:t>у</w:t>
            </w:r>
            <w:r w:rsidRPr="005A5F2D">
              <w:t xml:space="preserve"> </w:t>
            </w:r>
            <w:r>
              <w:t>оквиру</w:t>
            </w:r>
            <w:r w:rsidRPr="005A5F2D">
              <w:rPr>
                <w:lang w:val="en-GB"/>
              </w:rPr>
              <w:t xml:space="preserve"> Erasmus </w:t>
            </w:r>
            <w:proofErr w:type="spellStart"/>
            <w:r w:rsidRPr="005A5F2D">
              <w:rPr>
                <w:lang w:val="en-GB"/>
              </w:rPr>
              <w:t>Mundus</w:t>
            </w:r>
            <w:proofErr w:type="spellEnd"/>
            <w:r w:rsidRPr="005A5F2D">
              <w:rPr>
                <w:lang w:val="en-GB"/>
              </w:rPr>
              <w:t xml:space="preserve"> </w:t>
            </w:r>
            <w:proofErr w:type="spellStart"/>
            <w:r w:rsidRPr="005A5F2D">
              <w:rPr>
                <w:lang w:val="en-GB"/>
              </w:rPr>
              <w:t>Мастер</w:t>
            </w:r>
            <w:proofErr w:type="spellEnd"/>
            <w:r w:rsidRPr="005A5F2D">
              <w:rPr>
                <w:lang w:val="en-GB"/>
              </w:rPr>
              <w:t xml:space="preserve"> </w:t>
            </w:r>
            <w:proofErr w:type="spellStart"/>
            <w:r w:rsidRPr="005A5F2D">
              <w:rPr>
                <w:lang w:val="en-GB"/>
              </w:rPr>
              <w:t>програма</w:t>
            </w:r>
            <w:proofErr w:type="spellEnd"/>
            <w:r w:rsidRPr="005A5F2D">
              <w:rPr>
                <w:lang w:val="en-GB"/>
              </w:rPr>
              <w:t xml:space="preserve"> </w:t>
            </w:r>
            <w:proofErr w:type="spellStart"/>
            <w:r w:rsidRPr="005A5F2D">
              <w:rPr>
                <w:lang w:val="en-GB"/>
              </w:rPr>
              <w:t>еволуционе</w:t>
            </w:r>
            <w:proofErr w:type="spellEnd"/>
            <w:r w:rsidRPr="005A5F2D">
              <w:rPr>
                <w:lang w:val="en-GB"/>
              </w:rPr>
              <w:t xml:space="preserve"> </w:t>
            </w:r>
            <w:proofErr w:type="spellStart"/>
            <w:r w:rsidRPr="005A5F2D">
              <w:rPr>
                <w:lang w:val="en-GB"/>
              </w:rPr>
              <w:t>биологи</w:t>
            </w:r>
            <w:r w:rsidR="003922F0">
              <w:rPr>
                <w:lang w:val="en-GB"/>
              </w:rPr>
              <w:t>је</w:t>
            </w:r>
            <w:proofErr w:type="spellEnd"/>
          </w:p>
        </w:tc>
      </w:tr>
      <w:tr w:rsidR="00D07E4B" w:rsidRPr="00A22864" w:rsidTr="00DB75C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5A5F2D" w:rsidRDefault="005A5F2D" w:rsidP="0024373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1. </w:t>
            </w:r>
            <w:r w:rsidR="007D1E6E">
              <w:rPr>
                <w:lang w:val="sr-Cyrl-CS"/>
              </w:rPr>
              <w:t>Руководилац подпројекта</w:t>
            </w:r>
            <w:r w:rsidRPr="005A5F2D">
              <w:rPr>
                <w:lang w:val="sr-Cyrl-CS"/>
              </w:rPr>
              <w:t xml:space="preserve"> основних истраживања </w:t>
            </w:r>
            <w:r>
              <w:rPr>
                <w:lang w:val="sr-Cyrl-CS"/>
              </w:rPr>
              <w:t xml:space="preserve">МПНТР </w:t>
            </w:r>
            <w:r w:rsidRPr="005A5F2D">
              <w:rPr>
                <w:lang w:val="sr-Cyrl-CS"/>
              </w:rPr>
              <w:t>број 173030-5</w:t>
            </w:r>
            <w:r>
              <w:rPr>
                <w:lang w:val="sr-Cyrl-CS"/>
              </w:rPr>
              <w:t xml:space="preserve">. </w:t>
            </w:r>
          </w:p>
          <w:p w:rsidR="005A5F2D" w:rsidRDefault="005A5F2D" w:rsidP="0024373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2. Руководилац пројекта билатералне </w:t>
            </w:r>
            <w:r w:rsidRPr="005A5F2D">
              <w:rPr>
                <w:lang w:val="sr-Cyrl-CS"/>
              </w:rPr>
              <w:t>сарадње са Француском</w:t>
            </w:r>
            <w:r>
              <w:rPr>
                <w:lang w:val="sr-Cyrl-CS"/>
              </w:rPr>
              <w:t xml:space="preserve"> 2012-2013</w:t>
            </w:r>
          </w:p>
          <w:p w:rsidR="005A5F2D" w:rsidRPr="005A5F2D" w:rsidRDefault="005A5F2D" w:rsidP="005A5F2D">
            <w:r>
              <w:rPr>
                <w:lang w:val="sr-Cyrl-CS"/>
              </w:rPr>
              <w:t xml:space="preserve">3. Експерт у 2 текућа </w:t>
            </w:r>
            <w:r>
              <w:rPr>
                <w:lang w:val="en-GB"/>
              </w:rPr>
              <w:t xml:space="preserve">EU IPA II </w:t>
            </w:r>
            <w:r>
              <w:t>пројекта, и 1 Националном пројекту у БиХ</w:t>
            </w:r>
          </w:p>
        </w:tc>
      </w:tr>
    </w:tbl>
    <w:p w:rsidR="0047415A" w:rsidRDefault="0047415A"/>
    <w:sectPr w:rsidR="0047415A" w:rsidSect="00DB75CD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07E4B"/>
    <w:rsid w:val="00063162"/>
    <w:rsid w:val="00067AE3"/>
    <w:rsid w:val="00143CF2"/>
    <w:rsid w:val="003922F0"/>
    <w:rsid w:val="0047415A"/>
    <w:rsid w:val="004A2BFD"/>
    <w:rsid w:val="004F26D7"/>
    <w:rsid w:val="00555A86"/>
    <w:rsid w:val="005A5F2D"/>
    <w:rsid w:val="00666A7B"/>
    <w:rsid w:val="00724157"/>
    <w:rsid w:val="007D1E6E"/>
    <w:rsid w:val="00880906"/>
    <w:rsid w:val="00D07E4B"/>
    <w:rsid w:val="00D75AFF"/>
    <w:rsid w:val="00DB75CD"/>
    <w:rsid w:val="00E0585C"/>
    <w:rsid w:val="00E16181"/>
    <w:rsid w:val="00E63DB8"/>
    <w:rsid w:val="00F05071"/>
    <w:rsid w:val="00F27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E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E6E"/>
    <w:rPr>
      <w:rFonts w:ascii="Segoe UI" w:eastAsia="Cambria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9</cp:revision>
  <cp:lastPrinted>2019-12-08T23:17:00Z</cp:lastPrinted>
  <dcterms:created xsi:type="dcterms:W3CDTF">2019-12-08T22:29:00Z</dcterms:created>
  <dcterms:modified xsi:type="dcterms:W3CDTF">2020-05-17T17:17:00Z</dcterms:modified>
</cp:coreProperties>
</file>