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1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5"/>
        <w:gridCol w:w="1701"/>
        <w:gridCol w:w="43"/>
        <w:gridCol w:w="1942"/>
        <w:gridCol w:w="1129"/>
        <w:gridCol w:w="680"/>
        <w:gridCol w:w="234"/>
        <w:gridCol w:w="1784"/>
        <w:gridCol w:w="613"/>
      </w:tblGrid>
      <w:tr w:rsidR="00E6606D" w:rsidTr="001402C9">
        <w:trPr>
          <w:trHeight w:val="227"/>
          <w:jc w:val="center"/>
        </w:trPr>
        <w:tc>
          <w:tcPr>
            <w:tcW w:w="2736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Име и презиме</w:t>
            </w:r>
          </w:p>
        </w:tc>
        <w:tc>
          <w:tcPr>
            <w:tcW w:w="6425" w:type="dxa"/>
            <w:gridSpan w:val="7"/>
            <w:vAlign w:val="center"/>
          </w:tcPr>
          <w:p w:rsidR="00E6606D" w:rsidRPr="001813F6" w:rsidRDefault="00534148">
            <w:pPr>
              <w:rPr>
                <w:b/>
              </w:rPr>
            </w:pPr>
            <w:r w:rsidRPr="001813F6">
              <w:rPr>
                <w:b/>
              </w:rPr>
              <w:t>Ивана Теодоровић</w:t>
            </w:r>
          </w:p>
        </w:tc>
      </w:tr>
      <w:tr w:rsidR="00E6606D" w:rsidTr="001402C9">
        <w:trPr>
          <w:trHeight w:val="227"/>
          <w:jc w:val="center"/>
        </w:trPr>
        <w:tc>
          <w:tcPr>
            <w:tcW w:w="2736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Звање</w:t>
            </w:r>
          </w:p>
        </w:tc>
        <w:tc>
          <w:tcPr>
            <w:tcW w:w="6425" w:type="dxa"/>
            <w:gridSpan w:val="7"/>
            <w:vAlign w:val="center"/>
          </w:tcPr>
          <w:p w:rsidR="00E6606D" w:rsidRDefault="00534148">
            <w:r>
              <w:t>Редовни професор</w:t>
            </w:r>
          </w:p>
        </w:tc>
      </w:tr>
      <w:tr w:rsidR="00E6606D" w:rsidTr="001402C9">
        <w:trPr>
          <w:trHeight w:val="227"/>
          <w:jc w:val="center"/>
        </w:trPr>
        <w:tc>
          <w:tcPr>
            <w:tcW w:w="2736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425" w:type="dxa"/>
            <w:gridSpan w:val="7"/>
            <w:vAlign w:val="center"/>
          </w:tcPr>
          <w:p w:rsidR="00E6606D" w:rsidRDefault="00534148">
            <w:r>
              <w:t>Заштита животне средине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701" w:type="dxa"/>
            <w:vAlign w:val="center"/>
          </w:tcPr>
          <w:p w:rsidR="00E6606D" w:rsidRPr="001813F6" w:rsidRDefault="00534148">
            <w:pPr>
              <w:rPr>
                <w:b/>
                <w:lang w:val="sr-Cyrl-CS"/>
              </w:rPr>
            </w:pPr>
            <w:r w:rsidRPr="001813F6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3114" w:type="dxa"/>
            <w:gridSpan w:val="3"/>
            <w:vAlign w:val="center"/>
          </w:tcPr>
          <w:p w:rsidR="00E6606D" w:rsidRPr="001813F6" w:rsidRDefault="00534148">
            <w:pPr>
              <w:rPr>
                <w:b/>
                <w:lang w:val="sr-Cyrl-CS"/>
              </w:rPr>
            </w:pPr>
            <w:r w:rsidRPr="001813F6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 w:rsidR="00E6606D" w:rsidRPr="001813F6" w:rsidRDefault="00534148">
            <w:pPr>
              <w:rPr>
                <w:b/>
                <w:lang w:val="sr-Cyrl-CS"/>
              </w:rPr>
            </w:pPr>
            <w:r w:rsidRPr="001813F6">
              <w:rPr>
                <w:b/>
                <w:lang w:val="sr-Cyrl-CS"/>
              </w:rPr>
              <w:t>Област</w:t>
            </w:r>
            <w:r w:rsidRPr="001813F6">
              <w:rPr>
                <w:b/>
              </w:rPr>
              <w:t xml:space="preserve"> 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 w:rsidR="00E6606D" w:rsidRPr="001813F6" w:rsidRDefault="00534148">
            <w:pPr>
              <w:rPr>
                <w:b/>
              </w:rPr>
            </w:pPr>
            <w:r w:rsidRPr="001813F6">
              <w:rPr>
                <w:b/>
              </w:rPr>
              <w:t>Ужа научна односно уметничка област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Избор у звање</w:t>
            </w:r>
          </w:p>
        </w:tc>
        <w:tc>
          <w:tcPr>
            <w:tcW w:w="1701" w:type="dxa"/>
            <w:vAlign w:val="center"/>
          </w:tcPr>
          <w:p w:rsidR="00E6606D" w:rsidRDefault="00534148">
            <w:r>
              <w:t>2016</w:t>
            </w:r>
          </w:p>
        </w:tc>
        <w:tc>
          <w:tcPr>
            <w:tcW w:w="3114" w:type="dxa"/>
            <w:gridSpan w:val="3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Универзитет у Новом Саду, Природно-математички факултет</w:t>
            </w: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1701" w:type="dxa"/>
            <w:vAlign w:val="center"/>
          </w:tcPr>
          <w:p w:rsidR="00E6606D" w:rsidRDefault="00534148">
            <w:r>
              <w:t>2003</w:t>
            </w:r>
          </w:p>
        </w:tc>
        <w:tc>
          <w:tcPr>
            <w:tcW w:w="3114" w:type="dxa"/>
            <w:gridSpan w:val="3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Универзитет у Новом Саду, Асоцијација центара за интер и мултидисциплинарне студије и истраживања</w:t>
            </w: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r>
              <w:t>Магис-тратура</w:t>
            </w:r>
          </w:p>
        </w:tc>
        <w:tc>
          <w:tcPr>
            <w:tcW w:w="1701" w:type="dxa"/>
            <w:vAlign w:val="center"/>
          </w:tcPr>
          <w:p w:rsidR="00E6606D" w:rsidRDefault="00534148">
            <w:r>
              <w:t>1999</w:t>
            </w:r>
          </w:p>
        </w:tc>
        <w:tc>
          <w:tcPr>
            <w:tcW w:w="3114" w:type="dxa"/>
            <w:gridSpan w:val="3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Универзитет у Новом Саду,  Центар за интер и мултидисциплинарне студије и истраживања</w:t>
            </w: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Диплома</w:t>
            </w:r>
          </w:p>
        </w:tc>
        <w:tc>
          <w:tcPr>
            <w:tcW w:w="1701" w:type="dxa"/>
            <w:vAlign w:val="center"/>
          </w:tcPr>
          <w:p w:rsidR="00E6606D" w:rsidRDefault="00534148">
            <w:r>
              <w:t>1994</w:t>
            </w:r>
          </w:p>
        </w:tc>
        <w:tc>
          <w:tcPr>
            <w:tcW w:w="3114" w:type="dxa"/>
            <w:gridSpan w:val="3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Универзитет у Новом Саду Природно-математички факултет</w:t>
            </w: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Биологија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Биологија</w:t>
            </w:r>
          </w:p>
        </w:tc>
      </w:tr>
      <w:tr w:rsidR="00E6606D" w:rsidTr="00171316">
        <w:trPr>
          <w:trHeight w:val="227"/>
          <w:jc w:val="center"/>
        </w:trPr>
        <w:tc>
          <w:tcPr>
            <w:tcW w:w="9161" w:type="dxa"/>
            <w:gridSpan w:val="9"/>
            <w:vAlign w:val="center"/>
          </w:tcPr>
          <w:p w:rsidR="00E6606D" w:rsidRDefault="00534148">
            <w:r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shd w:val="clear" w:color="auto" w:fill="auto"/>
            <w:vAlign w:val="center"/>
          </w:tcPr>
          <w:p w:rsidR="00E6606D" w:rsidRDefault="0053414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Р.Б.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6382" w:type="dxa"/>
            <w:gridSpan w:val="6"/>
            <w:vAlign w:val="center"/>
          </w:tcPr>
          <w:p w:rsidR="00E6606D" w:rsidRDefault="00534148">
            <w:pPr>
              <w:rPr>
                <w:b/>
              </w:rPr>
            </w:pPr>
            <w:r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shd w:val="clear" w:color="auto" w:fill="auto"/>
            <w:vAlign w:val="center"/>
          </w:tcPr>
          <w:p w:rsidR="00E6606D" w:rsidRDefault="00534148">
            <w:r>
              <w:t>1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:rsidR="00E6606D" w:rsidRDefault="00534148">
            <w:r>
              <w:t>ДНЕ006</w:t>
            </w:r>
          </w:p>
        </w:tc>
        <w:tc>
          <w:tcPr>
            <w:tcW w:w="6382" w:type="dxa"/>
            <w:gridSpan w:val="6"/>
            <w:vAlign w:val="center"/>
          </w:tcPr>
          <w:p w:rsidR="00E6606D" w:rsidRDefault="00534148">
            <w:r>
              <w:t>Екотоксикологија 2</w:t>
            </w:r>
          </w:p>
        </w:tc>
      </w:tr>
      <w:tr w:rsidR="00E6606D" w:rsidTr="00171316">
        <w:trPr>
          <w:trHeight w:val="227"/>
          <w:jc w:val="center"/>
        </w:trPr>
        <w:tc>
          <w:tcPr>
            <w:tcW w:w="9161" w:type="dxa"/>
            <w:gridSpan w:val="9"/>
            <w:vAlign w:val="center"/>
          </w:tcPr>
          <w:p w:rsidR="00E6606D" w:rsidRDefault="00534148">
            <w:pPr>
              <w:rPr>
                <w:b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Најзначајнији радови </w:t>
            </w:r>
            <w:r>
              <w:rPr>
                <w:b/>
                <w:lang w:val="sr-Cyrl-CS"/>
              </w:rPr>
              <w:t xml:space="preserve"> 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 xml:space="preserve">Tomić, T ... </w:t>
            </w:r>
            <w:r>
              <w:rPr>
                <w:bCs/>
                <w:sz w:val="16"/>
                <w:szCs w:val="16"/>
                <w:u w:val="single"/>
              </w:rPr>
              <w:t>Teodorović I</w:t>
            </w:r>
            <w:r>
              <w:rPr>
                <w:sz w:val="16"/>
                <w:szCs w:val="16"/>
              </w:rPr>
              <w:t xml:space="preserve"> (2019) A contribution towards improving the applicability of the Myriophyllum aquaticum sediment contact test. Environmental Sciences Europe, 31 (20)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Altenburger R, ... </w:t>
            </w:r>
            <w:r>
              <w:rPr>
                <w:sz w:val="16"/>
                <w:szCs w:val="16"/>
                <w:u w:val="single"/>
              </w:rPr>
              <w:t>Teodorović  I,</w:t>
            </w:r>
            <w:r>
              <w:rPr>
                <w:sz w:val="16"/>
                <w:szCs w:val="16"/>
              </w:rPr>
              <w:t xml:space="preserve"> ... Krauss M (2019) </w:t>
            </w:r>
            <w:r>
              <w:rPr>
                <w:iCs/>
                <w:sz w:val="16"/>
                <w:szCs w:val="16"/>
              </w:rPr>
              <w:t xml:space="preserve">Future water quality monitoring: improving the balance between exposure and toxicity assessments of real-world pollutant mixtures. </w:t>
            </w:r>
            <w:r>
              <w:rPr>
                <w:sz w:val="16"/>
                <w:szCs w:val="16"/>
              </w:rPr>
              <w:t>Environmental Sciences Europe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31:12. 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Brack W, ... </w:t>
            </w:r>
            <w:r>
              <w:rPr>
                <w:sz w:val="16"/>
                <w:szCs w:val="16"/>
                <w:u w:val="single"/>
              </w:rPr>
              <w:t>Teodorović I,</w:t>
            </w:r>
            <w:r>
              <w:rPr>
                <w:sz w:val="16"/>
                <w:szCs w:val="16"/>
              </w:rPr>
              <w:t xml:space="preserve"> ... Altenburger R (2019) </w:t>
            </w:r>
            <w:r>
              <w:rPr>
                <w:iCs/>
                <w:sz w:val="16"/>
                <w:szCs w:val="16"/>
              </w:rPr>
              <w:t xml:space="preserve">Effect-based methods are key. The European Collaborative Project SOLUTIONS recommends integrating effect-based methods for diagnosis and monitoring of water quality. </w:t>
            </w:r>
            <w:r>
              <w:rPr>
                <w:sz w:val="16"/>
                <w:szCs w:val="16"/>
              </w:rPr>
              <w:t>Environmental Sciences Europe 31:10.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proofErr w:type="spellStart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>Hashmi</w:t>
            </w:r>
            <w:proofErr w:type="spellEnd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gramStart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MAK, </w:t>
            </w:r>
            <w:r>
              <w:rPr>
                <w:rFonts w:cs="AdvTT5235d5a9"/>
                <w:color w:val="000000"/>
                <w:sz w:val="16"/>
                <w:szCs w:val="16"/>
                <w:lang w:eastAsia="en-GB"/>
              </w:rPr>
              <w:t>...</w:t>
            </w:r>
            <w:proofErr w:type="gramEnd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cs="AdvTT5235d5a9"/>
                <w:color w:val="000000"/>
                <w:sz w:val="16"/>
                <w:szCs w:val="16"/>
                <w:u w:val="single"/>
                <w:lang w:val="en-GB" w:eastAsia="en-GB"/>
              </w:rPr>
              <w:t>Teodorovic</w:t>
            </w:r>
            <w:proofErr w:type="spellEnd"/>
            <w:r>
              <w:rPr>
                <w:rFonts w:cs="AdvTT5235d5a9"/>
                <w:color w:val="000000"/>
                <w:sz w:val="16"/>
                <w:szCs w:val="16"/>
                <w:u w:val="single"/>
                <w:lang w:val="en-GB" w:eastAsia="en-GB"/>
              </w:rPr>
              <w:t xml:space="preserve"> I,</w:t>
            </w:r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>Brack</w:t>
            </w:r>
            <w:proofErr w:type="spellEnd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W. </w:t>
            </w:r>
            <w:r>
              <w:rPr>
                <w:rFonts w:cs="AdvTT5235d5a9"/>
                <w:color w:val="000000"/>
                <w:sz w:val="16"/>
                <w:szCs w:val="16"/>
                <w:lang w:eastAsia="en-GB"/>
              </w:rPr>
              <w:t>(</w:t>
            </w:r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>2018</w:t>
            </w:r>
            <w:r>
              <w:rPr>
                <w:rFonts w:cs="AdvTT5235d5a9"/>
                <w:color w:val="000000"/>
                <w:sz w:val="16"/>
                <w:szCs w:val="16"/>
                <w:lang w:eastAsia="en-GB"/>
              </w:rPr>
              <w:t>)</w:t>
            </w:r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>
              <w:rPr>
                <w:rFonts w:cs="AdvTT5235d5a9"/>
                <w:sz w:val="16"/>
                <w:szCs w:val="16"/>
                <w:lang w:val="en-GB" w:eastAsia="en-GB"/>
              </w:rPr>
              <w:t xml:space="preserve">Effect-directed analysis (EDA) of Danube River water sample receiving untreated municipal wastewater from Novi Sad, Serbia. </w:t>
            </w:r>
            <w:r>
              <w:rPr>
                <w:bCs/>
                <w:iCs/>
                <w:sz w:val="16"/>
                <w:szCs w:val="16"/>
              </w:rPr>
              <w:t>Science of the Total Environment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1072-1081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 xml:space="preserve">König M,… </w:t>
            </w:r>
            <w:r>
              <w:rPr>
                <w:sz w:val="16"/>
                <w:szCs w:val="16"/>
                <w:u w:val="single"/>
              </w:rPr>
              <w:t>Teodorović I,</w:t>
            </w:r>
            <w:r>
              <w:rPr>
                <w:sz w:val="16"/>
                <w:szCs w:val="16"/>
              </w:rPr>
              <w:t xml:space="preserve"> .. </w:t>
            </w:r>
            <w:r>
              <w:rPr>
                <w:rStyle w:val="hit"/>
                <w:sz w:val="16"/>
                <w:szCs w:val="16"/>
              </w:rPr>
              <w:t xml:space="preserve">Brack W. (2017) </w:t>
            </w:r>
            <w:r>
              <w:rPr>
                <w:sz w:val="16"/>
                <w:szCs w:val="16"/>
              </w:rPr>
              <w:t xml:space="preserve">Impact of untreated wastewater on a major European river evaluated with a combination of </w:t>
            </w:r>
            <w:r>
              <w:rPr>
                <w:i/>
                <w:iCs/>
                <w:sz w:val="16"/>
                <w:szCs w:val="16"/>
              </w:rPr>
              <w:t>in vitro</w:t>
            </w:r>
            <w:r>
              <w:rPr>
                <w:sz w:val="16"/>
                <w:szCs w:val="16"/>
              </w:rPr>
              <w:t xml:space="preserve"> bioassays and chemical analysis, </w:t>
            </w:r>
            <w:r>
              <w:rPr>
                <w:iCs/>
                <w:sz w:val="16"/>
                <w:szCs w:val="16"/>
              </w:rPr>
              <w:t>Environmental Pollution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220, B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1220-1230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Deutschmann B, …</w:t>
            </w:r>
            <w:r>
              <w:rPr>
                <w:sz w:val="16"/>
                <w:szCs w:val="16"/>
                <w:u w:val="single"/>
              </w:rPr>
              <w:t>Teodorovic I</w:t>
            </w:r>
            <w:r>
              <w:rPr>
                <w:sz w:val="16"/>
                <w:szCs w:val="16"/>
              </w:rPr>
              <w:t xml:space="preserve">, ... </w:t>
            </w:r>
            <w:r>
              <w:rPr>
                <w:rStyle w:val="hit"/>
                <w:sz w:val="16"/>
                <w:szCs w:val="16"/>
              </w:rPr>
              <w:t xml:space="preserve">Hollert H (2016) </w:t>
            </w:r>
            <w:r>
              <w:rPr>
                <w:sz w:val="16"/>
                <w:szCs w:val="16"/>
              </w:rPr>
              <w:t>Longitudinal profile of the genotoxic potential of the River Danube on erythrocytes of wild common bleak (</w:t>
            </w:r>
            <w:r>
              <w:rPr>
                <w:i/>
                <w:iCs/>
                <w:sz w:val="16"/>
                <w:szCs w:val="16"/>
              </w:rPr>
              <w:t>Alburnus alburnus</w:t>
            </w:r>
            <w:r>
              <w:rPr>
                <w:sz w:val="16"/>
                <w:szCs w:val="16"/>
              </w:rPr>
              <w:t>) assessed using the comet and micronucleus assay.</w:t>
            </w: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bCs/>
                <w:iCs/>
                <w:sz w:val="16"/>
                <w:szCs w:val="16"/>
              </w:rPr>
              <w:t>Science of the Total Environment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573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1441-1449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21а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rFonts w:eastAsia="AdvP6F00"/>
                <w:sz w:val="16"/>
                <w:szCs w:val="16"/>
              </w:rPr>
              <w:t>Tunić T,...</w:t>
            </w:r>
            <w:proofErr w:type="spellStart"/>
            <w:r>
              <w:rPr>
                <w:rFonts w:eastAsia="AdvP6F00"/>
                <w:sz w:val="16"/>
                <w:szCs w:val="16"/>
                <w:u w:val="single"/>
                <w:lang w:val="en-GB"/>
              </w:rPr>
              <w:t>Teodorović</w:t>
            </w:r>
            <w:proofErr w:type="spellEnd"/>
            <w:r>
              <w:rPr>
                <w:rFonts w:eastAsia="AdvP6F00"/>
                <w:sz w:val="16"/>
                <w:szCs w:val="16"/>
                <w:u w:val="single"/>
              </w:rPr>
              <w:t xml:space="preserve"> I</w:t>
            </w:r>
            <w:r>
              <w:rPr>
                <w:rFonts w:eastAsia="AdvP6F00"/>
                <w:sz w:val="16"/>
                <w:szCs w:val="16"/>
              </w:rPr>
              <w:t xml:space="preserve">. (2015) </w:t>
            </w:r>
            <w:r>
              <w:rPr>
                <w:rFonts w:eastAsia="AdvP6F00"/>
                <w:sz w:val="16"/>
                <w:szCs w:val="16"/>
                <w:lang w:val="en-GB"/>
              </w:rPr>
              <w:t xml:space="preserve">Some arguments in favour of </w:t>
            </w:r>
            <w:proofErr w:type="spellStart"/>
            <w:r>
              <w:rPr>
                <w:rFonts w:eastAsia="AdvP6F00"/>
                <w:i/>
                <w:sz w:val="16"/>
                <w:szCs w:val="16"/>
                <w:lang w:val="en-GB"/>
              </w:rPr>
              <w:t>Myriophyllum</w:t>
            </w:r>
            <w:proofErr w:type="spellEnd"/>
            <w:r>
              <w:rPr>
                <w:rFonts w:eastAsia="AdvP6F00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eastAsia="AdvP6F00"/>
                <w:i/>
                <w:sz w:val="16"/>
                <w:szCs w:val="16"/>
                <w:lang w:val="en-GB"/>
              </w:rPr>
              <w:t>aquaticum</w:t>
            </w:r>
            <w:proofErr w:type="spellEnd"/>
            <w:r>
              <w:rPr>
                <w:rFonts w:eastAsia="AdvP6F00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eastAsia="AdvP6F00"/>
                <w:sz w:val="16"/>
                <w:szCs w:val="16"/>
                <w:lang w:val="en-GB"/>
              </w:rPr>
              <w:t>growth inhibition test in water–sediment system as an additional test in risk assessment of herbicides</w:t>
            </w:r>
            <w:r>
              <w:rPr>
                <w:sz w:val="16"/>
                <w:szCs w:val="16"/>
              </w:rPr>
              <w:t>. Environmental Toxicology and Chemistry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rFonts w:eastAsia="AdvP6F00"/>
                <w:sz w:val="16"/>
                <w:szCs w:val="16"/>
                <w:lang w:val="en-GB" w:eastAsia="en-GB"/>
              </w:rPr>
              <w:t>34(9), 2104–2115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Feiler U, ... </w:t>
            </w:r>
            <w:r>
              <w:rPr>
                <w:rFonts w:cs="Arial"/>
                <w:sz w:val="16"/>
                <w:szCs w:val="16"/>
                <w:u w:val="single"/>
              </w:rPr>
              <w:t>Teodorovic I,</w:t>
            </w:r>
            <w:r>
              <w:rPr>
                <w:rFonts w:cs="Arial"/>
                <w:sz w:val="16"/>
                <w:szCs w:val="16"/>
              </w:rPr>
              <w:t xml:space="preserve"> ... Pluta HJ. (2014) Inter-laboratory trial of a standardized sediment contact test with the aquatic plant </w:t>
            </w:r>
            <w:r>
              <w:rPr>
                <w:rFonts w:cs="Arial"/>
                <w:i/>
                <w:sz w:val="16"/>
                <w:szCs w:val="16"/>
              </w:rPr>
              <w:t>Myriophyllum aquaticum</w:t>
            </w:r>
            <w:r>
              <w:rPr>
                <w:rFonts w:cs="Arial"/>
                <w:sz w:val="16"/>
                <w:szCs w:val="16"/>
              </w:rPr>
              <w:t xml:space="preserve"> (ISO 16191)</w:t>
            </w:r>
            <w:r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Environmental Toxicology and Chemistry</w:t>
            </w:r>
            <w:r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33, (3), 662–670</w:t>
            </w:r>
          </w:p>
        </w:tc>
        <w:tc>
          <w:tcPr>
            <w:tcW w:w="613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Р21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proofErr w:type="spellStart"/>
            <w:r>
              <w:rPr>
                <w:rFonts w:cs="Arial"/>
                <w:sz w:val="16"/>
                <w:szCs w:val="16"/>
                <w:u w:val="single"/>
                <w:lang w:val="en-GB" w:eastAsia="en-GB"/>
              </w:rPr>
              <w:t>Teodorovic</w:t>
            </w:r>
            <w:proofErr w:type="spellEnd"/>
            <w:r>
              <w:rPr>
                <w:rFonts w:cs="Arial"/>
                <w:sz w:val="16"/>
                <w:szCs w:val="16"/>
                <w:u w:val="single"/>
                <w:lang w:val="en-GB" w:eastAsia="en-GB"/>
              </w:rPr>
              <w:t xml:space="preserve"> </w:t>
            </w:r>
            <w:proofErr w:type="gramStart"/>
            <w:r>
              <w:rPr>
                <w:rFonts w:cs="Arial"/>
                <w:sz w:val="16"/>
                <w:szCs w:val="16"/>
                <w:u w:val="single"/>
                <w:lang w:val="en-GB" w:eastAsia="en-GB"/>
              </w:rPr>
              <w:t>I,</w:t>
            </w:r>
            <w:r>
              <w:rPr>
                <w:rFonts w:cs="Arial"/>
                <w:sz w:val="16"/>
                <w:szCs w:val="16"/>
                <w:lang w:val="en-GB" w:eastAsia="en-GB"/>
              </w:rPr>
              <w:t xml:space="preserve"> </w:t>
            </w:r>
            <w:r>
              <w:rPr>
                <w:rFonts w:cs="Arial"/>
                <w:sz w:val="16"/>
                <w:szCs w:val="16"/>
                <w:lang w:eastAsia="en-GB"/>
              </w:rPr>
              <w:t>...</w:t>
            </w:r>
            <w:proofErr w:type="spellStart"/>
            <w:r>
              <w:rPr>
                <w:rFonts w:cs="Arial"/>
                <w:sz w:val="16"/>
                <w:szCs w:val="16"/>
                <w:lang w:val="en-GB" w:eastAsia="en-GB"/>
              </w:rPr>
              <w:t>Ivancev</w:t>
            </w:r>
            <w:proofErr w:type="spellEnd"/>
            <w:proofErr w:type="gramEnd"/>
            <w:r>
              <w:rPr>
                <w:rFonts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  <w:lang w:val="en-GB" w:eastAsia="en-GB"/>
              </w:rPr>
              <w:t>Tumbas</w:t>
            </w:r>
            <w:proofErr w:type="spellEnd"/>
            <w:r>
              <w:rPr>
                <w:rFonts w:cs="Arial"/>
                <w:sz w:val="16"/>
                <w:szCs w:val="16"/>
                <w:lang w:val="en-GB" w:eastAsia="en-GB"/>
              </w:rPr>
              <w:t xml:space="preserve"> I (2012)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>Myriophyllum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>aquaticum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 xml:space="preserve"> vs.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>Lemna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 xml:space="preserve"> minor</w:t>
            </w:r>
            <w:r>
              <w:rPr>
                <w:rFonts w:cs="Arial"/>
                <w:sz w:val="16"/>
                <w:szCs w:val="16"/>
                <w:lang w:val="en-GB" w:eastAsia="en-GB"/>
              </w:rPr>
              <w:t xml:space="preserve">: sensitivity and recovery potential after exposure to </w:t>
            </w:r>
            <w:proofErr w:type="spellStart"/>
            <w:r>
              <w:rPr>
                <w:rFonts w:cs="Arial"/>
                <w:sz w:val="16"/>
                <w:szCs w:val="16"/>
                <w:lang w:val="en-GB" w:eastAsia="en-GB"/>
              </w:rPr>
              <w:t>atrazine</w:t>
            </w:r>
            <w:proofErr w:type="spellEnd"/>
            <w:r>
              <w:rPr>
                <w:rFonts w:cs="Arial"/>
                <w:sz w:val="16"/>
                <w:szCs w:val="16"/>
                <w:lang w:val="en-GB" w:eastAsia="en-GB"/>
              </w:rPr>
              <w:t xml:space="preserve">. </w:t>
            </w:r>
            <w:r>
              <w:rPr>
                <w:rFonts w:cs="Arial"/>
                <w:bCs/>
                <w:iCs/>
                <w:sz w:val="16"/>
                <w:szCs w:val="16"/>
                <w:lang w:val="en-GB" w:eastAsia="en-GB"/>
              </w:rPr>
              <w:t>Environmental Toxicology and Chemistry</w:t>
            </w:r>
            <w:r>
              <w:rPr>
                <w:rFonts w:cs="Arial"/>
                <w:sz w:val="16"/>
                <w:szCs w:val="16"/>
                <w:lang w:val="en-GB" w:eastAsia="en-GB"/>
              </w:rPr>
              <w:t xml:space="preserve"> </w:t>
            </w:r>
            <w:r>
              <w:rPr>
                <w:rFonts w:cs="Tahoma"/>
                <w:color w:val="333333"/>
                <w:sz w:val="16"/>
                <w:szCs w:val="16"/>
              </w:rPr>
              <w:t>31(2), 417-426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E6606D" w:rsidRDefault="00534148">
            <w:pPr>
              <w:rPr>
                <w:rFonts w:cs="Arial"/>
                <w:b/>
                <w:sz w:val="16"/>
                <w:szCs w:val="16"/>
                <w:u w:val="single"/>
                <w:lang w:val="en-GB" w:eastAsia="en-GB"/>
              </w:rPr>
            </w:pPr>
            <w:proofErr w:type="spellStart"/>
            <w:r>
              <w:rPr>
                <w:rFonts w:cs="Arial"/>
                <w:sz w:val="16"/>
                <w:szCs w:val="16"/>
                <w:u w:val="single"/>
                <w:lang w:val="en-GB"/>
              </w:rPr>
              <w:t>Teodorovic</w:t>
            </w:r>
            <w:proofErr w:type="spellEnd"/>
            <w:r>
              <w:rPr>
                <w:rFonts w:cs="Arial"/>
                <w:sz w:val="16"/>
                <w:szCs w:val="16"/>
                <w:u w:val="single"/>
                <w:lang w:val="en-GB"/>
              </w:rPr>
              <w:t xml:space="preserve"> I</w:t>
            </w:r>
            <w:r>
              <w:rPr>
                <w:rFonts w:cs="Arial"/>
                <w:i/>
                <w:sz w:val="16"/>
                <w:szCs w:val="16"/>
                <w:lang w:val="en-GB"/>
              </w:rPr>
              <w:t>.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(2009): </w:t>
            </w:r>
            <w:proofErr w:type="spellStart"/>
            <w:r>
              <w:rPr>
                <w:rFonts w:cs="Arial"/>
                <w:sz w:val="16"/>
                <w:szCs w:val="16"/>
                <w:lang w:val="en-GB"/>
              </w:rPr>
              <w:t>Ecotoxicological</w:t>
            </w:r>
            <w:proofErr w:type="spellEnd"/>
            <w:r>
              <w:rPr>
                <w:rFonts w:cs="Arial"/>
                <w:sz w:val="16"/>
                <w:szCs w:val="16"/>
                <w:lang w:val="en-GB"/>
              </w:rPr>
              <w:t xml:space="preserve"> research and related legislation in Serbia. Environmental Science and Pollution Research </w:t>
            </w:r>
            <w:r>
              <w:rPr>
                <w:rFonts w:cs="Arial"/>
                <w:sz w:val="16"/>
                <w:szCs w:val="16"/>
              </w:rPr>
              <w:t>16 (Suppl 1):S123–S129</w:t>
            </w:r>
          </w:p>
        </w:tc>
        <w:tc>
          <w:tcPr>
            <w:tcW w:w="61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171316">
        <w:trPr>
          <w:trHeight w:val="227"/>
          <w:jc w:val="center"/>
        </w:trPr>
        <w:tc>
          <w:tcPr>
            <w:tcW w:w="9161" w:type="dxa"/>
            <w:gridSpan w:val="9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4721" w:type="dxa"/>
            <w:gridSpan w:val="4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440" w:type="dxa"/>
            <w:gridSpan w:val="5"/>
            <w:vAlign w:val="center"/>
          </w:tcPr>
          <w:p w:rsidR="00E6606D" w:rsidRDefault="00534148">
            <w:r>
              <w:t>Укупно 50</w:t>
            </w:r>
            <w:r>
              <w:rPr>
                <w:lang w:val="en-GB"/>
              </w:rPr>
              <w:t>9</w:t>
            </w:r>
            <w:r>
              <w:t>, Хетероцитати 313</w:t>
            </w:r>
            <w:r>
              <w:rPr>
                <w:lang w:val="en-GB"/>
              </w:rPr>
              <w:t xml:space="preserve"> (SCOPUS.  02.04.2019)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4721" w:type="dxa"/>
            <w:gridSpan w:val="4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440" w:type="dxa"/>
            <w:gridSpan w:val="5"/>
            <w:vAlign w:val="center"/>
          </w:tcPr>
          <w:p w:rsidR="00E6606D" w:rsidRDefault="00534148">
            <w:r>
              <w:t>3</w:t>
            </w:r>
            <w:r>
              <w:rPr>
                <w:lang w:val="en-GB"/>
              </w:rPr>
              <w:t>6 (SCOPUS, 02.04.2019)</w:t>
            </w:r>
          </w:p>
        </w:tc>
      </w:tr>
      <w:tr w:rsidR="00E6606D" w:rsidTr="00E37FB1">
        <w:trPr>
          <w:trHeight w:val="227"/>
          <w:jc w:val="center"/>
        </w:trPr>
        <w:tc>
          <w:tcPr>
            <w:tcW w:w="4721" w:type="dxa"/>
            <w:gridSpan w:val="4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809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2631" w:type="dxa"/>
            <w:gridSpan w:val="3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Међународни</w:t>
            </w:r>
            <w:r>
              <w:t xml:space="preserve"> 0</w:t>
            </w:r>
          </w:p>
        </w:tc>
      </w:tr>
    </w:tbl>
    <w:p w:rsidR="00E6606D" w:rsidRDefault="00E6606D"/>
    <w:sectPr w:rsidR="00E6606D" w:rsidSect="00E66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TT5235d5a9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dvP6F00">
    <w:altName w:val="Yu Gothic"/>
    <w:charset w:val="80"/>
    <w:family w:val="auto"/>
    <w:pitch w:val="default"/>
    <w:sig w:usb0="00000000" w:usb1="0000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72FB5"/>
    <w:rsid w:val="001402C9"/>
    <w:rsid w:val="00171316"/>
    <w:rsid w:val="001813F6"/>
    <w:rsid w:val="003C7D35"/>
    <w:rsid w:val="00534148"/>
    <w:rsid w:val="00641D9C"/>
    <w:rsid w:val="00765095"/>
    <w:rsid w:val="007D3C52"/>
    <w:rsid w:val="00980D6E"/>
    <w:rsid w:val="009829F2"/>
    <w:rsid w:val="00AD4489"/>
    <w:rsid w:val="00AE64E1"/>
    <w:rsid w:val="00E27650"/>
    <w:rsid w:val="00E37FB1"/>
    <w:rsid w:val="00E6606D"/>
    <w:rsid w:val="00EE5823"/>
    <w:rsid w:val="06466BDB"/>
    <w:rsid w:val="284E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0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">
    <w:name w:val="hit"/>
    <w:basedOn w:val="DefaultParagraphFont"/>
    <w:qFormat/>
    <w:rsid w:val="00E6606D"/>
  </w:style>
  <w:style w:type="paragraph" w:styleId="ListParagraph">
    <w:name w:val="List Paragraph"/>
    <w:basedOn w:val="Normal"/>
    <w:uiPriority w:val="34"/>
    <w:qFormat/>
    <w:rsid w:val="00E6606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4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9</cp:revision>
  <dcterms:created xsi:type="dcterms:W3CDTF">2019-03-26T14:23:00Z</dcterms:created>
  <dcterms:modified xsi:type="dcterms:W3CDTF">2020-05-17T17:17:00Z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