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42"/>
        <w:gridCol w:w="992"/>
        <w:gridCol w:w="202"/>
        <w:gridCol w:w="1260"/>
        <w:gridCol w:w="522"/>
        <w:gridCol w:w="3686"/>
        <w:gridCol w:w="245"/>
        <w:gridCol w:w="2023"/>
        <w:gridCol w:w="709"/>
      </w:tblGrid>
      <w:tr w:rsidR="002543CE" w:rsidRPr="002278D1" w:rsidTr="007E2EED">
        <w:trPr>
          <w:trHeight w:val="227"/>
        </w:trPr>
        <w:tc>
          <w:tcPr>
            <w:tcW w:w="3164" w:type="dxa"/>
            <w:gridSpan w:val="5"/>
            <w:vAlign w:val="center"/>
          </w:tcPr>
          <w:p w:rsidR="002543CE" w:rsidRPr="002278D1" w:rsidRDefault="002543CE" w:rsidP="00914E26">
            <w:pPr>
              <w:tabs>
                <w:tab w:val="left" w:pos="567"/>
              </w:tabs>
              <w:rPr>
                <w:sz w:val="18"/>
                <w:szCs w:val="18"/>
                <w:lang w:val="sr-Cyrl-CS"/>
              </w:rPr>
            </w:pPr>
            <w:r w:rsidRPr="002278D1">
              <w:rPr>
                <w:b/>
                <w:sz w:val="18"/>
                <w:szCs w:val="18"/>
                <w:lang w:val="sr-Cyrl-CS"/>
              </w:rPr>
              <w:t>Име и презиме</w:t>
            </w:r>
          </w:p>
        </w:tc>
        <w:tc>
          <w:tcPr>
            <w:tcW w:w="7185" w:type="dxa"/>
            <w:gridSpan w:val="5"/>
            <w:vAlign w:val="bottom"/>
          </w:tcPr>
          <w:p w:rsidR="002543CE" w:rsidRPr="00301C0F" w:rsidRDefault="00301C0F">
            <w:pPr>
              <w:rPr>
                <w:b/>
                <w:sz w:val="18"/>
                <w:szCs w:val="18"/>
              </w:rPr>
            </w:pPr>
            <w:r>
              <w:rPr>
                <w:b/>
                <w:sz w:val="18"/>
                <w:szCs w:val="18"/>
              </w:rPr>
              <w:t xml:space="preserve">Саша </w:t>
            </w:r>
            <w:r w:rsidR="002543CE" w:rsidRPr="00301C0F">
              <w:rPr>
                <w:b/>
                <w:sz w:val="18"/>
                <w:szCs w:val="18"/>
              </w:rPr>
              <w:t>Орловић</w:t>
            </w:r>
          </w:p>
        </w:tc>
      </w:tr>
      <w:tr w:rsidR="002543CE" w:rsidRPr="002278D1" w:rsidTr="007E2EED">
        <w:trPr>
          <w:trHeight w:val="227"/>
        </w:trPr>
        <w:tc>
          <w:tcPr>
            <w:tcW w:w="3164" w:type="dxa"/>
            <w:gridSpan w:val="5"/>
            <w:vAlign w:val="center"/>
          </w:tcPr>
          <w:p w:rsidR="002543CE" w:rsidRPr="002278D1" w:rsidRDefault="002543CE" w:rsidP="00914E26">
            <w:pPr>
              <w:tabs>
                <w:tab w:val="left" w:pos="567"/>
              </w:tabs>
              <w:rPr>
                <w:sz w:val="18"/>
                <w:szCs w:val="18"/>
                <w:lang w:val="sr-Cyrl-CS"/>
              </w:rPr>
            </w:pPr>
            <w:r w:rsidRPr="002278D1">
              <w:rPr>
                <w:b/>
                <w:sz w:val="18"/>
                <w:szCs w:val="18"/>
                <w:lang w:val="sr-Cyrl-CS"/>
              </w:rPr>
              <w:t>Звање</w:t>
            </w:r>
          </w:p>
        </w:tc>
        <w:tc>
          <w:tcPr>
            <w:tcW w:w="7185" w:type="dxa"/>
            <w:gridSpan w:val="5"/>
            <w:vAlign w:val="bottom"/>
          </w:tcPr>
          <w:p w:rsidR="002543CE" w:rsidRPr="002214D1" w:rsidRDefault="002214D1">
            <w:pPr>
              <w:rPr>
                <w:sz w:val="18"/>
                <w:szCs w:val="18"/>
              </w:rPr>
            </w:pPr>
            <w:r>
              <w:rPr>
                <w:sz w:val="18"/>
                <w:szCs w:val="18"/>
              </w:rPr>
              <w:t>Научни саветник</w:t>
            </w:r>
          </w:p>
        </w:tc>
      </w:tr>
      <w:tr w:rsidR="002543CE" w:rsidRPr="002278D1" w:rsidTr="007E2EED">
        <w:trPr>
          <w:trHeight w:val="227"/>
        </w:trPr>
        <w:tc>
          <w:tcPr>
            <w:tcW w:w="3164" w:type="dxa"/>
            <w:gridSpan w:val="5"/>
            <w:vAlign w:val="center"/>
          </w:tcPr>
          <w:p w:rsidR="002543CE" w:rsidRPr="002278D1" w:rsidRDefault="002543CE" w:rsidP="00914E26">
            <w:pPr>
              <w:tabs>
                <w:tab w:val="left" w:pos="567"/>
              </w:tabs>
              <w:rPr>
                <w:sz w:val="18"/>
                <w:szCs w:val="18"/>
                <w:lang w:val="sr-Cyrl-CS"/>
              </w:rPr>
            </w:pPr>
            <w:r w:rsidRPr="002278D1">
              <w:rPr>
                <w:b/>
                <w:sz w:val="18"/>
                <w:szCs w:val="18"/>
                <w:lang w:val="sr-Cyrl-CS"/>
              </w:rPr>
              <w:t>Ужа научна област</w:t>
            </w:r>
          </w:p>
        </w:tc>
        <w:tc>
          <w:tcPr>
            <w:tcW w:w="7185" w:type="dxa"/>
            <w:gridSpan w:val="5"/>
            <w:vAlign w:val="bottom"/>
          </w:tcPr>
          <w:p w:rsidR="002543CE" w:rsidRPr="002278D1" w:rsidRDefault="002543CE">
            <w:pPr>
              <w:rPr>
                <w:sz w:val="18"/>
                <w:szCs w:val="18"/>
              </w:rPr>
            </w:pPr>
            <w:r w:rsidRPr="002278D1">
              <w:rPr>
                <w:sz w:val="18"/>
                <w:szCs w:val="18"/>
              </w:rPr>
              <w:t>Шумарство</w:t>
            </w:r>
          </w:p>
        </w:tc>
      </w:tr>
      <w:tr w:rsidR="00E242F3" w:rsidRPr="002278D1" w:rsidTr="007E2EED">
        <w:trPr>
          <w:trHeight w:val="227"/>
        </w:trPr>
        <w:tc>
          <w:tcPr>
            <w:tcW w:w="1904" w:type="dxa"/>
            <w:gridSpan w:val="4"/>
            <w:vAlign w:val="center"/>
          </w:tcPr>
          <w:p w:rsidR="00E242F3" w:rsidRPr="002278D1" w:rsidRDefault="00E242F3" w:rsidP="00914E26">
            <w:pPr>
              <w:tabs>
                <w:tab w:val="left" w:pos="567"/>
              </w:tabs>
              <w:rPr>
                <w:sz w:val="18"/>
                <w:szCs w:val="18"/>
                <w:lang w:val="sr-Cyrl-CS"/>
              </w:rPr>
            </w:pPr>
            <w:r w:rsidRPr="002278D1">
              <w:rPr>
                <w:b/>
                <w:sz w:val="18"/>
                <w:szCs w:val="18"/>
                <w:lang w:val="sr-Cyrl-CS"/>
              </w:rPr>
              <w:t>Академска каријера</w:t>
            </w:r>
          </w:p>
        </w:tc>
        <w:tc>
          <w:tcPr>
            <w:tcW w:w="1260" w:type="dxa"/>
            <w:vAlign w:val="center"/>
          </w:tcPr>
          <w:p w:rsidR="00E242F3" w:rsidRPr="002278D1" w:rsidRDefault="00E242F3" w:rsidP="00914E26">
            <w:pPr>
              <w:tabs>
                <w:tab w:val="left" w:pos="567"/>
              </w:tabs>
              <w:rPr>
                <w:sz w:val="18"/>
                <w:szCs w:val="18"/>
                <w:lang w:val="sr-Cyrl-CS"/>
              </w:rPr>
            </w:pPr>
            <w:r w:rsidRPr="002278D1">
              <w:rPr>
                <w:sz w:val="18"/>
                <w:szCs w:val="18"/>
                <w:lang w:val="sr-Cyrl-CS"/>
              </w:rPr>
              <w:t xml:space="preserve">Година </w:t>
            </w:r>
          </w:p>
        </w:tc>
        <w:tc>
          <w:tcPr>
            <w:tcW w:w="4208" w:type="dxa"/>
            <w:gridSpan w:val="2"/>
            <w:vAlign w:val="center"/>
          </w:tcPr>
          <w:p w:rsidR="00E242F3" w:rsidRPr="002278D1" w:rsidRDefault="00E242F3" w:rsidP="00914E26">
            <w:pPr>
              <w:tabs>
                <w:tab w:val="left" w:pos="567"/>
              </w:tabs>
              <w:rPr>
                <w:sz w:val="18"/>
                <w:szCs w:val="18"/>
                <w:lang w:val="sr-Cyrl-CS"/>
              </w:rPr>
            </w:pPr>
            <w:r w:rsidRPr="002278D1">
              <w:rPr>
                <w:sz w:val="18"/>
                <w:szCs w:val="18"/>
                <w:lang w:val="sr-Cyrl-CS"/>
              </w:rPr>
              <w:t xml:space="preserve">Институција </w:t>
            </w:r>
          </w:p>
        </w:tc>
        <w:tc>
          <w:tcPr>
            <w:tcW w:w="2977" w:type="dxa"/>
            <w:gridSpan w:val="3"/>
            <w:vAlign w:val="center"/>
          </w:tcPr>
          <w:p w:rsidR="00E242F3" w:rsidRPr="002278D1" w:rsidRDefault="00E242F3" w:rsidP="00914E26">
            <w:pPr>
              <w:tabs>
                <w:tab w:val="left" w:pos="567"/>
              </w:tabs>
              <w:rPr>
                <w:sz w:val="18"/>
                <w:szCs w:val="18"/>
                <w:lang w:val="sr-Cyrl-CS"/>
              </w:rPr>
            </w:pPr>
            <w:r w:rsidRPr="002278D1">
              <w:rPr>
                <w:sz w:val="18"/>
                <w:szCs w:val="18"/>
                <w:lang w:val="sr-Cyrl-CS"/>
              </w:rPr>
              <w:t xml:space="preserve">Област </w:t>
            </w:r>
          </w:p>
        </w:tc>
      </w:tr>
      <w:tr w:rsidR="002543CE" w:rsidRPr="002278D1" w:rsidTr="007E2EED">
        <w:trPr>
          <w:trHeight w:val="227"/>
        </w:trPr>
        <w:tc>
          <w:tcPr>
            <w:tcW w:w="1904" w:type="dxa"/>
            <w:gridSpan w:val="4"/>
            <w:vAlign w:val="center"/>
          </w:tcPr>
          <w:p w:rsidR="002543CE" w:rsidRPr="002278D1" w:rsidRDefault="002543CE" w:rsidP="00A32614">
            <w:pPr>
              <w:tabs>
                <w:tab w:val="left" w:pos="567"/>
              </w:tabs>
              <w:rPr>
                <w:sz w:val="18"/>
                <w:szCs w:val="18"/>
                <w:lang w:val="sr-Cyrl-CS"/>
              </w:rPr>
            </w:pPr>
            <w:r w:rsidRPr="002278D1">
              <w:rPr>
                <w:sz w:val="18"/>
                <w:szCs w:val="18"/>
                <w:lang w:val="sr-Cyrl-CS"/>
              </w:rPr>
              <w:t>Избор у звање</w:t>
            </w:r>
          </w:p>
        </w:tc>
        <w:tc>
          <w:tcPr>
            <w:tcW w:w="1260" w:type="dxa"/>
            <w:vAlign w:val="bottom"/>
          </w:tcPr>
          <w:p w:rsidR="002543CE" w:rsidRPr="00E32DD8" w:rsidRDefault="00E32DD8">
            <w:pPr>
              <w:rPr>
                <w:sz w:val="18"/>
                <w:szCs w:val="18"/>
              </w:rPr>
            </w:pPr>
            <w:r>
              <w:rPr>
                <w:sz w:val="18"/>
                <w:szCs w:val="18"/>
              </w:rPr>
              <w:t>11.05.2005</w:t>
            </w:r>
          </w:p>
        </w:tc>
        <w:tc>
          <w:tcPr>
            <w:tcW w:w="4208" w:type="dxa"/>
            <w:gridSpan w:val="2"/>
            <w:vAlign w:val="bottom"/>
          </w:tcPr>
          <w:p w:rsidR="002543CE" w:rsidRPr="00E32DD8" w:rsidRDefault="00E32DD8">
            <w:pPr>
              <w:rPr>
                <w:sz w:val="18"/>
                <w:szCs w:val="18"/>
              </w:rPr>
            </w:pPr>
            <w:r>
              <w:rPr>
                <w:sz w:val="18"/>
                <w:szCs w:val="18"/>
              </w:rPr>
              <w:t>Институт за низијско шумарство и животну средину</w:t>
            </w:r>
          </w:p>
        </w:tc>
        <w:tc>
          <w:tcPr>
            <w:tcW w:w="2977" w:type="dxa"/>
            <w:gridSpan w:val="3"/>
            <w:vAlign w:val="bottom"/>
          </w:tcPr>
          <w:p w:rsidR="002543CE" w:rsidRPr="002278D1" w:rsidRDefault="002543CE">
            <w:pPr>
              <w:rPr>
                <w:sz w:val="18"/>
                <w:szCs w:val="18"/>
              </w:rPr>
            </w:pPr>
            <w:r w:rsidRPr="002278D1">
              <w:rPr>
                <w:sz w:val="18"/>
                <w:szCs w:val="18"/>
              </w:rPr>
              <w:t>Шумарство</w:t>
            </w:r>
          </w:p>
        </w:tc>
      </w:tr>
      <w:tr w:rsidR="002543CE" w:rsidRPr="002278D1" w:rsidTr="007E2EED">
        <w:trPr>
          <w:trHeight w:val="227"/>
        </w:trPr>
        <w:tc>
          <w:tcPr>
            <w:tcW w:w="1904" w:type="dxa"/>
            <w:gridSpan w:val="4"/>
            <w:vAlign w:val="center"/>
          </w:tcPr>
          <w:p w:rsidR="002543CE" w:rsidRPr="002278D1" w:rsidRDefault="002543CE" w:rsidP="00A32614">
            <w:pPr>
              <w:tabs>
                <w:tab w:val="left" w:pos="567"/>
              </w:tabs>
              <w:rPr>
                <w:sz w:val="18"/>
                <w:szCs w:val="18"/>
                <w:lang w:val="sr-Cyrl-CS"/>
              </w:rPr>
            </w:pPr>
            <w:r w:rsidRPr="002278D1">
              <w:rPr>
                <w:sz w:val="18"/>
                <w:szCs w:val="18"/>
                <w:lang w:val="sr-Cyrl-CS"/>
              </w:rPr>
              <w:t>Докторат</w:t>
            </w:r>
          </w:p>
        </w:tc>
        <w:tc>
          <w:tcPr>
            <w:tcW w:w="1260" w:type="dxa"/>
            <w:vAlign w:val="bottom"/>
          </w:tcPr>
          <w:p w:rsidR="002543CE" w:rsidRPr="002278D1" w:rsidRDefault="002543CE">
            <w:pPr>
              <w:rPr>
                <w:sz w:val="18"/>
                <w:szCs w:val="18"/>
              </w:rPr>
            </w:pPr>
            <w:r w:rsidRPr="002278D1">
              <w:rPr>
                <w:sz w:val="18"/>
                <w:szCs w:val="18"/>
              </w:rPr>
              <w:t>05.07.1996.</w:t>
            </w:r>
          </w:p>
        </w:tc>
        <w:tc>
          <w:tcPr>
            <w:tcW w:w="4208" w:type="dxa"/>
            <w:gridSpan w:val="2"/>
            <w:vAlign w:val="bottom"/>
          </w:tcPr>
          <w:p w:rsidR="002543CE" w:rsidRPr="002278D1" w:rsidRDefault="002543CE">
            <w:pPr>
              <w:rPr>
                <w:sz w:val="18"/>
                <w:szCs w:val="18"/>
              </w:rPr>
            </w:pPr>
            <w:r w:rsidRPr="002278D1">
              <w:rPr>
                <w:sz w:val="18"/>
                <w:szCs w:val="18"/>
              </w:rPr>
              <w:t>Шумарски факултет Универзитета у Београду</w:t>
            </w:r>
          </w:p>
        </w:tc>
        <w:tc>
          <w:tcPr>
            <w:tcW w:w="2977" w:type="dxa"/>
            <w:gridSpan w:val="3"/>
            <w:vAlign w:val="bottom"/>
          </w:tcPr>
          <w:p w:rsidR="002543CE" w:rsidRPr="002278D1" w:rsidRDefault="002543CE">
            <w:pPr>
              <w:rPr>
                <w:sz w:val="18"/>
                <w:szCs w:val="18"/>
              </w:rPr>
            </w:pPr>
            <w:r w:rsidRPr="002278D1">
              <w:rPr>
                <w:sz w:val="18"/>
                <w:szCs w:val="18"/>
              </w:rPr>
              <w:t>Семенарство расадничарство и пошумљавање</w:t>
            </w:r>
          </w:p>
        </w:tc>
      </w:tr>
      <w:tr w:rsidR="002543CE" w:rsidRPr="002278D1" w:rsidTr="007E2EED">
        <w:trPr>
          <w:trHeight w:val="227"/>
        </w:trPr>
        <w:tc>
          <w:tcPr>
            <w:tcW w:w="1904" w:type="dxa"/>
            <w:gridSpan w:val="4"/>
            <w:vAlign w:val="center"/>
          </w:tcPr>
          <w:p w:rsidR="002543CE" w:rsidRPr="002278D1" w:rsidRDefault="002543CE" w:rsidP="00A32614">
            <w:pPr>
              <w:tabs>
                <w:tab w:val="left" w:pos="567"/>
              </w:tabs>
              <w:rPr>
                <w:sz w:val="18"/>
                <w:szCs w:val="18"/>
                <w:lang w:val="sr-Cyrl-CS"/>
              </w:rPr>
            </w:pPr>
            <w:r w:rsidRPr="002278D1">
              <w:rPr>
                <w:sz w:val="18"/>
                <w:szCs w:val="18"/>
                <w:lang w:val="sr-Cyrl-CS"/>
              </w:rPr>
              <w:t>Диплома</w:t>
            </w:r>
          </w:p>
        </w:tc>
        <w:tc>
          <w:tcPr>
            <w:tcW w:w="1260" w:type="dxa"/>
            <w:vAlign w:val="bottom"/>
          </w:tcPr>
          <w:p w:rsidR="002543CE" w:rsidRPr="002278D1" w:rsidRDefault="002543CE">
            <w:pPr>
              <w:rPr>
                <w:sz w:val="18"/>
                <w:szCs w:val="18"/>
              </w:rPr>
            </w:pPr>
            <w:r w:rsidRPr="002278D1">
              <w:rPr>
                <w:sz w:val="18"/>
                <w:szCs w:val="18"/>
              </w:rPr>
              <w:t>15.03.1990.</w:t>
            </w:r>
          </w:p>
        </w:tc>
        <w:tc>
          <w:tcPr>
            <w:tcW w:w="4208" w:type="dxa"/>
            <w:gridSpan w:val="2"/>
            <w:vAlign w:val="bottom"/>
          </w:tcPr>
          <w:p w:rsidR="002543CE" w:rsidRPr="002278D1" w:rsidRDefault="002543CE">
            <w:pPr>
              <w:rPr>
                <w:sz w:val="18"/>
                <w:szCs w:val="18"/>
              </w:rPr>
            </w:pPr>
            <w:r w:rsidRPr="002278D1">
              <w:rPr>
                <w:sz w:val="18"/>
                <w:szCs w:val="18"/>
              </w:rPr>
              <w:t>Шумарски факултет Универзитета у Београду</w:t>
            </w:r>
          </w:p>
        </w:tc>
        <w:tc>
          <w:tcPr>
            <w:tcW w:w="2977" w:type="dxa"/>
            <w:gridSpan w:val="3"/>
            <w:vAlign w:val="bottom"/>
          </w:tcPr>
          <w:p w:rsidR="002543CE" w:rsidRPr="002278D1" w:rsidRDefault="002543CE">
            <w:pPr>
              <w:rPr>
                <w:sz w:val="18"/>
                <w:szCs w:val="18"/>
              </w:rPr>
            </w:pPr>
            <w:r w:rsidRPr="002278D1">
              <w:rPr>
                <w:sz w:val="18"/>
                <w:szCs w:val="18"/>
              </w:rPr>
              <w:t>Семенарство расадничарство и пошумљавање</w:t>
            </w:r>
          </w:p>
        </w:tc>
      </w:tr>
      <w:tr w:rsidR="00E242F3" w:rsidRPr="002278D1" w:rsidTr="000252CF">
        <w:trPr>
          <w:trHeight w:val="227"/>
        </w:trPr>
        <w:tc>
          <w:tcPr>
            <w:tcW w:w="10349" w:type="dxa"/>
            <w:gridSpan w:val="10"/>
            <w:vAlign w:val="center"/>
          </w:tcPr>
          <w:p w:rsidR="00E242F3" w:rsidRPr="002278D1" w:rsidRDefault="005867D8" w:rsidP="00914E26">
            <w:pPr>
              <w:tabs>
                <w:tab w:val="left" w:pos="567"/>
              </w:tabs>
              <w:rPr>
                <w:sz w:val="18"/>
                <w:szCs w:val="18"/>
                <w:lang w:val="sr-Cyrl-CS"/>
              </w:rPr>
            </w:pPr>
            <w:r w:rsidRPr="00A22864">
              <w:rPr>
                <w:b/>
                <w:lang w:val="sr-Cyrl-CS"/>
              </w:rPr>
              <w:t xml:space="preserve">Списак предмета </w:t>
            </w:r>
            <w:r>
              <w:rPr>
                <w:b/>
              </w:rPr>
              <w:t>које наставник држи на докторским студијама</w:t>
            </w:r>
          </w:p>
        </w:tc>
      </w:tr>
      <w:tr w:rsidR="005867D8" w:rsidRPr="002278D1" w:rsidTr="005867D8">
        <w:trPr>
          <w:trHeight w:val="227"/>
        </w:trPr>
        <w:tc>
          <w:tcPr>
            <w:tcW w:w="710" w:type="dxa"/>
            <w:gridSpan w:val="2"/>
            <w:vAlign w:val="center"/>
          </w:tcPr>
          <w:p w:rsidR="005867D8" w:rsidRPr="00646624" w:rsidRDefault="005867D8" w:rsidP="008F32A8">
            <w:pPr>
              <w:rPr>
                <w:b/>
                <w:lang w:val="sr-Cyrl-CS"/>
              </w:rPr>
            </w:pPr>
            <w:r w:rsidRPr="00646624">
              <w:rPr>
                <w:b/>
                <w:lang w:val="sr-Cyrl-CS"/>
              </w:rPr>
              <w:t>Р.Б.</w:t>
            </w:r>
          </w:p>
        </w:tc>
        <w:tc>
          <w:tcPr>
            <w:tcW w:w="992" w:type="dxa"/>
            <w:vAlign w:val="center"/>
          </w:tcPr>
          <w:p w:rsidR="005867D8" w:rsidRPr="00646624" w:rsidRDefault="005867D8" w:rsidP="008F32A8">
            <w:pPr>
              <w:rPr>
                <w:b/>
              </w:rPr>
            </w:pPr>
            <w:r w:rsidRPr="00646624">
              <w:rPr>
                <w:b/>
              </w:rPr>
              <w:t xml:space="preserve">Ознака </w:t>
            </w:r>
          </w:p>
        </w:tc>
        <w:tc>
          <w:tcPr>
            <w:tcW w:w="8647" w:type="dxa"/>
            <w:gridSpan w:val="7"/>
            <w:vAlign w:val="center"/>
          </w:tcPr>
          <w:p w:rsidR="005867D8" w:rsidRPr="00646624" w:rsidRDefault="005867D8" w:rsidP="008F32A8">
            <w:pPr>
              <w:rPr>
                <w:b/>
              </w:rPr>
            </w:pPr>
            <w:r w:rsidRPr="00646624">
              <w:rPr>
                <w:b/>
                <w:iCs/>
                <w:lang w:val="sr-Cyrl-CS"/>
              </w:rPr>
              <w:t>Назив предмета</w:t>
            </w:r>
          </w:p>
        </w:tc>
      </w:tr>
      <w:tr w:rsidR="005867D8" w:rsidRPr="002278D1" w:rsidTr="005867D8">
        <w:trPr>
          <w:trHeight w:val="227"/>
        </w:trPr>
        <w:tc>
          <w:tcPr>
            <w:tcW w:w="710" w:type="dxa"/>
            <w:gridSpan w:val="2"/>
            <w:vAlign w:val="center"/>
          </w:tcPr>
          <w:p w:rsidR="005867D8" w:rsidRPr="005867D8" w:rsidRDefault="005867D8" w:rsidP="00914E26">
            <w:pPr>
              <w:tabs>
                <w:tab w:val="left" w:pos="567"/>
              </w:tabs>
              <w:rPr>
                <w:sz w:val="18"/>
                <w:szCs w:val="18"/>
              </w:rPr>
            </w:pPr>
            <w:bookmarkStart w:id="0" w:name="_Hlk532227847"/>
            <w:r>
              <w:rPr>
                <w:sz w:val="18"/>
                <w:szCs w:val="18"/>
              </w:rPr>
              <w:t>1</w:t>
            </w:r>
          </w:p>
        </w:tc>
        <w:tc>
          <w:tcPr>
            <w:tcW w:w="992" w:type="dxa"/>
            <w:vAlign w:val="bottom"/>
          </w:tcPr>
          <w:p w:rsidR="005867D8" w:rsidRPr="002278D1" w:rsidRDefault="005867D8">
            <w:pPr>
              <w:rPr>
                <w:sz w:val="18"/>
                <w:szCs w:val="18"/>
              </w:rPr>
            </w:pPr>
          </w:p>
        </w:tc>
        <w:tc>
          <w:tcPr>
            <w:tcW w:w="8647" w:type="dxa"/>
            <w:gridSpan w:val="7"/>
            <w:vAlign w:val="bottom"/>
          </w:tcPr>
          <w:p w:rsidR="005867D8" w:rsidRPr="002278D1" w:rsidRDefault="005867D8" w:rsidP="0007296D">
            <w:pPr>
              <w:rPr>
                <w:sz w:val="18"/>
                <w:szCs w:val="18"/>
              </w:rPr>
            </w:pPr>
            <w:r w:rsidRPr="002278D1">
              <w:rPr>
                <w:sz w:val="18"/>
                <w:szCs w:val="18"/>
              </w:rPr>
              <w:t>Генетички реурси шумског дрвећа и њихово усмерено коришћење</w:t>
            </w:r>
          </w:p>
        </w:tc>
      </w:tr>
      <w:bookmarkEnd w:id="0"/>
      <w:tr w:rsidR="005867D8" w:rsidRPr="002278D1" w:rsidTr="005867D8">
        <w:trPr>
          <w:trHeight w:val="227"/>
        </w:trPr>
        <w:tc>
          <w:tcPr>
            <w:tcW w:w="710" w:type="dxa"/>
            <w:gridSpan w:val="2"/>
            <w:vAlign w:val="center"/>
          </w:tcPr>
          <w:p w:rsidR="005867D8" w:rsidRPr="005867D8" w:rsidRDefault="005867D8" w:rsidP="00914E26">
            <w:pPr>
              <w:tabs>
                <w:tab w:val="left" w:pos="567"/>
              </w:tabs>
              <w:rPr>
                <w:sz w:val="18"/>
                <w:szCs w:val="18"/>
              </w:rPr>
            </w:pPr>
            <w:r>
              <w:rPr>
                <w:sz w:val="18"/>
                <w:szCs w:val="18"/>
              </w:rPr>
              <w:t>2</w:t>
            </w:r>
          </w:p>
        </w:tc>
        <w:tc>
          <w:tcPr>
            <w:tcW w:w="992" w:type="dxa"/>
            <w:vAlign w:val="bottom"/>
          </w:tcPr>
          <w:p w:rsidR="005867D8" w:rsidRPr="002278D1" w:rsidRDefault="005867D8">
            <w:pPr>
              <w:rPr>
                <w:sz w:val="18"/>
                <w:szCs w:val="18"/>
              </w:rPr>
            </w:pPr>
          </w:p>
        </w:tc>
        <w:tc>
          <w:tcPr>
            <w:tcW w:w="8647" w:type="dxa"/>
            <w:gridSpan w:val="7"/>
            <w:vAlign w:val="bottom"/>
          </w:tcPr>
          <w:p w:rsidR="005867D8" w:rsidRPr="002278D1" w:rsidRDefault="005867D8" w:rsidP="0007296D">
            <w:pPr>
              <w:rPr>
                <w:sz w:val="18"/>
                <w:szCs w:val="18"/>
              </w:rPr>
            </w:pPr>
            <w:r w:rsidRPr="002278D1">
              <w:rPr>
                <w:sz w:val="18"/>
                <w:szCs w:val="18"/>
              </w:rPr>
              <w:t>Системи зелених површина</w:t>
            </w:r>
          </w:p>
        </w:tc>
      </w:tr>
      <w:tr w:rsidR="005867D8" w:rsidRPr="002278D1" w:rsidTr="005867D8">
        <w:trPr>
          <w:trHeight w:val="227"/>
        </w:trPr>
        <w:tc>
          <w:tcPr>
            <w:tcW w:w="710" w:type="dxa"/>
            <w:gridSpan w:val="2"/>
            <w:vAlign w:val="center"/>
          </w:tcPr>
          <w:p w:rsidR="005867D8" w:rsidRPr="005867D8" w:rsidRDefault="005867D8" w:rsidP="00914E26">
            <w:pPr>
              <w:tabs>
                <w:tab w:val="left" w:pos="567"/>
              </w:tabs>
              <w:rPr>
                <w:sz w:val="18"/>
                <w:szCs w:val="18"/>
              </w:rPr>
            </w:pPr>
            <w:r>
              <w:rPr>
                <w:sz w:val="18"/>
                <w:szCs w:val="18"/>
              </w:rPr>
              <w:t>3</w:t>
            </w:r>
          </w:p>
        </w:tc>
        <w:tc>
          <w:tcPr>
            <w:tcW w:w="992" w:type="dxa"/>
            <w:vAlign w:val="bottom"/>
          </w:tcPr>
          <w:p w:rsidR="005867D8" w:rsidRPr="002278D1" w:rsidRDefault="00645BF8">
            <w:pPr>
              <w:rPr>
                <w:sz w:val="18"/>
                <w:szCs w:val="18"/>
              </w:rPr>
            </w:pPr>
            <w:r>
              <w:rPr>
                <w:lang w:val="sr-Cyrl-CS"/>
              </w:rPr>
              <w:t>ДН</w:t>
            </w:r>
            <w:r>
              <w:t>E003</w:t>
            </w:r>
          </w:p>
        </w:tc>
        <w:tc>
          <w:tcPr>
            <w:tcW w:w="8647" w:type="dxa"/>
            <w:gridSpan w:val="7"/>
            <w:vAlign w:val="bottom"/>
          </w:tcPr>
          <w:p w:rsidR="005867D8" w:rsidRPr="005867D8" w:rsidRDefault="005867D8" w:rsidP="0007296D">
            <w:pPr>
              <w:rPr>
                <w:sz w:val="18"/>
                <w:szCs w:val="18"/>
                <w:lang w:val="en-US"/>
              </w:rPr>
            </w:pPr>
            <w:proofErr w:type="spellStart"/>
            <w:r w:rsidRPr="002278D1">
              <w:rPr>
                <w:bCs/>
                <w:sz w:val="18"/>
                <w:szCs w:val="18"/>
                <w:lang w:val="en-US"/>
              </w:rPr>
              <w:t>Шумски</w:t>
            </w:r>
            <w:proofErr w:type="spellEnd"/>
            <w:r w:rsidRPr="002278D1">
              <w:rPr>
                <w:bCs/>
                <w:sz w:val="18"/>
                <w:szCs w:val="18"/>
                <w:lang w:val="en-US"/>
              </w:rPr>
              <w:t xml:space="preserve"> </w:t>
            </w:r>
            <w:proofErr w:type="spellStart"/>
            <w:r w:rsidRPr="002278D1">
              <w:rPr>
                <w:bCs/>
                <w:sz w:val="18"/>
                <w:szCs w:val="18"/>
                <w:lang w:val="en-US"/>
              </w:rPr>
              <w:t>екосистеми</w:t>
            </w:r>
            <w:proofErr w:type="spellEnd"/>
            <w:r w:rsidRPr="002278D1">
              <w:rPr>
                <w:bCs/>
                <w:sz w:val="18"/>
                <w:szCs w:val="18"/>
                <w:lang w:val="en-US"/>
              </w:rPr>
              <w:t xml:space="preserve"> и </w:t>
            </w:r>
            <w:proofErr w:type="spellStart"/>
            <w:r w:rsidRPr="002278D1">
              <w:rPr>
                <w:bCs/>
                <w:sz w:val="18"/>
                <w:szCs w:val="18"/>
                <w:lang w:val="en-US"/>
              </w:rPr>
              <w:t>одрживи</w:t>
            </w:r>
            <w:proofErr w:type="spellEnd"/>
            <w:r w:rsidRPr="002278D1">
              <w:rPr>
                <w:bCs/>
                <w:sz w:val="18"/>
                <w:szCs w:val="18"/>
                <w:lang w:val="en-US"/>
              </w:rPr>
              <w:t xml:space="preserve"> </w:t>
            </w:r>
            <w:proofErr w:type="spellStart"/>
            <w:r w:rsidRPr="002278D1">
              <w:rPr>
                <w:bCs/>
                <w:sz w:val="18"/>
                <w:szCs w:val="18"/>
                <w:lang w:val="en-US"/>
              </w:rPr>
              <w:t>развој</w:t>
            </w:r>
            <w:proofErr w:type="spellEnd"/>
            <w:r w:rsidRPr="002278D1">
              <w:rPr>
                <w:bCs/>
                <w:sz w:val="18"/>
                <w:szCs w:val="18"/>
                <w:lang w:val="en-US"/>
              </w:rPr>
              <w:t xml:space="preserve"> </w:t>
            </w:r>
          </w:p>
        </w:tc>
      </w:tr>
      <w:tr w:rsidR="005867D8" w:rsidRPr="002278D1" w:rsidTr="000252CF">
        <w:trPr>
          <w:trHeight w:val="227"/>
        </w:trPr>
        <w:tc>
          <w:tcPr>
            <w:tcW w:w="10349" w:type="dxa"/>
            <w:gridSpan w:val="10"/>
            <w:vAlign w:val="center"/>
          </w:tcPr>
          <w:p w:rsidR="005867D8" w:rsidRPr="002278D1" w:rsidRDefault="005867D8" w:rsidP="00914E26">
            <w:pPr>
              <w:tabs>
                <w:tab w:val="left" w:pos="567"/>
              </w:tabs>
              <w:rPr>
                <w:b/>
                <w:sz w:val="18"/>
                <w:szCs w:val="18"/>
                <w:lang w:val="sr-Cyrl-CS"/>
              </w:rPr>
            </w:pPr>
            <w:r w:rsidRPr="002278D1">
              <w:rPr>
                <w:sz w:val="18"/>
                <w:szCs w:val="18"/>
                <w:lang w:val="sr-Cyrl-CS"/>
              </w:rPr>
              <w:t xml:space="preserve">Најзначајнији радови </w:t>
            </w:r>
            <w:r w:rsidRPr="002278D1">
              <w:rPr>
                <w:b/>
                <w:sz w:val="18"/>
                <w:szCs w:val="18"/>
                <w:lang w:val="sr-Cyrl-CS"/>
              </w:rPr>
              <w:t xml:space="preserve"> у складу са захтевима допунских стандарда за дато поље (минимално 10 не више од 20)</w:t>
            </w:r>
          </w:p>
        </w:tc>
        <w:bookmarkStart w:id="1" w:name="_GoBack"/>
        <w:bookmarkEnd w:id="1"/>
      </w:tr>
      <w:tr w:rsidR="005867D8" w:rsidRPr="002278D1" w:rsidTr="000252CF">
        <w:trPr>
          <w:trHeight w:val="227"/>
        </w:trPr>
        <w:tc>
          <w:tcPr>
            <w:tcW w:w="568" w:type="dxa"/>
            <w:vAlign w:val="center"/>
          </w:tcPr>
          <w:p w:rsidR="005867D8" w:rsidRPr="000252CF" w:rsidRDefault="005867D8" w:rsidP="00914E26">
            <w:pPr>
              <w:tabs>
                <w:tab w:val="left" w:pos="567"/>
              </w:tabs>
              <w:rPr>
                <w:sz w:val="18"/>
                <w:szCs w:val="18"/>
              </w:rPr>
            </w:pPr>
            <w:r>
              <w:rPr>
                <w:sz w:val="18"/>
                <w:szCs w:val="18"/>
              </w:rPr>
              <w:t>1</w:t>
            </w:r>
          </w:p>
        </w:tc>
        <w:tc>
          <w:tcPr>
            <w:tcW w:w="9072" w:type="dxa"/>
            <w:gridSpan w:val="8"/>
            <w:shd w:val="clear" w:color="auto" w:fill="auto"/>
            <w:vAlign w:val="bottom"/>
          </w:tcPr>
          <w:p w:rsidR="005867D8" w:rsidRPr="002278D1" w:rsidRDefault="005867D8" w:rsidP="007F2E4F">
            <w:pPr>
              <w:rPr>
                <w:sz w:val="18"/>
              </w:rPr>
            </w:pPr>
            <w:r w:rsidRPr="002278D1">
              <w:rPr>
                <w:sz w:val="18"/>
              </w:rPr>
              <w:t>Pšidová, E., Živčák, M., Stojnić, S.,</w:t>
            </w:r>
            <w:r w:rsidRPr="002278D1">
              <w:rPr>
                <w:b/>
                <w:sz w:val="18"/>
              </w:rPr>
              <w:t xml:space="preserve"> Orlović, S.,</w:t>
            </w:r>
            <w:r w:rsidRPr="002278D1">
              <w:rPr>
                <w:sz w:val="18"/>
              </w:rPr>
              <w:t xml:space="preserve"> Gömöry, D., Kučerová, J., Ditmarová, L., Střelcová, K., Brestič, M., Kalaji, H.M. (2018). Altitude of origin influences the responses of PSII photochemistry to heat waves in European beech (</w:t>
            </w:r>
            <w:r w:rsidRPr="002278D1">
              <w:rPr>
                <w:i/>
                <w:sz w:val="18"/>
              </w:rPr>
              <w:t>Fagus sylvatica</w:t>
            </w:r>
            <w:r w:rsidRPr="002278D1">
              <w:rPr>
                <w:sz w:val="18"/>
              </w:rPr>
              <w:t xml:space="preserve"> L.). Environmental and Experimental Botany 152, 97-106.</w:t>
            </w:r>
          </w:p>
        </w:tc>
        <w:tc>
          <w:tcPr>
            <w:tcW w:w="709" w:type="dxa"/>
            <w:vAlign w:val="center"/>
          </w:tcPr>
          <w:p w:rsidR="005867D8" w:rsidRPr="002278D1" w:rsidRDefault="005867D8" w:rsidP="00F80999">
            <w:pPr>
              <w:rPr>
                <w:sz w:val="18"/>
              </w:rPr>
            </w:pPr>
            <w:r w:rsidRPr="002278D1">
              <w:rPr>
                <w:sz w:val="18"/>
              </w:rPr>
              <w:t>М21а</w:t>
            </w:r>
          </w:p>
        </w:tc>
      </w:tr>
      <w:tr w:rsidR="005867D8" w:rsidRPr="002278D1" w:rsidTr="000252CF">
        <w:trPr>
          <w:trHeight w:val="227"/>
        </w:trPr>
        <w:tc>
          <w:tcPr>
            <w:tcW w:w="568" w:type="dxa"/>
            <w:vAlign w:val="center"/>
          </w:tcPr>
          <w:p w:rsidR="005867D8" w:rsidRPr="000252CF" w:rsidRDefault="005867D8" w:rsidP="00914E26">
            <w:pPr>
              <w:tabs>
                <w:tab w:val="left" w:pos="567"/>
              </w:tabs>
              <w:rPr>
                <w:sz w:val="18"/>
                <w:szCs w:val="18"/>
              </w:rPr>
            </w:pPr>
            <w:r>
              <w:rPr>
                <w:sz w:val="18"/>
                <w:szCs w:val="18"/>
              </w:rPr>
              <w:t>2</w:t>
            </w:r>
          </w:p>
        </w:tc>
        <w:tc>
          <w:tcPr>
            <w:tcW w:w="9072" w:type="dxa"/>
            <w:gridSpan w:val="8"/>
            <w:shd w:val="clear" w:color="auto" w:fill="auto"/>
            <w:vAlign w:val="bottom"/>
          </w:tcPr>
          <w:p w:rsidR="005867D8" w:rsidRPr="002278D1" w:rsidRDefault="005867D8" w:rsidP="007F2E4F">
            <w:pPr>
              <w:rPr>
                <w:sz w:val="18"/>
              </w:rPr>
            </w:pPr>
            <w:r w:rsidRPr="002278D1">
              <w:rPr>
                <w:sz w:val="18"/>
              </w:rPr>
              <w:t>Galovic V., Orlovic S., Pap P., Kovacevic B., Markovic M. (2010): Specificity of SSR loci for Melampsora species on poplars. Genetika, 42(3): 513-520.</w:t>
            </w:r>
          </w:p>
        </w:tc>
        <w:tc>
          <w:tcPr>
            <w:tcW w:w="709" w:type="dxa"/>
            <w:vAlign w:val="center"/>
          </w:tcPr>
          <w:p w:rsidR="005867D8" w:rsidRPr="002278D1" w:rsidRDefault="005867D8" w:rsidP="007F2E4F">
            <w:pPr>
              <w:tabs>
                <w:tab w:val="left" w:pos="567"/>
              </w:tabs>
              <w:spacing w:after="60"/>
              <w:rPr>
                <w:sz w:val="18"/>
                <w:lang w:val="en-US"/>
              </w:rPr>
            </w:pPr>
            <w:r w:rsidRPr="002278D1">
              <w:rPr>
                <w:sz w:val="18"/>
              </w:rPr>
              <w:t>M23</w:t>
            </w:r>
          </w:p>
        </w:tc>
      </w:tr>
      <w:tr w:rsidR="005867D8" w:rsidRPr="002278D1" w:rsidTr="000252CF">
        <w:trPr>
          <w:trHeight w:val="227"/>
        </w:trPr>
        <w:tc>
          <w:tcPr>
            <w:tcW w:w="568" w:type="dxa"/>
            <w:vAlign w:val="center"/>
          </w:tcPr>
          <w:p w:rsidR="005867D8" w:rsidRPr="000252CF" w:rsidRDefault="005867D8" w:rsidP="00914E26">
            <w:pPr>
              <w:tabs>
                <w:tab w:val="left" w:pos="567"/>
              </w:tabs>
              <w:rPr>
                <w:sz w:val="18"/>
                <w:szCs w:val="18"/>
              </w:rPr>
            </w:pPr>
            <w:r>
              <w:rPr>
                <w:sz w:val="18"/>
                <w:szCs w:val="18"/>
              </w:rPr>
              <w:t>3</w:t>
            </w:r>
          </w:p>
        </w:tc>
        <w:tc>
          <w:tcPr>
            <w:tcW w:w="9072" w:type="dxa"/>
            <w:gridSpan w:val="8"/>
            <w:shd w:val="clear" w:color="auto" w:fill="auto"/>
            <w:vAlign w:val="bottom"/>
          </w:tcPr>
          <w:p w:rsidR="005867D8" w:rsidRPr="002278D1" w:rsidRDefault="005867D8" w:rsidP="007F2E4F">
            <w:pPr>
              <w:rPr>
                <w:sz w:val="18"/>
              </w:rPr>
            </w:pPr>
            <w:r w:rsidRPr="002278D1">
              <w:rPr>
                <w:sz w:val="18"/>
              </w:rPr>
              <w:t>Kovacevic B., Orlovic S., Ivanovic I., Cobanovic K., Nikolic-Doric E., Katanic M., Galovic V. (2011):  Relationship among eastern cottonwood genotypes according to early rooting traits. Genetika, 43(2): 307 -320.</w:t>
            </w:r>
          </w:p>
        </w:tc>
        <w:tc>
          <w:tcPr>
            <w:tcW w:w="709" w:type="dxa"/>
            <w:vAlign w:val="center"/>
          </w:tcPr>
          <w:p w:rsidR="005867D8" w:rsidRPr="002278D1" w:rsidRDefault="005867D8" w:rsidP="007F2E4F">
            <w:pPr>
              <w:tabs>
                <w:tab w:val="left" w:pos="567"/>
              </w:tabs>
              <w:spacing w:after="60"/>
              <w:rPr>
                <w:sz w:val="18"/>
                <w:lang w:val="en-US"/>
              </w:rPr>
            </w:pPr>
            <w:r w:rsidRPr="002278D1">
              <w:rPr>
                <w:sz w:val="18"/>
              </w:rPr>
              <w:t>M23</w:t>
            </w:r>
          </w:p>
        </w:tc>
      </w:tr>
      <w:tr w:rsidR="005867D8" w:rsidRPr="002278D1" w:rsidTr="000252CF">
        <w:trPr>
          <w:trHeight w:val="227"/>
        </w:trPr>
        <w:tc>
          <w:tcPr>
            <w:tcW w:w="568" w:type="dxa"/>
            <w:vAlign w:val="center"/>
          </w:tcPr>
          <w:p w:rsidR="005867D8" w:rsidRPr="000252CF" w:rsidRDefault="005867D8" w:rsidP="00914E26">
            <w:pPr>
              <w:tabs>
                <w:tab w:val="left" w:pos="567"/>
              </w:tabs>
              <w:rPr>
                <w:sz w:val="18"/>
                <w:szCs w:val="18"/>
              </w:rPr>
            </w:pPr>
            <w:r>
              <w:rPr>
                <w:sz w:val="18"/>
                <w:szCs w:val="18"/>
              </w:rPr>
              <w:t>4</w:t>
            </w:r>
          </w:p>
        </w:tc>
        <w:tc>
          <w:tcPr>
            <w:tcW w:w="9072" w:type="dxa"/>
            <w:gridSpan w:val="8"/>
            <w:shd w:val="clear" w:color="auto" w:fill="auto"/>
            <w:vAlign w:val="bottom"/>
          </w:tcPr>
          <w:p w:rsidR="005867D8" w:rsidRPr="002278D1" w:rsidRDefault="005867D8" w:rsidP="007F2E4F">
            <w:pPr>
              <w:rPr>
                <w:sz w:val="18"/>
              </w:rPr>
            </w:pPr>
            <w:r w:rsidRPr="002278D1">
              <w:rPr>
                <w:sz w:val="18"/>
              </w:rPr>
              <w:t>Kovačević B., Miladinović D., Orlović S., Tomović, Z., Rončević, S., Poljaković-Pajnik, L. (2012): Effect of leaf treatment with cobalt chloride on adventitious rooting of Cottonwood (Populus deltoides Bartr. ex Marsh ) cuttings. Propagation of Ornamental Plants, 12(1): 52-57.</w:t>
            </w:r>
          </w:p>
        </w:tc>
        <w:tc>
          <w:tcPr>
            <w:tcW w:w="709" w:type="dxa"/>
            <w:vAlign w:val="center"/>
          </w:tcPr>
          <w:p w:rsidR="005867D8" w:rsidRPr="002278D1" w:rsidRDefault="005867D8" w:rsidP="007F2E4F">
            <w:pPr>
              <w:tabs>
                <w:tab w:val="left" w:pos="567"/>
              </w:tabs>
              <w:spacing w:after="60"/>
              <w:rPr>
                <w:sz w:val="18"/>
                <w:lang w:val="en-US"/>
              </w:rPr>
            </w:pPr>
            <w:r w:rsidRPr="002278D1">
              <w:rPr>
                <w:sz w:val="18"/>
              </w:rPr>
              <w:t>M23</w:t>
            </w:r>
          </w:p>
        </w:tc>
      </w:tr>
      <w:tr w:rsidR="005867D8" w:rsidRPr="002278D1" w:rsidTr="000252CF">
        <w:trPr>
          <w:trHeight w:val="227"/>
        </w:trPr>
        <w:tc>
          <w:tcPr>
            <w:tcW w:w="568" w:type="dxa"/>
            <w:vAlign w:val="center"/>
          </w:tcPr>
          <w:p w:rsidR="005867D8" w:rsidRPr="000252CF" w:rsidRDefault="005867D8" w:rsidP="00914E26">
            <w:pPr>
              <w:tabs>
                <w:tab w:val="left" w:pos="567"/>
              </w:tabs>
              <w:rPr>
                <w:sz w:val="18"/>
                <w:szCs w:val="18"/>
              </w:rPr>
            </w:pPr>
            <w:r>
              <w:rPr>
                <w:sz w:val="18"/>
                <w:szCs w:val="18"/>
              </w:rPr>
              <w:t>5</w:t>
            </w:r>
          </w:p>
        </w:tc>
        <w:tc>
          <w:tcPr>
            <w:tcW w:w="9072" w:type="dxa"/>
            <w:gridSpan w:val="8"/>
            <w:shd w:val="clear" w:color="auto" w:fill="auto"/>
            <w:vAlign w:val="bottom"/>
          </w:tcPr>
          <w:p w:rsidR="005867D8" w:rsidRPr="002278D1" w:rsidRDefault="005867D8" w:rsidP="007F2E4F">
            <w:pPr>
              <w:rPr>
                <w:sz w:val="18"/>
              </w:rPr>
            </w:pPr>
            <w:r w:rsidRPr="002278D1">
              <w:rPr>
                <w:sz w:val="18"/>
              </w:rPr>
              <w:t>Саша Орловић, Андреј Пилиповић, Срђан Стојнић, Саша Пекеч, Милан Матаруга, Цвјетковић Бранислав, Миљковић Данијела (2014). Variation in leaf photosynthetic traits of Wild cherry (Prunus avium L.) families in a nursery trial, Šumarski list 7-8: 381 – 387</w:t>
            </w:r>
          </w:p>
        </w:tc>
        <w:tc>
          <w:tcPr>
            <w:tcW w:w="709" w:type="dxa"/>
            <w:vAlign w:val="center"/>
          </w:tcPr>
          <w:p w:rsidR="005867D8" w:rsidRPr="002278D1" w:rsidRDefault="005867D8" w:rsidP="007F2E4F">
            <w:pPr>
              <w:tabs>
                <w:tab w:val="left" w:pos="567"/>
              </w:tabs>
              <w:spacing w:after="60"/>
              <w:rPr>
                <w:sz w:val="18"/>
                <w:lang w:val="en-US"/>
              </w:rPr>
            </w:pPr>
            <w:r w:rsidRPr="002278D1">
              <w:rPr>
                <w:sz w:val="18"/>
              </w:rPr>
              <w:t>M23</w:t>
            </w:r>
          </w:p>
        </w:tc>
      </w:tr>
      <w:tr w:rsidR="005867D8" w:rsidRPr="002278D1" w:rsidTr="000252CF">
        <w:trPr>
          <w:trHeight w:val="227"/>
        </w:trPr>
        <w:tc>
          <w:tcPr>
            <w:tcW w:w="568" w:type="dxa"/>
            <w:vAlign w:val="center"/>
          </w:tcPr>
          <w:p w:rsidR="005867D8" w:rsidRPr="000252CF" w:rsidRDefault="005867D8" w:rsidP="00914E26">
            <w:pPr>
              <w:tabs>
                <w:tab w:val="left" w:pos="567"/>
              </w:tabs>
              <w:rPr>
                <w:sz w:val="18"/>
                <w:szCs w:val="18"/>
              </w:rPr>
            </w:pPr>
            <w:r>
              <w:rPr>
                <w:sz w:val="18"/>
                <w:szCs w:val="18"/>
              </w:rPr>
              <w:t>6</w:t>
            </w:r>
          </w:p>
        </w:tc>
        <w:tc>
          <w:tcPr>
            <w:tcW w:w="9072" w:type="dxa"/>
            <w:gridSpan w:val="8"/>
            <w:shd w:val="clear" w:color="auto" w:fill="auto"/>
          </w:tcPr>
          <w:p w:rsidR="005867D8" w:rsidRPr="002278D1" w:rsidRDefault="005867D8" w:rsidP="007F2E4F">
            <w:pPr>
              <w:rPr>
                <w:sz w:val="18"/>
              </w:rPr>
            </w:pPr>
            <w:r w:rsidRPr="002278D1">
              <w:rPr>
                <w:sz w:val="18"/>
              </w:rPr>
              <w:t xml:space="preserve">Борис Поповић, Дубравка Штајнер, Ружица Ждеро Павловић, Весна Тумбас Шапоњац, Jasna Čanadanović-Brunet, Саша Орловић (2016). Water stress induces changes in polyphenol profile and antioxidant capacity in poplar plants (Populus spp.), </w:t>
            </w:r>
            <w:bookmarkStart w:id="2" w:name="OLE_LINK4"/>
            <w:bookmarkStart w:id="3" w:name="OLE_LINK5"/>
            <w:r w:rsidRPr="002278D1">
              <w:rPr>
                <w:sz w:val="18"/>
              </w:rPr>
              <w:t xml:space="preserve">Plant Physiology and Biochemistry </w:t>
            </w:r>
            <w:bookmarkEnd w:id="2"/>
            <w:bookmarkEnd w:id="3"/>
            <w:r w:rsidRPr="002278D1">
              <w:rPr>
                <w:sz w:val="18"/>
              </w:rPr>
              <w:t>105:242 – 250</w:t>
            </w:r>
          </w:p>
        </w:tc>
        <w:tc>
          <w:tcPr>
            <w:tcW w:w="709" w:type="dxa"/>
            <w:vAlign w:val="center"/>
          </w:tcPr>
          <w:p w:rsidR="005867D8" w:rsidRPr="002278D1" w:rsidRDefault="005867D8" w:rsidP="007F2E4F">
            <w:pPr>
              <w:tabs>
                <w:tab w:val="left" w:pos="567"/>
              </w:tabs>
              <w:spacing w:after="60"/>
              <w:rPr>
                <w:sz w:val="18"/>
                <w:lang w:val="en-US"/>
              </w:rPr>
            </w:pPr>
            <w:r w:rsidRPr="002278D1">
              <w:rPr>
                <w:sz w:val="18"/>
              </w:rPr>
              <w:t>M21</w:t>
            </w:r>
          </w:p>
        </w:tc>
      </w:tr>
      <w:tr w:rsidR="005867D8" w:rsidRPr="002278D1" w:rsidTr="000252CF">
        <w:trPr>
          <w:trHeight w:val="227"/>
        </w:trPr>
        <w:tc>
          <w:tcPr>
            <w:tcW w:w="568" w:type="dxa"/>
            <w:vAlign w:val="center"/>
          </w:tcPr>
          <w:p w:rsidR="005867D8" w:rsidRPr="000252CF" w:rsidRDefault="005867D8" w:rsidP="00914E26">
            <w:pPr>
              <w:tabs>
                <w:tab w:val="left" w:pos="567"/>
              </w:tabs>
              <w:rPr>
                <w:sz w:val="18"/>
                <w:szCs w:val="18"/>
              </w:rPr>
            </w:pPr>
            <w:r>
              <w:rPr>
                <w:sz w:val="18"/>
                <w:szCs w:val="18"/>
              </w:rPr>
              <w:t>7</w:t>
            </w:r>
          </w:p>
        </w:tc>
        <w:tc>
          <w:tcPr>
            <w:tcW w:w="9072" w:type="dxa"/>
            <w:gridSpan w:val="8"/>
            <w:shd w:val="clear" w:color="auto" w:fill="auto"/>
            <w:vAlign w:val="bottom"/>
          </w:tcPr>
          <w:p w:rsidR="005867D8" w:rsidRPr="002278D1" w:rsidRDefault="005867D8" w:rsidP="007F2E4F">
            <w:pPr>
              <w:rPr>
                <w:sz w:val="18"/>
              </w:rPr>
            </w:pPr>
            <w:r w:rsidRPr="002278D1">
              <w:rPr>
                <w:sz w:val="18"/>
              </w:rPr>
              <w:t>Владислава Галовић, Саша Орловић, Fladung, M.(2015). Characterization of two poplar homologs of the GRAS/SCL gene, which encodes a transcription factor putatively associated with salt tolerance, iForest – Biogeosciences and Forestry. 8: 780 - 785</w:t>
            </w:r>
          </w:p>
        </w:tc>
        <w:tc>
          <w:tcPr>
            <w:tcW w:w="709" w:type="dxa"/>
            <w:vAlign w:val="center"/>
          </w:tcPr>
          <w:p w:rsidR="005867D8" w:rsidRPr="002278D1" w:rsidRDefault="005867D8" w:rsidP="007F2E4F">
            <w:pPr>
              <w:tabs>
                <w:tab w:val="left" w:pos="567"/>
              </w:tabs>
              <w:spacing w:after="60"/>
              <w:rPr>
                <w:sz w:val="18"/>
                <w:lang w:val="en-US"/>
              </w:rPr>
            </w:pPr>
            <w:r w:rsidRPr="002278D1">
              <w:rPr>
                <w:sz w:val="18"/>
              </w:rPr>
              <w:t>M22</w:t>
            </w:r>
          </w:p>
        </w:tc>
      </w:tr>
      <w:tr w:rsidR="005867D8" w:rsidRPr="002278D1" w:rsidTr="000252CF">
        <w:trPr>
          <w:trHeight w:val="227"/>
        </w:trPr>
        <w:tc>
          <w:tcPr>
            <w:tcW w:w="568" w:type="dxa"/>
            <w:vAlign w:val="center"/>
          </w:tcPr>
          <w:p w:rsidR="005867D8" w:rsidRPr="000252CF" w:rsidRDefault="005867D8" w:rsidP="00914E26">
            <w:pPr>
              <w:tabs>
                <w:tab w:val="left" w:pos="567"/>
              </w:tabs>
              <w:rPr>
                <w:sz w:val="18"/>
                <w:szCs w:val="18"/>
              </w:rPr>
            </w:pPr>
            <w:r>
              <w:rPr>
                <w:sz w:val="18"/>
                <w:szCs w:val="18"/>
              </w:rPr>
              <w:t>8</w:t>
            </w:r>
          </w:p>
        </w:tc>
        <w:tc>
          <w:tcPr>
            <w:tcW w:w="9072" w:type="dxa"/>
            <w:gridSpan w:val="8"/>
            <w:shd w:val="clear" w:color="auto" w:fill="auto"/>
            <w:vAlign w:val="bottom"/>
          </w:tcPr>
          <w:p w:rsidR="005867D8" w:rsidRPr="002278D1" w:rsidRDefault="005867D8" w:rsidP="007F2E4F">
            <w:pPr>
              <w:rPr>
                <w:sz w:val="18"/>
              </w:rPr>
            </w:pPr>
            <w:r w:rsidRPr="002278D1">
              <w:rPr>
                <w:sz w:val="18"/>
              </w:rPr>
              <w:t>Дејан Стојановић, Levanič Tom, Братислав Матовић, Саша Орловић. (2015). Growth decrease and mortality of oak floodplain forests as a response to change of water regime and climate, European Journal of Forest Research, Springer.134: 555 - 567</w:t>
            </w:r>
          </w:p>
        </w:tc>
        <w:tc>
          <w:tcPr>
            <w:tcW w:w="709" w:type="dxa"/>
            <w:vAlign w:val="center"/>
          </w:tcPr>
          <w:p w:rsidR="005867D8" w:rsidRPr="002278D1" w:rsidRDefault="005867D8" w:rsidP="007F2E4F">
            <w:pPr>
              <w:tabs>
                <w:tab w:val="left" w:pos="567"/>
              </w:tabs>
              <w:spacing w:after="60"/>
              <w:rPr>
                <w:sz w:val="18"/>
                <w:lang w:val="en-US"/>
              </w:rPr>
            </w:pPr>
            <w:r w:rsidRPr="002278D1">
              <w:rPr>
                <w:sz w:val="18"/>
              </w:rPr>
              <w:t>M21</w:t>
            </w:r>
          </w:p>
        </w:tc>
      </w:tr>
      <w:tr w:rsidR="005867D8" w:rsidRPr="002278D1" w:rsidTr="000252CF">
        <w:trPr>
          <w:trHeight w:val="227"/>
        </w:trPr>
        <w:tc>
          <w:tcPr>
            <w:tcW w:w="568" w:type="dxa"/>
            <w:vAlign w:val="center"/>
          </w:tcPr>
          <w:p w:rsidR="005867D8" w:rsidRPr="000252CF" w:rsidRDefault="005867D8" w:rsidP="00914E26">
            <w:pPr>
              <w:tabs>
                <w:tab w:val="left" w:pos="567"/>
              </w:tabs>
              <w:rPr>
                <w:sz w:val="18"/>
                <w:szCs w:val="18"/>
              </w:rPr>
            </w:pPr>
            <w:r>
              <w:rPr>
                <w:sz w:val="18"/>
                <w:szCs w:val="18"/>
              </w:rPr>
              <w:t>9</w:t>
            </w:r>
          </w:p>
        </w:tc>
        <w:tc>
          <w:tcPr>
            <w:tcW w:w="9072" w:type="dxa"/>
            <w:gridSpan w:val="8"/>
            <w:shd w:val="clear" w:color="auto" w:fill="auto"/>
            <w:vAlign w:val="bottom"/>
          </w:tcPr>
          <w:p w:rsidR="005867D8" w:rsidRPr="002278D1" w:rsidRDefault="005867D8" w:rsidP="007F2E4F">
            <w:pPr>
              <w:rPr>
                <w:sz w:val="18"/>
              </w:rPr>
            </w:pPr>
            <w:r w:rsidRPr="002278D1">
              <w:rPr>
                <w:sz w:val="18"/>
              </w:rPr>
              <w:t>Vasic V., Orlovic S., Pap P., Kovacevic B., Drekic M., Poljakovic-Pajnik L., Galic Z. (2015):  Application of pre-emergence herbicides in poplar nursery production. J. For. Res., 26(1): 143–151</w:t>
            </w:r>
          </w:p>
        </w:tc>
        <w:tc>
          <w:tcPr>
            <w:tcW w:w="709" w:type="dxa"/>
            <w:vAlign w:val="center"/>
          </w:tcPr>
          <w:p w:rsidR="005867D8" w:rsidRPr="002278D1" w:rsidRDefault="005867D8" w:rsidP="007F2E4F">
            <w:pPr>
              <w:tabs>
                <w:tab w:val="left" w:pos="567"/>
              </w:tabs>
              <w:spacing w:after="60"/>
              <w:rPr>
                <w:sz w:val="18"/>
                <w:lang w:val="en-US"/>
              </w:rPr>
            </w:pPr>
            <w:r w:rsidRPr="002278D1">
              <w:rPr>
                <w:sz w:val="18"/>
              </w:rPr>
              <w:t>M23</w:t>
            </w:r>
          </w:p>
        </w:tc>
      </w:tr>
      <w:tr w:rsidR="005867D8" w:rsidRPr="002278D1" w:rsidTr="000252CF">
        <w:trPr>
          <w:trHeight w:val="227"/>
        </w:trPr>
        <w:tc>
          <w:tcPr>
            <w:tcW w:w="568" w:type="dxa"/>
            <w:vAlign w:val="center"/>
          </w:tcPr>
          <w:p w:rsidR="005867D8" w:rsidRPr="000252CF" w:rsidRDefault="005867D8" w:rsidP="00914E26">
            <w:pPr>
              <w:tabs>
                <w:tab w:val="left" w:pos="567"/>
              </w:tabs>
              <w:rPr>
                <w:sz w:val="18"/>
                <w:szCs w:val="18"/>
              </w:rPr>
            </w:pPr>
            <w:r>
              <w:rPr>
                <w:sz w:val="18"/>
                <w:szCs w:val="18"/>
              </w:rPr>
              <w:t>10</w:t>
            </w:r>
          </w:p>
        </w:tc>
        <w:tc>
          <w:tcPr>
            <w:tcW w:w="9072" w:type="dxa"/>
            <w:gridSpan w:val="8"/>
            <w:shd w:val="clear" w:color="auto" w:fill="auto"/>
            <w:vAlign w:val="bottom"/>
          </w:tcPr>
          <w:p w:rsidR="005867D8" w:rsidRPr="002278D1" w:rsidRDefault="005867D8" w:rsidP="007F2E4F">
            <w:pPr>
              <w:rPr>
                <w:sz w:val="18"/>
              </w:rPr>
            </w:pPr>
            <w:r w:rsidRPr="002278D1">
              <w:rPr>
                <w:sz w:val="18"/>
              </w:rPr>
              <w:t>Срђан Стојнић, Саша Орловић, Данијела Миљковић, Зоран Галић, Марко Кеберт, G. von Wuehlisch (2015). Provenance plasticity of European beech leaf traits under differing environmental conditions at two Serbian common garden sites. European Journal of Forest Research, Springer, 134, 6, pp. 1109 – 1125</w:t>
            </w:r>
          </w:p>
        </w:tc>
        <w:tc>
          <w:tcPr>
            <w:tcW w:w="709" w:type="dxa"/>
            <w:vAlign w:val="center"/>
          </w:tcPr>
          <w:p w:rsidR="005867D8" w:rsidRPr="002278D1" w:rsidRDefault="005867D8" w:rsidP="007F2E4F">
            <w:pPr>
              <w:tabs>
                <w:tab w:val="left" w:pos="567"/>
              </w:tabs>
              <w:spacing w:after="60"/>
              <w:rPr>
                <w:sz w:val="18"/>
                <w:lang w:val="en-US"/>
              </w:rPr>
            </w:pPr>
            <w:r w:rsidRPr="002278D1">
              <w:rPr>
                <w:sz w:val="18"/>
              </w:rPr>
              <w:t>M21</w:t>
            </w:r>
          </w:p>
        </w:tc>
      </w:tr>
      <w:tr w:rsidR="005867D8" w:rsidRPr="002278D1" w:rsidTr="000252CF">
        <w:trPr>
          <w:trHeight w:val="227"/>
        </w:trPr>
        <w:tc>
          <w:tcPr>
            <w:tcW w:w="568" w:type="dxa"/>
            <w:vAlign w:val="center"/>
          </w:tcPr>
          <w:p w:rsidR="005867D8" w:rsidRPr="000252CF" w:rsidRDefault="005867D8" w:rsidP="00914E26">
            <w:pPr>
              <w:tabs>
                <w:tab w:val="left" w:pos="567"/>
              </w:tabs>
              <w:rPr>
                <w:sz w:val="18"/>
                <w:szCs w:val="18"/>
              </w:rPr>
            </w:pPr>
            <w:r>
              <w:rPr>
                <w:sz w:val="18"/>
                <w:szCs w:val="18"/>
              </w:rPr>
              <w:t>11</w:t>
            </w:r>
          </w:p>
        </w:tc>
        <w:tc>
          <w:tcPr>
            <w:tcW w:w="9072" w:type="dxa"/>
            <w:gridSpan w:val="8"/>
            <w:shd w:val="clear" w:color="auto" w:fill="auto"/>
            <w:vAlign w:val="bottom"/>
          </w:tcPr>
          <w:p w:rsidR="005867D8" w:rsidRPr="002278D1" w:rsidRDefault="005867D8" w:rsidP="007F2E4F">
            <w:pPr>
              <w:rPr>
                <w:sz w:val="18"/>
              </w:rPr>
            </w:pPr>
            <w:r w:rsidRPr="002278D1">
              <w:rPr>
                <w:sz w:val="18"/>
              </w:rPr>
              <w:t>Vuksanović V., Kovačević B., Katanić M., Orlović S., Miladinović D. (2017): In vitro Evaluation of Copper Tolerance and Accumulation in Populus nigra. Arch Biol Sci. 69(4):679-687</w:t>
            </w:r>
          </w:p>
        </w:tc>
        <w:tc>
          <w:tcPr>
            <w:tcW w:w="709" w:type="dxa"/>
            <w:vAlign w:val="center"/>
          </w:tcPr>
          <w:p w:rsidR="005867D8" w:rsidRPr="002278D1" w:rsidRDefault="005867D8" w:rsidP="007F2E4F">
            <w:pPr>
              <w:tabs>
                <w:tab w:val="left" w:pos="567"/>
              </w:tabs>
              <w:spacing w:after="60"/>
              <w:rPr>
                <w:sz w:val="18"/>
                <w:lang w:val="en-US"/>
              </w:rPr>
            </w:pPr>
            <w:r w:rsidRPr="002278D1">
              <w:rPr>
                <w:sz w:val="18"/>
              </w:rPr>
              <w:t>M23</w:t>
            </w:r>
          </w:p>
        </w:tc>
      </w:tr>
      <w:tr w:rsidR="005867D8" w:rsidRPr="002278D1" w:rsidTr="000252CF">
        <w:trPr>
          <w:trHeight w:val="227"/>
        </w:trPr>
        <w:tc>
          <w:tcPr>
            <w:tcW w:w="568" w:type="dxa"/>
            <w:vAlign w:val="center"/>
          </w:tcPr>
          <w:p w:rsidR="005867D8" w:rsidRPr="000252CF" w:rsidRDefault="005867D8" w:rsidP="00914E26">
            <w:pPr>
              <w:tabs>
                <w:tab w:val="left" w:pos="567"/>
              </w:tabs>
              <w:rPr>
                <w:sz w:val="18"/>
                <w:szCs w:val="18"/>
              </w:rPr>
            </w:pPr>
            <w:r>
              <w:rPr>
                <w:sz w:val="18"/>
                <w:szCs w:val="18"/>
              </w:rPr>
              <w:t>12</w:t>
            </w:r>
          </w:p>
        </w:tc>
        <w:tc>
          <w:tcPr>
            <w:tcW w:w="9072" w:type="dxa"/>
            <w:gridSpan w:val="8"/>
            <w:shd w:val="clear" w:color="auto" w:fill="auto"/>
            <w:vAlign w:val="bottom"/>
          </w:tcPr>
          <w:p w:rsidR="005867D8" w:rsidRPr="002278D1" w:rsidRDefault="005867D8" w:rsidP="007F2E4F">
            <w:pPr>
              <w:rPr>
                <w:sz w:val="18"/>
              </w:rPr>
            </w:pPr>
            <w:r w:rsidRPr="002278D1">
              <w:rPr>
                <w:sz w:val="18"/>
              </w:rPr>
              <w:t>Eva Pšidová, Marek Živčák, Srđan Stojnić, Saša Orlović, Dušan Gömöry, Jana Kučerová, Ľubica Ditmarová, Katarína Střelcová, Marián Brestič, Hazem M. Kalaji (2018). Altitude of origin influences the responses of PSII photochemistry to heat waves in European beech (Fagus sylvatica L.). Environmental and Experimental Botany vol.152:97-106</w:t>
            </w:r>
          </w:p>
        </w:tc>
        <w:tc>
          <w:tcPr>
            <w:tcW w:w="709" w:type="dxa"/>
            <w:vAlign w:val="center"/>
          </w:tcPr>
          <w:p w:rsidR="005867D8" w:rsidRPr="002278D1" w:rsidRDefault="005867D8" w:rsidP="007F2E4F">
            <w:pPr>
              <w:tabs>
                <w:tab w:val="left" w:pos="567"/>
              </w:tabs>
              <w:spacing w:after="60"/>
              <w:rPr>
                <w:sz w:val="18"/>
                <w:lang w:val="en-US"/>
              </w:rPr>
            </w:pPr>
            <w:r w:rsidRPr="002278D1">
              <w:rPr>
                <w:sz w:val="18"/>
              </w:rPr>
              <w:t>M21a</w:t>
            </w:r>
          </w:p>
        </w:tc>
      </w:tr>
      <w:tr w:rsidR="005867D8" w:rsidRPr="002278D1" w:rsidTr="000252CF">
        <w:trPr>
          <w:trHeight w:val="227"/>
        </w:trPr>
        <w:tc>
          <w:tcPr>
            <w:tcW w:w="10349" w:type="dxa"/>
            <w:gridSpan w:val="10"/>
            <w:vAlign w:val="center"/>
          </w:tcPr>
          <w:p w:rsidR="005867D8" w:rsidRPr="002278D1" w:rsidRDefault="005867D8" w:rsidP="00914E26">
            <w:pPr>
              <w:tabs>
                <w:tab w:val="left" w:pos="567"/>
              </w:tabs>
              <w:rPr>
                <w:sz w:val="18"/>
                <w:szCs w:val="18"/>
                <w:lang w:val="sr-Cyrl-CS"/>
              </w:rPr>
            </w:pPr>
            <w:r w:rsidRPr="002278D1">
              <w:rPr>
                <w:b/>
                <w:sz w:val="18"/>
                <w:szCs w:val="18"/>
                <w:lang w:val="sr-Cyrl-CS"/>
              </w:rPr>
              <w:t>Збирни подаци научне активност наставника</w:t>
            </w:r>
          </w:p>
        </w:tc>
      </w:tr>
      <w:tr w:rsidR="005867D8" w:rsidRPr="002278D1" w:rsidTr="005867D8">
        <w:trPr>
          <w:trHeight w:val="227"/>
        </w:trPr>
        <w:tc>
          <w:tcPr>
            <w:tcW w:w="3686" w:type="dxa"/>
            <w:gridSpan w:val="6"/>
            <w:vAlign w:val="center"/>
          </w:tcPr>
          <w:p w:rsidR="005867D8" w:rsidRPr="002278D1" w:rsidRDefault="005867D8" w:rsidP="00914E26">
            <w:pPr>
              <w:tabs>
                <w:tab w:val="left" w:pos="567"/>
              </w:tabs>
              <w:rPr>
                <w:sz w:val="18"/>
                <w:szCs w:val="18"/>
                <w:lang w:val="sr-Cyrl-CS"/>
              </w:rPr>
            </w:pPr>
            <w:r w:rsidRPr="002278D1">
              <w:rPr>
                <w:sz w:val="18"/>
                <w:szCs w:val="18"/>
                <w:lang w:val="sr-Cyrl-CS"/>
              </w:rPr>
              <w:t>Укупан број цитата, без аутоцитата</w:t>
            </w:r>
          </w:p>
        </w:tc>
        <w:tc>
          <w:tcPr>
            <w:tcW w:w="6663" w:type="dxa"/>
            <w:gridSpan w:val="4"/>
            <w:vAlign w:val="bottom"/>
          </w:tcPr>
          <w:p w:rsidR="005867D8" w:rsidRPr="002278D1" w:rsidRDefault="005867D8" w:rsidP="005867D8">
            <w:pPr>
              <w:rPr>
                <w:sz w:val="18"/>
                <w:szCs w:val="18"/>
              </w:rPr>
            </w:pPr>
            <w:r w:rsidRPr="002278D1">
              <w:rPr>
                <w:sz w:val="18"/>
                <w:szCs w:val="18"/>
              </w:rPr>
              <w:t>26</w:t>
            </w:r>
          </w:p>
        </w:tc>
      </w:tr>
      <w:tr w:rsidR="005867D8" w:rsidRPr="002278D1" w:rsidTr="005867D8">
        <w:trPr>
          <w:trHeight w:val="227"/>
        </w:trPr>
        <w:tc>
          <w:tcPr>
            <w:tcW w:w="3686" w:type="dxa"/>
            <w:gridSpan w:val="6"/>
            <w:vAlign w:val="center"/>
          </w:tcPr>
          <w:p w:rsidR="005867D8" w:rsidRPr="002278D1" w:rsidRDefault="005867D8" w:rsidP="00914E26">
            <w:pPr>
              <w:tabs>
                <w:tab w:val="left" w:pos="567"/>
              </w:tabs>
              <w:rPr>
                <w:sz w:val="18"/>
                <w:szCs w:val="18"/>
                <w:lang w:val="sr-Cyrl-CS"/>
              </w:rPr>
            </w:pPr>
            <w:r w:rsidRPr="002278D1">
              <w:rPr>
                <w:sz w:val="18"/>
                <w:szCs w:val="18"/>
                <w:lang w:val="sr-Cyrl-CS"/>
              </w:rPr>
              <w:t>Укупан број радова са SCI (или SSCI) листе</w:t>
            </w:r>
          </w:p>
        </w:tc>
        <w:tc>
          <w:tcPr>
            <w:tcW w:w="6663" w:type="dxa"/>
            <w:gridSpan w:val="4"/>
            <w:vAlign w:val="bottom"/>
          </w:tcPr>
          <w:p w:rsidR="005867D8" w:rsidRPr="002278D1" w:rsidRDefault="005867D8" w:rsidP="005867D8">
            <w:pPr>
              <w:rPr>
                <w:sz w:val="18"/>
                <w:szCs w:val="18"/>
              </w:rPr>
            </w:pPr>
            <w:r w:rsidRPr="002278D1">
              <w:rPr>
                <w:sz w:val="18"/>
                <w:szCs w:val="18"/>
              </w:rPr>
              <w:t>68</w:t>
            </w:r>
          </w:p>
        </w:tc>
      </w:tr>
      <w:tr w:rsidR="005867D8" w:rsidRPr="002278D1" w:rsidTr="005867D8">
        <w:trPr>
          <w:trHeight w:val="227"/>
        </w:trPr>
        <w:tc>
          <w:tcPr>
            <w:tcW w:w="3686" w:type="dxa"/>
            <w:gridSpan w:val="6"/>
            <w:vAlign w:val="center"/>
          </w:tcPr>
          <w:p w:rsidR="005867D8" w:rsidRPr="002278D1" w:rsidRDefault="005867D8" w:rsidP="00914E26">
            <w:pPr>
              <w:tabs>
                <w:tab w:val="left" w:pos="567"/>
              </w:tabs>
              <w:rPr>
                <w:sz w:val="18"/>
                <w:szCs w:val="18"/>
                <w:lang w:val="sr-Cyrl-CS"/>
              </w:rPr>
            </w:pPr>
            <w:r w:rsidRPr="002278D1">
              <w:rPr>
                <w:sz w:val="18"/>
                <w:szCs w:val="18"/>
                <w:lang w:val="sr-Cyrl-CS"/>
              </w:rPr>
              <w:t>Тренутно учешће на пројектима</w:t>
            </w:r>
          </w:p>
        </w:tc>
        <w:tc>
          <w:tcPr>
            <w:tcW w:w="3931" w:type="dxa"/>
            <w:gridSpan w:val="2"/>
            <w:vAlign w:val="center"/>
          </w:tcPr>
          <w:p w:rsidR="005867D8" w:rsidRPr="002278D1" w:rsidRDefault="005867D8" w:rsidP="002543CE">
            <w:pPr>
              <w:tabs>
                <w:tab w:val="left" w:pos="567"/>
              </w:tabs>
              <w:rPr>
                <w:sz w:val="18"/>
                <w:szCs w:val="18"/>
              </w:rPr>
            </w:pPr>
            <w:r w:rsidRPr="002278D1">
              <w:rPr>
                <w:sz w:val="18"/>
                <w:szCs w:val="18"/>
                <w:lang w:val="sr-Cyrl-CS"/>
              </w:rPr>
              <w:t>Домаћи</w:t>
            </w:r>
            <w:r w:rsidRPr="002278D1">
              <w:rPr>
                <w:sz w:val="18"/>
                <w:szCs w:val="18"/>
              </w:rPr>
              <w:t xml:space="preserve"> 4</w:t>
            </w:r>
          </w:p>
        </w:tc>
        <w:tc>
          <w:tcPr>
            <w:tcW w:w="2732" w:type="dxa"/>
            <w:gridSpan w:val="2"/>
            <w:vAlign w:val="center"/>
          </w:tcPr>
          <w:p w:rsidR="005867D8" w:rsidRPr="002278D1" w:rsidRDefault="005867D8" w:rsidP="00914E26">
            <w:pPr>
              <w:tabs>
                <w:tab w:val="left" w:pos="567"/>
              </w:tabs>
              <w:rPr>
                <w:sz w:val="18"/>
                <w:szCs w:val="18"/>
                <w:lang w:val="en-US"/>
              </w:rPr>
            </w:pPr>
            <w:r w:rsidRPr="002278D1">
              <w:rPr>
                <w:sz w:val="18"/>
                <w:szCs w:val="18"/>
                <w:lang w:val="sr-Cyrl-CS"/>
              </w:rPr>
              <w:t>Међународни</w:t>
            </w:r>
            <w:r w:rsidRPr="002278D1">
              <w:rPr>
                <w:sz w:val="18"/>
                <w:szCs w:val="18"/>
                <w:lang w:val="en-US"/>
              </w:rPr>
              <w:t xml:space="preserve"> 3</w:t>
            </w:r>
          </w:p>
        </w:tc>
      </w:tr>
      <w:tr w:rsidR="005867D8" w:rsidRPr="002278D1" w:rsidTr="005867D8">
        <w:trPr>
          <w:trHeight w:val="227"/>
        </w:trPr>
        <w:tc>
          <w:tcPr>
            <w:tcW w:w="3686" w:type="dxa"/>
            <w:gridSpan w:val="6"/>
            <w:vAlign w:val="center"/>
          </w:tcPr>
          <w:p w:rsidR="005867D8" w:rsidRPr="002278D1" w:rsidRDefault="005867D8" w:rsidP="00914E26">
            <w:pPr>
              <w:tabs>
                <w:tab w:val="left" w:pos="567"/>
              </w:tabs>
              <w:rPr>
                <w:sz w:val="18"/>
                <w:szCs w:val="18"/>
                <w:lang w:val="sr-Cyrl-CS"/>
              </w:rPr>
            </w:pPr>
            <w:r w:rsidRPr="002278D1">
              <w:rPr>
                <w:sz w:val="18"/>
                <w:szCs w:val="18"/>
                <w:lang w:val="sr-Cyrl-CS"/>
              </w:rPr>
              <w:t xml:space="preserve">Усавршавања </w:t>
            </w:r>
          </w:p>
        </w:tc>
        <w:tc>
          <w:tcPr>
            <w:tcW w:w="6663" w:type="dxa"/>
            <w:gridSpan w:val="4"/>
            <w:vAlign w:val="bottom"/>
          </w:tcPr>
          <w:p w:rsidR="005867D8" w:rsidRPr="002278D1" w:rsidRDefault="005867D8">
            <w:pPr>
              <w:rPr>
                <w:sz w:val="18"/>
                <w:szCs w:val="18"/>
              </w:rPr>
            </w:pPr>
            <w:r w:rsidRPr="002278D1">
              <w:rPr>
                <w:sz w:val="18"/>
                <w:szCs w:val="18"/>
              </w:rPr>
              <w:t>Реализовао је више краћих боравака у институцијама у Великој Британији, Француској, Холандији, Белгији, Шведској, Данској, Немачкој, Португалу, Шпанији, Грчкој, Мађарској, Бугарској, Словачкој, Исланду, Чилеу, Аргентини, САД-у, Канади, Кини, Италији, Аустрији, Финској, Швајцарској, Чешкој, Луксембургу, Хрватској, Словенији, Шпанији, Индији, Литванији, Румунији и Тајланду.</w:t>
            </w:r>
          </w:p>
        </w:tc>
      </w:tr>
      <w:tr w:rsidR="005867D8" w:rsidRPr="002278D1" w:rsidTr="000252CF">
        <w:trPr>
          <w:trHeight w:val="227"/>
        </w:trPr>
        <w:tc>
          <w:tcPr>
            <w:tcW w:w="10349" w:type="dxa"/>
            <w:gridSpan w:val="10"/>
            <w:vAlign w:val="center"/>
          </w:tcPr>
          <w:p w:rsidR="005867D8" w:rsidRPr="002278D1" w:rsidRDefault="005867D8" w:rsidP="00914E26">
            <w:pPr>
              <w:tabs>
                <w:tab w:val="left" w:pos="567"/>
              </w:tabs>
              <w:rPr>
                <w:sz w:val="18"/>
                <w:szCs w:val="18"/>
                <w:lang w:val="en-US"/>
              </w:rPr>
            </w:pPr>
            <w:r w:rsidRPr="002278D1">
              <w:rPr>
                <w:sz w:val="18"/>
                <w:szCs w:val="18"/>
                <w:lang w:val="sr-Cyrl-CS"/>
              </w:rPr>
              <w:t>Други подаци које сматрате релевантним</w:t>
            </w:r>
            <w:r w:rsidRPr="002278D1">
              <w:rPr>
                <w:sz w:val="18"/>
                <w:szCs w:val="18"/>
                <w:lang w:val="en-US"/>
              </w:rPr>
              <w:t xml:space="preserve"> </w:t>
            </w:r>
          </w:p>
          <w:tbl>
            <w:tblPr>
              <w:tblW w:w="9708" w:type="dxa"/>
              <w:tblLayout w:type="fixed"/>
              <w:tblLook w:val="04A0"/>
            </w:tblPr>
            <w:tblGrid>
              <w:gridCol w:w="9708"/>
            </w:tblGrid>
            <w:tr w:rsidR="005867D8" w:rsidRPr="002278D1" w:rsidTr="002543CE">
              <w:trPr>
                <w:trHeight w:val="242"/>
              </w:trPr>
              <w:tc>
                <w:tcPr>
                  <w:tcW w:w="9708" w:type="dxa"/>
                  <w:shd w:val="clear" w:color="auto" w:fill="auto"/>
                  <w:noWrap/>
                  <w:vAlign w:val="bottom"/>
                  <w:hideMark/>
                </w:tcPr>
                <w:p w:rsidR="005867D8" w:rsidRPr="002278D1" w:rsidRDefault="005867D8" w:rsidP="002543CE">
                  <w:pPr>
                    <w:widowControl/>
                    <w:autoSpaceDE/>
                    <w:autoSpaceDN/>
                    <w:adjustRightInd/>
                    <w:rPr>
                      <w:sz w:val="18"/>
                      <w:szCs w:val="18"/>
                      <w:lang w:val="en-US" w:eastAsia="en-US"/>
                    </w:rPr>
                  </w:pPr>
                  <w:r w:rsidRPr="002278D1">
                    <w:rPr>
                      <w:sz w:val="18"/>
                      <w:szCs w:val="18"/>
                      <w:lang w:val="en-US" w:eastAsia="en-US"/>
                    </w:rPr>
                    <w:t xml:space="preserve"> </w:t>
                  </w:r>
                  <w:proofErr w:type="spellStart"/>
                  <w:r w:rsidRPr="002278D1">
                    <w:rPr>
                      <w:sz w:val="18"/>
                      <w:szCs w:val="18"/>
                      <w:lang w:val="en-US" w:eastAsia="en-US"/>
                    </w:rPr>
                    <w:t>Ко-уредник</w:t>
                  </w:r>
                  <w:proofErr w:type="spellEnd"/>
                  <w:r w:rsidRPr="002278D1">
                    <w:rPr>
                      <w:sz w:val="18"/>
                      <w:szCs w:val="18"/>
                      <w:lang w:val="en-US" w:eastAsia="en-US"/>
                    </w:rPr>
                    <w:t xml:space="preserve"> </w:t>
                  </w:r>
                  <w:proofErr w:type="spellStart"/>
                  <w:r w:rsidRPr="002278D1">
                    <w:rPr>
                      <w:sz w:val="18"/>
                      <w:szCs w:val="18"/>
                      <w:lang w:val="en-US" w:eastAsia="en-US"/>
                    </w:rPr>
                    <w:t>специјалног</w:t>
                  </w:r>
                  <w:proofErr w:type="spellEnd"/>
                  <w:r w:rsidRPr="002278D1">
                    <w:rPr>
                      <w:sz w:val="18"/>
                      <w:szCs w:val="18"/>
                      <w:lang w:val="en-US" w:eastAsia="en-US"/>
                    </w:rPr>
                    <w:t xml:space="preserve"> </w:t>
                  </w:r>
                  <w:proofErr w:type="spellStart"/>
                  <w:r w:rsidRPr="002278D1">
                    <w:rPr>
                      <w:sz w:val="18"/>
                      <w:szCs w:val="18"/>
                      <w:lang w:val="en-US" w:eastAsia="en-US"/>
                    </w:rPr>
                    <w:t>издања</w:t>
                  </w:r>
                  <w:proofErr w:type="spellEnd"/>
                  <w:r w:rsidRPr="002278D1">
                    <w:rPr>
                      <w:sz w:val="18"/>
                      <w:szCs w:val="18"/>
                      <w:lang w:val="en-US" w:eastAsia="en-US"/>
                    </w:rPr>
                    <w:t xml:space="preserve"> </w:t>
                  </w:r>
                  <w:proofErr w:type="spellStart"/>
                  <w:r w:rsidRPr="002278D1">
                    <w:rPr>
                      <w:sz w:val="18"/>
                      <w:szCs w:val="18"/>
                      <w:lang w:val="en-US" w:eastAsia="en-US"/>
                    </w:rPr>
                    <w:t>часописа</w:t>
                  </w:r>
                  <w:proofErr w:type="spellEnd"/>
                  <w:r w:rsidRPr="002278D1">
                    <w:rPr>
                      <w:sz w:val="18"/>
                      <w:szCs w:val="18"/>
                      <w:lang w:val="en-US" w:eastAsia="en-US"/>
                    </w:rPr>
                    <w:t xml:space="preserve"> </w:t>
                  </w:r>
                  <w:proofErr w:type="spellStart"/>
                  <w:r w:rsidRPr="002278D1">
                    <w:rPr>
                      <w:sz w:val="18"/>
                      <w:szCs w:val="18"/>
                      <w:lang w:val="en-US" w:eastAsia="en-US"/>
                    </w:rPr>
                    <w:t>Friontiers</w:t>
                  </w:r>
                  <w:proofErr w:type="spellEnd"/>
                  <w:r w:rsidRPr="002278D1">
                    <w:rPr>
                      <w:sz w:val="18"/>
                      <w:szCs w:val="18"/>
                      <w:lang w:val="en-US" w:eastAsia="en-US"/>
                    </w:rPr>
                    <w:t xml:space="preserve"> Plant Sciences, 2018.г. (</w:t>
                  </w:r>
                  <w:proofErr w:type="spellStart"/>
                  <w:r w:rsidRPr="002278D1">
                    <w:rPr>
                      <w:sz w:val="18"/>
                      <w:szCs w:val="18"/>
                      <w:lang w:val="en-US" w:eastAsia="en-US"/>
                    </w:rPr>
                    <w:t>категорија</w:t>
                  </w:r>
                  <w:proofErr w:type="spellEnd"/>
                  <w:r w:rsidRPr="002278D1">
                    <w:rPr>
                      <w:sz w:val="18"/>
                      <w:szCs w:val="18"/>
                      <w:lang w:val="en-US" w:eastAsia="en-US"/>
                    </w:rPr>
                    <w:t xml:space="preserve"> M21a)</w:t>
                  </w:r>
                </w:p>
              </w:tc>
            </w:tr>
            <w:tr w:rsidR="005867D8" w:rsidRPr="002278D1" w:rsidTr="002543CE">
              <w:trPr>
                <w:trHeight w:val="242"/>
              </w:trPr>
              <w:tc>
                <w:tcPr>
                  <w:tcW w:w="9708" w:type="dxa"/>
                  <w:shd w:val="clear" w:color="auto" w:fill="auto"/>
                  <w:noWrap/>
                  <w:vAlign w:val="bottom"/>
                  <w:hideMark/>
                </w:tcPr>
                <w:p w:rsidR="005867D8" w:rsidRPr="002278D1" w:rsidRDefault="005867D8" w:rsidP="002543CE">
                  <w:pPr>
                    <w:widowControl/>
                    <w:autoSpaceDE/>
                    <w:autoSpaceDN/>
                    <w:adjustRightInd/>
                    <w:rPr>
                      <w:sz w:val="18"/>
                      <w:szCs w:val="18"/>
                      <w:lang w:val="en-US" w:eastAsia="en-US"/>
                    </w:rPr>
                  </w:pPr>
                  <w:proofErr w:type="spellStart"/>
                  <w:r w:rsidRPr="002278D1">
                    <w:rPr>
                      <w:sz w:val="18"/>
                      <w:szCs w:val="18"/>
                      <w:lang w:val="en-US" w:eastAsia="en-US"/>
                    </w:rPr>
                    <w:t>Члан</w:t>
                  </w:r>
                  <w:proofErr w:type="spellEnd"/>
                  <w:r w:rsidRPr="002278D1">
                    <w:rPr>
                      <w:sz w:val="18"/>
                      <w:szCs w:val="18"/>
                      <w:lang w:val="en-US" w:eastAsia="en-US"/>
                    </w:rPr>
                    <w:t xml:space="preserve"> </w:t>
                  </w:r>
                  <w:proofErr w:type="spellStart"/>
                  <w:r w:rsidRPr="002278D1">
                    <w:rPr>
                      <w:sz w:val="18"/>
                      <w:szCs w:val="18"/>
                      <w:lang w:val="en-US" w:eastAsia="en-US"/>
                    </w:rPr>
                    <w:t>Уређивачког</w:t>
                  </w:r>
                  <w:proofErr w:type="spellEnd"/>
                  <w:r w:rsidRPr="002278D1">
                    <w:rPr>
                      <w:sz w:val="18"/>
                      <w:szCs w:val="18"/>
                      <w:lang w:val="en-US" w:eastAsia="en-US"/>
                    </w:rPr>
                    <w:t xml:space="preserve"> </w:t>
                  </w:r>
                  <w:proofErr w:type="spellStart"/>
                  <w:r w:rsidRPr="002278D1">
                    <w:rPr>
                      <w:sz w:val="18"/>
                      <w:szCs w:val="18"/>
                      <w:lang w:val="en-US" w:eastAsia="en-US"/>
                    </w:rPr>
                    <w:t>одбора</w:t>
                  </w:r>
                  <w:proofErr w:type="spellEnd"/>
                  <w:r w:rsidRPr="002278D1">
                    <w:rPr>
                      <w:sz w:val="18"/>
                      <w:szCs w:val="18"/>
                      <w:lang w:val="en-US" w:eastAsia="en-US"/>
                    </w:rPr>
                    <w:t xml:space="preserve"> (Editorial </w:t>
                  </w:r>
                  <w:proofErr w:type="spellStart"/>
                  <w:r w:rsidRPr="002278D1">
                    <w:rPr>
                      <w:sz w:val="18"/>
                      <w:szCs w:val="18"/>
                      <w:lang w:val="en-US" w:eastAsia="en-US"/>
                    </w:rPr>
                    <w:t>Boаrd</w:t>
                  </w:r>
                  <w:proofErr w:type="spellEnd"/>
                  <w:r w:rsidRPr="002278D1">
                    <w:rPr>
                      <w:sz w:val="18"/>
                      <w:szCs w:val="18"/>
                      <w:lang w:val="en-US" w:eastAsia="en-US"/>
                    </w:rPr>
                    <w:t xml:space="preserve">) </w:t>
                  </w:r>
                  <w:proofErr w:type="spellStart"/>
                  <w:r w:rsidRPr="002278D1">
                    <w:rPr>
                      <w:sz w:val="18"/>
                      <w:szCs w:val="18"/>
                      <w:lang w:val="en-US" w:eastAsia="en-US"/>
                    </w:rPr>
                    <w:t>часописа</w:t>
                  </w:r>
                  <w:proofErr w:type="spellEnd"/>
                  <w:r w:rsidRPr="002278D1">
                    <w:rPr>
                      <w:sz w:val="18"/>
                      <w:szCs w:val="18"/>
                      <w:lang w:val="en-US" w:eastAsia="en-US"/>
                    </w:rPr>
                    <w:t xml:space="preserve"> Forestry (</w:t>
                  </w:r>
                  <w:proofErr w:type="spellStart"/>
                  <w:r w:rsidRPr="002278D1">
                    <w:rPr>
                      <w:sz w:val="18"/>
                      <w:szCs w:val="18"/>
                      <w:lang w:val="en-US" w:eastAsia="en-US"/>
                    </w:rPr>
                    <w:t>издавач</w:t>
                  </w:r>
                  <w:proofErr w:type="spellEnd"/>
                  <w:r w:rsidRPr="002278D1">
                    <w:rPr>
                      <w:sz w:val="18"/>
                      <w:szCs w:val="18"/>
                      <w:lang w:val="en-US" w:eastAsia="en-US"/>
                    </w:rPr>
                    <w:t>: Oxford University Press) (</w:t>
                  </w:r>
                  <w:proofErr w:type="spellStart"/>
                  <w:r w:rsidRPr="002278D1">
                    <w:rPr>
                      <w:sz w:val="18"/>
                      <w:szCs w:val="18"/>
                      <w:lang w:val="en-US" w:eastAsia="en-US"/>
                    </w:rPr>
                    <w:t>категорија</w:t>
                  </w:r>
                  <w:proofErr w:type="spellEnd"/>
                  <w:r w:rsidRPr="002278D1">
                    <w:rPr>
                      <w:sz w:val="18"/>
                      <w:szCs w:val="18"/>
                      <w:lang w:val="en-US" w:eastAsia="en-US"/>
                    </w:rPr>
                    <w:t xml:space="preserve"> M21, </w:t>
                  </w:r>
                  <w:proofErr w:type="spellStart"/>
                  <w:r w:rsidRPr="002278D1">
                    <w:rPr>
                      <w:sz w:val="18"/>
                      <w:szCs w:val="18"/>
                      <w:lang w:val="en-US" w:eastAsia="en-US"/>
                    </w:rPr>
                    <w:t>врхунски</w:t>
                  </w:r>
                  <w:proofErr w:type="spellEnd"/>
                  <w:r w:rsidRPr="002278D1">
                    <w:rPr>
                      <w:sz w:val="18"/>
                      <w:szCs w:val="18"/>
                      <w:lang w:val="en-US" w:eastAsia="en-US"/>
                    </w:rPr>
                    <w:t xml:space="preserve"> </w:t>
                  </w:r>
                  <w:proofErr w:type="spellStart"/>
                  <w:r w:rsidRPr="002278D1">
                    <w:rPr>
                      <w:sz w:val="18"/>
                      <w:szCs w:val="18"/>
                      <w:lang w:val="en-US" w:eastAsia="en-US"/>
                    </w:rPr>
                    <w:t>међународни</w:t>
                  </w:r>
                  <w:proofErr w:type="spellEnd"/>
                  <w:r w:rsidRPr="002278D1">
                    <w:rPr>
                      <w:sz w:val="18"/>
                      <w:szCs w:val="18"/>
                      <w:lang w:val="en-US" w:eastAsia="en-US"/>
                    </w:rPr>
                    <w:t xml:space="preserve"> </w:t>
                  </w:r>
                  <w:proofErr w:type="spellStart"/>
                  <w:r w:rsidRPr="002278D1">
                    <w:rPr>
                      <w:sz w:val="18"/>
                      <w:szCs w:val="18"/>
                      <w:lang w:val="en-US" w:eastAsia="en-US"/>
                    </w:rPr>
                    <w:t>часопис</w:t>
                  </w:r>
                  <w:proofErr w:type="spellEnd"/>
                  <w:proofErr w:type="gramStart"/>
                  <w:r w:rsidRPr="002278D1">
                    <w:rPr>
                      <w:sz w:val="18"/>
                      <w:szCs w:val="18"/>
                      <w:lang w:val="en-US" w:eastAsia="en-US"/>
                    </w:rPr>
                    <w:t>)(</w:t>
                  </w:r>
                  <w:proofErr w:type="gramEnd"/>
                  <w:r w:rsidRPr="002278D1">
                    <w:rPr>
                      <w:sz w:val="18"/>
                      <w:szCs w:val="18"/>
                      <w:lang w:val="en-US" w:eastAsia="en-US"/>
                    </w:rPr>
                    <w:t xml:space="preserve">2018-  ). </w:t>
                  </w:r>
                </w:p>
              </w:tc>
            </w:tr>
          </w:tbl>
          <w:p w:rsidR="005867D8" w:rsidRPr="002278D1" w:rsidRDefault="005867D8" w:rsidP="00914E26">
            <w:pPr>
              <w:tabs>
                <w:tab w:val="left" w:pos="567"/>
              </w:tabs>
              <w:rPr>
                <w:sz w:val="18"/>
                <w:szCs w:val="18"/>
                <w:lang w:val="en-US"/>
              </w:rPr>
            </w:pPr>
          </w:p>
        </w:tc>
      </w:tr>
    </w:tbl>
    <w:p w:rsidR="009D2623" w:rsidRPr="002278D1" w:rsidRDefault="007E2EED"/>
    <w:sectPr w:rsidR="009D2623" w:rsidRPr="002278D1" w:rsidSect="00DB6A93">
      <w:pgSz w:w="11907" w:h="16839" w:code="9"/>
      <w:pgMar w:top="851"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00"/>
  <w:displayHorizontalDrawingGridEvery w:val="2"/>
  <w:characterSpacingControl w:val="doNotCompress"/>
  <w:compat/>
  <w:rsids>
    <w:rsidRoot w:val="00E242F3"/>
    <w:rsid w:val="000252CF"/>
    <w:rsid w:val="00114491"/>
    <w:rsid w:val="00140FF7"/>
    <w:rsid w:val="0016319D"/>
    <w:rsid w:val="001838AD"/>
    <w:rsid w:val="001919F7"/>
    <w:rsid w:val="002214D1"/>
    <w:rsid w:val="002278D1"/>
    <w:rsid w:val="002543CE"/>
    <w:rsid w:val="00301C0F"/>
    <w:rsid w:val="0036082A"/>
    <w:rsid w:val="00387216"/>
    <w:rsid w:val="003F57FD"/>
    <w:rsid w:val="00491DCC"/>
    <w:rsid w:val="0051647A"/>
    <w:rsid w:val="0054088C"/>
    <w:rsid w:val="005867D8"/>
    <w:rsid w:val="00626A9E"/>
    <w:rsid w:val="00645BF8"/>
    <w:rsid w:val="00675BBA"/>
    <w:rsid w:val="00727963"/>
    <w:rsid w:val="00770C48"/>
    <w:rsid w:val="007E2EED"/>
    <w:rsid w:val="007F11D8"/>
    <w:rsid w:val="00841A53"/>
    <w:rsid w:val="00850375"/>
    <w:rsid w:val="008C70F4"/>
    <w:rsid w:val="008D1CBE"/>
    <w:rsid w:val="00A32614"/>
    <w:rsid w:val="00A4619C"/>
    <w:rsid w:val="00A6444F"/>
    <w:rsid w:val="00B01F99"/>
    <w:rsid w:val="00B13436"/>
    <w:rsid w:val="00B24590"/>
    <w:rsid w:val="00B26D03"/>
    <w:rsid w:val="00B30241"/>
    <w:rsid w:val="00D7324D"/>
    <w:rsid w:val="00DB313E"/>
    <w:rsid w:val="00DB6A93"/>
    <w:rsid w:val="00DD3240"/>
    <w:rsid w:val="00E242F3"/>
    <w:rsid w:val="00E32DD8"/>
    <w:rsid w:val="00EA4900"/>
    <w:rsid w:val="00F05869"/>
    <w:rsid w:val="00F809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2F3"/>
    <w:pPr>
      <w:widowControl w:val="0"/>
      <w:autoSpaceDE w:val="0"/>
      <w:autoSpaceDN w:val="0"/>
      <w:adjustRightInd w:val="0"/>
      <w:spacing w:after="0" w:line="240" w:lineRule="auto"/>
    </w:pPr>
    <w:rPr>
      <w:rFonts w:ascii="Times New Roman" w:eastAsia="Times New Roman"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2F3"/>
    <w:pPr>
      <w:widowControl w:val="0"/>
      <w:autoSpaceDE w:val="0"/>
      <w:autoSpaceDN w:val="0"/>
      <w:adjustRightInd w:val="0"/>
      <w:spacing w:after="0" w:line="240" w:lineRule="auto"/>
    </w:pPr>
    <w:rPr>
      <w:rFonts w:ascii="Times New Roman" w:eastAsia="Times New Roman"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64984170">
      <w:bodyDiv w:val="1"/>
      <w:marLeft w:val="0"/>
      <w:marRight w:val="0"/>
      <w:marTop w:val="0"/>
      <w:marBottom w:val="0"/>
      <w:divBdr>
        <w:top w:val="none" w:sz="0" w:space="0" w:color="auto"/>
        <w:left w:val="none" w:sz="0" w:space="0" w:color="auto"/>
        <w:bottom w:val="none" w:sz="0" w:space="0" w:color="auto"/>
        <w:right w:val="none" w:sz="0" w:space="0" w:color="auto"/>
      </w:divBdr>
    </w:div>
    <w:div w:id="423963482">
      <w:bodyDiv w:val="1"/>
      <w:marLeft w:val="0"/>
      <w:marRight w:val="0"/>
      <w:marTop w:val="0"/>
      <w:marBottom w:val="0"/>
      <w:divBdr>
        <w:top w:val="none" w:sz="0" w:space="0" w:color="auto"/>
        <w:left w:val="none" w:sz="0" w:space="0" w:color="auto"/>
        <w:bottom w:val="none" w:sz="0" w:space="0" w:color="auto"/>
        <w:right w:val="none" w:sz="0" w:space="0" w:color="auto"/>
      </w:divBdr>
    </w:div>
    <w:div w:id="436868762">
      <w:bodyDiv w:val="1"/>
      <w:marLeft w:val="0"/>
      <w:marRight w:val="0"/>
      <w:marTop w:val="0"/>
      <w:marBottom w:val="0"/>
      <w:divBdr>
        <w:top w:val="none" w:sz="0" w:space="0" w:color="auto"/>
        <w:left w:val="none" w:sz="0" w:space="0" w:color="auto"/>
        <w:bottom w:val="none" w:sz="0" w:space="0" w:color="auto"/>
        <w:right w:val="none" w:sz="0" w:space="0" w:color="auto"/>
      </w:divBdr>
    </w:div>
    <w:div w:id="174942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701</Words>
  <Characters>4001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8</cp:revision>
  <dcterms:created xsi:type="dcterms:W3CDTF">2019-10-25T11:56:00Z</dcterms:created>
  <dcterms:modified xsi:type="dcterms:W3CDTF">2020-05-04T11:11:00Z</dcterms:modified>
</cp:coreProperties>
</file>