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"/>
        <w:gridCol w:w="963"/>
        <w:gridCol w:w="142"/>
        <w:gridCol w:w="709"/>
        <w:gridCol w:w="2187"/>
        <w:gridCol w:w="485"/>
        <w:gridCol w:w="630"/>
        <w:gridCol w:w="1530"/>
        <w:gridCol w:w="810"/>
        <w:gridCol w:w="990"/>
        <w:gridCol w:w="1217"/>
      </w:tblGrid>
      <w:tr w:rsidR="0043607C" w:rsidRPr="005C2574" w:rsidTr="005C2574">
        <w:trPr>
          <w:trHeight w:val="242"/>
        </w:trPr>
        <w:tc>
          <w:tcPr>
            <w:tcW w:w="5083" w:type="dxa"/>
            <w:gridSpan w:val="7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177" w:type="dxa"/>
            <w:gridSpan w:val="5"/>
            <w:vAlign w:val="center"/>
          </w:tcPr>
          <w:p w:rsidR="0043607C" w:rsidRPr="005C2574" w:rsidRDefault="0078201D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Тијана Прибићевић</w:t>
            </w:r>
          </w:p>
        </w:tc>
      </w:tr>
      <w:tr w:rsidR="0043607C" w:rsidRPr="005C2574" w:rsidTr="005C2574">
        <w:trPr>
          <w:trHeight w:val="215"/>
        </w:trPr>
        <w:tc>
          <w:tcPr>
            <w:tcW w:w="5083" w:type="dxa"/>
            <w:gridSpan w:val="7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177" w:type="dxa"/>
            <w:gridSpan w:val="5"/>
            <w:vAlign w:val="center"/>
          </w:tcPr>
          <w:p w:rsidR="0043607C" w:rsidRPr="005C2574" w:rsidRDefault="0078201D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</w:tr>
      <w:tr w:rsidR="0043607C" w:rsidRPr="005C2574" w:rsidTr="005C2574">
        <w:trPr>
          <w:trHeight w:val="188"/>
        </w:trPr>
        <w:tc>
          <w:tcPr>
            <w:tcW w:w="5083" w:type="dxa"/>
            <w:gridSpan w:val="7"/>
            <w:vAlign w:val="center"/>
          </w:tcPr>
          <w:p w:rsidR="0043607C" w:rsidRPr="005C2574" w:rsidRDefault="00906CAE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</w:t>
            </w:r>
            <w:r w:rsidR="0043607C"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којој наставник ради са пуним </w:t>
            </w:r>
            <w:proofErr w:type="spellStart"/>
            <w:r w:rsidR="0043607C" w:rsidRPr="005C2574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="0043607C"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607C" w:rsidRPr="005C2574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="0043607C"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43607C"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177" w:type="dxa"/>
            <w:gridSpan w:val="5"/>
            <w:vAlign w:val="center"/>
          </w:tcPr>
          <w:p w:rsidR="00983F74" w:rsidRPr="005C2574" w:rsidRDefault="000C3682" w:rsidP="00983F74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18"/>
                <w:szCs w:val="18"/>
              </w:rPr>
            </w:pPr>
            <w:proofErr w:type="spellStart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>Природно-математички</w:t>
            </w:r>
            <w:proofErr w:type="spellEnd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>факултет</w:t>
            </w:r>
            <w:proofErr w:type="spellEnd"/>
            <w:r w:rsidR="00F66877" w:rsidRPr="005C2574">
              <w:rPr>
                <w:rFonts w:ascii="Times New Roman" w:eastAsia="TimesNewRoman" w:hAnsi="Times New Roman"/>
                <w:sz w:val="18"/>
                <w:szCs w:val="18"/>
                <w:lang w:val="sr-Cyrl-RS"/>
              </w:rPr>
              <w:t>,</w:t>
            </w:r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>Универзитет</w:t>
            </w:r>
            <w:proofErr w:type="spellEnd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 у </w:t>
            </w:r>
            <w:proofErr w:type="spellStart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>Новом</w:t>
            </w:r>
            <w:proofErr w:type="spellEnd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>Саду</w:t>
            </w:r>
            <w:proofErr w:type="spellEnd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, </w:t>
            </w:r>
          </w:p>
          <w:p w:rsidR="0043607C" w:rsidRPr="005C2574" w:rsidRDefault="0078201D" w:rsidP="00983F74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18"/>
                <w:szCs w:val="18"/>
              </w:rPr>
            </w:pPr>
            <w:proofErr w:type="spellStart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>од</w:t>
            </w:r>
            <w:proofErr w:type="spellEnd"/>
            <w:r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 201</w:t>
            </w:r>
            <w:r w:rsidR="00983F74" w:rsidRPr="005C2574">
              <w:rPr>
                <w:rFonts w:ascii="Times New Roman" w:eastAsia="TimesNewRoman" w:hAnsi="Times New Roman"/>
                <w:sz w:val="18"/>
                <w:szCs w:val="18"/>
                <w:lang w:val="sr-Cyrl-RS"/>
              </w:rPr>
              <w:t>5</w:t>
            </w:r>
            <w:r w:rsidR="000C3682" w:rsidRPr="005C2574">
              <w:rPr>
                <w:rFonts w:ascii="Times New Roman" w:eastAsia="TimesNewRoman" w:hAnsi="Times New Roman"/>
                <w:sz w:val="18"/>
                <w:szCs w:val="18"/>
              </w:rPr>
              <w:t xml:space="preserve">. </w:t>
            </w:r>
            <w:proofErr w:type="spellStart"/>
            <w:r w:rsidR="000C3682" w:rsidRPr="005C2574">
              <w:rPr>
                <w:rFonts w:ascii="Times New Roman" w:eastAsia="TimesNewRoman" w:hAnsi="Times New Roman"/>
                <w:sz w:val="18"/>
                <w:szCs w:val="18"/>
              </w:rPr>
              <w:t>године</w:t>
            </w:r>
            <w:proofErr w:type="spellEnd"/>
          </w:p>
        </w:tc>
      </w:tr>
      <w:tr w:rsidR="0043607C" w:rsidRPr="005C2574" w:rsidTr="005C2574">
        <w:trPr>
          <w:trHeight w:val="197"/>
        </w:trPr>
        <w:tc>
          <w:tcPr>
            <w:tcW w:w="5083" w:type="dxa"/>
            <w:gridSpan w:val="7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177" w:type="dxa"/>
            <w:gridSpan w:val="5"/>
            <w:vAlign w:val="center"/>
          </w:tcPr>
          <w:p w:rsidR="0043607C" w:rsidRPr="005C2574" w:rsidRDefault="00983F74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5C2574" w:rsidTr="005C2574">
        <w:trPr>
          <w:trHeight w:val="70"/>
        </w:trPr>
        <w:tc>
          <w:tcPr>
            <w:tcW w:w="10260" w:type="dxa"/>
            <w:gridSpan w:val="12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43607C" w:rsidRPr="005C2574" w:rsidTr="005C2574">
        <w:trPr>
          <w:trHeight w:val="233"/>
        </w:trPr>
        <w:tc>
          <w:tcPr>
            <w:tcW w:w="1560" w:type="dxa"/>
            <w:gridSpan w:val="3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  <w:bookmarkStart w:id="0" w:name="_GoBack"/>
        <w:bookmarkEnd w:id="0"/>
      </w:tr>
      <w:tr w:rsidR="0043607C" w:rsidRPr="005C2574" w:rsidTr="005C2574">
        <w:trPr>
          <w:trHeight w:val="233"/>
        </w:trPr>
        <w:tc>
          <w:tcPr>
            <w:tcW w:w="1560" w:type="dxa"/>
            <w:gridSpan w:val="3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43607C" w:rsidRPr="005C2574" w:rsidRDefault="0078201D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2021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3607C" w:rsidRPr="005C2574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5C2574" w:rsidTr="005C2574">
        <w:trPr>
          <w:trHeight w:val="107"/>
        </w:trPr>
        <w:tc>
          <w:tcPr>
            <w:tcW w:w="1560" w:type="dxa"/>
            <w:gridSpan w:val="3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43607C" w:rsidRPr="005C2574" w:rsidRDefault="0078201D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2017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3607C" w:rsidRPr="005C2574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5C2574" w:rsidTr="005C2574">
        <w:trPr>
          <w:trHeight w:val="143"/>
        </w:trPr>
        <w:tc>
          <w:tcPr>
            <w:tcW w:w="1560" w:type="dxa"/>
            <w:gridSpan w:val="3"/>
            <w:vAlign w:val="center"/>
          </w:tcPr>
          <w:p w:rsidR="0043607C" w:rsidRPr="005C2574" w:rsidRDefault="0078201D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851" w:type="dxa"/>
            <w:gridSpan w:val="2"/>
            <w:vAlign w:val="center"/>
          </w:tcPr>
          <w:p w:rsidR="0043607C" w:rsidRPr="005C2574" w:rsidRDefault="0078201D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2012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3607C" w:rsidRPr="005C2574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5C2574" w:rsidTr="005C2574">
        <w:trPr>
          <w:trHeight w:val="80"/>
        </w:trPr>
        <w:tc>
          <w:tcPr>
            <w:tcW w:w="1560" w:type="dxa"/>
            <w:gridSpan w:val="3"/>
            <w:vAlign w:val="center"/>
          </w:tcPr>
          <w:p w:rsidR="0043607C" w:rsidRPr="005C257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5C2574" w:rsidRDefault="0078201D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2010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3607C" w:rsidRPr="005C2574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43607C" w:rsidRPr="005C2574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43607C" w:rsidRPr="005C2574" w:rsidTr="005C2574">
        <w:trPr>
          <w:trHeight w:val="233"/>
        </w:trPr>
        <w:tc>
          <w:tcPr>
            <w:tcW w:w="10260" w:type="dxa"/>
            <w:gridSpan w:val="12"/>
            <w:vAlign w:val="center"/>
          </w:tcPr>
          <w:p w:rsidR="0043607C" w:rsidRPr="005C2574" w:rsidRDefault="0043607C" w:rsidP="00061E7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43607C" w:rsidRPr="005C2574" w:rsidTr="005C2574">
        <w:trPr>
          <w:trHeight w:val="822"/>
        </w:trPr>
        <w:tc>
          <w:tcPr>
            <w:tcW w:w="568" w:type="dxa"/>
            <w:shd w:val="clear" w:color="auto" w:fill="auto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5C25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43607C" w:rsidRPr="005C257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43607C" w:rsidRPr="005C2574" w:rsidRDefault="0043607C" w:rsidP="004761AE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5C2574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5C2574" w:rsidRPr="005C2574" w:rsidTr="005C2574">
        <w:trPr>
          <w:trHeight w:val="98"/>
        </w:trPr>
        <w:tc>
          <w:tcPr>
            <w:tcW w:w="568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ИБ31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C2574" w:rsidRPr="005C2574" w:rsidRDefault="005C2574" w:rsidP="005C2574">
            <w:pPr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5C2574" w:rsidRPr="005C2574" w:rsidTr="005C2574">
        <w:trPr>
          <w:trHeight w:val="98"/>
        </w:trPr>
        <w:tc>
          <w:tcPr>
            <w:tcW w:w="568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ИБ34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Школска пракса 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стручна пракса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5C2574" w:rsidRPr="005C2574" w:rsidTr="005C2574">
        <w:trPr>
          <w:trHeight w:val="152"/>
        </w:trPr>
        <w:tc>
          <w:tcPr>
            <w:tcW w:w="568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ИБ36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Увођење у делатност наставника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5C2574" w:rsidRPr="005C2574" w:rsidTr="005C2574">
        <w:trPr>
          <w:trHeight w:val="152"/>
        </w:trPr>
        <w:tc>
          <w:tcPr>
            <w:tcW w:w="568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ОПБ005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Школски огледи у настави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C2574" w:rsidRPr="005C2574" w:rsidRDefault="005C2574" w:rsidP="005C2574">
            <w:pPr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5C2574" w:rsidRPr="005C2574" w:rsidTr="005C2574">
        <w:trPr>
          <w:trHeight w:val="152"/>
        </w:trPr>
        <w:tc>
          <w:tcPr>
            <w:tcW w:w="568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ИБ45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Ваннаставне активности у настави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C2574" w:rsidRPr="005C2574" w:rsidRDefault="005C2574" w:rsidP="005C2574">
            <w:pPr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5C2574" w:rsidRPr="005C2574" w:rsidTr="005C2574">
        <w:trPr>
          <w:trHeight w:val="512"/>
        </w:trPr>
        <w:tc>
          <w:tcPr>
            <w:tcW w:w="568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ИБ35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Историја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5C2574" w:rsidRPr="005C2574" w:rsidTr="005C2574">
        <w:trPr>
          <w:trHeight w:val="125"/>
        </w:trPr>
        <w:tc>
          <w:tcPr>
            <w:tcW w:w="10260" w:type="dxa"/>
            <w:gridSpan w:val="1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eastAsia="Cambria" w:hAnsi="Times New Roman"/>
                <w:b/>
                <w:bCs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Županec, V.,</w:t>
            </w:r>
            <w:r w:rsidRPr="005C2574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Radulović, B., 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Pribićević, T.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Miljanović, T., Zdravković, V. (2018). Determination of Educational Efficiency and Students' Involvement in the Flipped Biology Classroom in Primary School. </w:t>
            </w:r>
            <w:r w:rsidRPr="005C2574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>Jounal of Baltic Science Education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 w:rsidRPr="005C2574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 xml:space="preserve">17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(1), 162-176.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Odadžić, V., Miljanović, T., Mandić, D., 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Pribićević, T.,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Županec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, V.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). Effectiveness of The Use of Educational Software in Teaching Biology. </w:t>
            </w:r>
            <w:r w:rsidRPr="005C2574">
              <w:rPr>
                <w:rFonts w:ascii="Times New Roman" w:hAnsi="Times New Roman"/>
                <w:i/>
                <w:sz w:val="18"/>
                <w:szCs w:val="18"/>
                <w:lang w:val="sr-Latn-RS"/>
              </w:rPr>
              <w:t>Croatian Journal of Education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19 (1): 11-43.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Pribićević, T.,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Miljanović, T., Odadžić, V., Mandić, D., Županec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, V.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(2017). The Efficiency of Interactive Computer–Assisted Biology Teaching in Grammar Schools. </w:t>
            </w:r>
            <w:r w:rsidRPr="005C2574">
              <w:rPr>
                <w:rFonts w:ascii="Times New Roman" w:hAnsi="Times New Roman"/>
                <w:i/>
                <w:sz w:val="18"/>
                <w:szCs w:val="18"/>
                <w:lang w:val="sr-Latn-RS"/>
              </w:rPr>
              <w:t>Croatian Journal of Education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.19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(3): 803-839</w:t>
            </w:r>
            <w:r w:rsidRPr="005C2574">
              <w:rPr>
                <w:rStyle w:val="alt-edited"/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eastAsia="Cambria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Đokić-Ostojić, A., Miljanović, T., 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Pribićević, T.,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Parezanović Ristić, S., Topuzović, M. (2014). Biology Contents in Curricula of compulsory Education in Serbia, Finland and England. </w:t>
            </w:r>
            <w:r w:rsidRPr="005C2574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 xml:space="preserve">Arch. Biol. Sci.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66 (2), 859-866.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Niklanović, M., Miljanović, T., 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Pribićević, T.,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(2014). А Model of interdisciplinary Teaching of Ecology in the High School. </w:t>
            </w:r>
            <w:r w:rsidRPr="005C2574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 xml:space="preserve">Arch. Biol. Sci.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66(3), 1291-1297.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Županec, V., Miljanović, T. </w:t>
            </w:r>
            <w:r w:rsidRPr="005C2574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Pribićević, T</w:t>
            </w:r>
            <w:r w:rsidRPr="005C257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sr-Latn-RS"/>
              </w:rPr>
              <w:t xml:space="preserve">. </w:t>
            </w:r>
            <w:r w:rsidRPr="005C2574">
              <w:rPr>
                <w:rFonts w:ascii="Times New Roman" w:hAnsi="Times New Roman"/>
                <w:iCs/>
                <w:sz w:val="18"/>
                <w:szCs w:val="18"/>
                <w:lang w:val="sr-Latn-RS"/>
              </w:rPr>
              <w:t>(2013).</w:t>
            </w:r>
            <w:r w:rsidRPr="005C2574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 xml:space="preserve">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Effectiveness of computer-assisted learning in biology teaching in primary schools in Serbia. </w:t>
            </w:r>
            <w:r w:rsidRPr="005C2574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 xml:space="preserve">Зборник Института за педагошка истраживања,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2, 422–444.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Županec, V., Zeljković, M., 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Pribićević, T.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, Miljanović; T. (2020). T</w:t>
            </w:r>
            <w:r w:rsidRPr="005C2574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 xml:space="preserve">he significance and application of programmed instruction in biology in a primary school. In: </w:t>
            </w:r>
            <w:r w:rsidRPr="005C2574">
              <w:rPr>
                <w:rFonts w:ascii="Times New Roman" w:hAnsi="Times New Roman"/>
                <w:bCs/>
                <w:i/>
                <w:sz w:val="18"/>
                <w:szCs w:val="18"/>
                <w:lang w:val="sr-Latn-RS"/>
              </w:rPr>
              <w:t xml:space="preserve">Proceedings of INTED2020 Conference, </w:t>
            </w:r>
            <w:r w:rsidRPr="005C2574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2-4. March 2020, Valencia, Spain, pp. 3535-3542.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5C2574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 xml:space="preserve">Županec, V., </w:t>
            </w:r>
            <w:r w:rsidRPr="005C2574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Pribićević, T.</w:t>
            </w:r>
            <w:r w:rsidRPr="005C2574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 xml:space="preserve">, Miljanović, T., Milenković, D., Simin, Đ. (2020). Application of Project Based Learning in Biology Teaching in a Primary School – an Example of Good Practice. In: </w:t>
            </w:r>
            <w:r w:rsidRPr="005C2574">
              <w:rPr>
                <w:rFonts w:ascii="Times New Roman" w:hAnsi="Times New Roman"/>
                <w:bCs/>
                <w:i/>
                <w:sz w:val="18"/>
                <w:szCs w:val="18"/>
                <w:lang w:val="sr-Latn-RS"/>
              </w:rPr>
              <w:t xml:space="preserve">Proceedings of INTED2020 Conference, </w:t>
            </w:r>
            <w:r w:rsidRPr="005C2574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2-4. March 2020, Valencia, Spain, pp. 3582-3589.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76" w:lineRule="auto"/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Županec, V., 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Pribićević, T.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Miljanović, T., Radulović, B. (2017). Teachers’ Attitudes Toward Computer-assisted Instruction in Science Teaching, </w:t>
            </w:r>
            <w:r w:rsidRPr="005C2574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Proceedings of EDULEARN17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, 3rd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-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5th July, 2017, Barcelona,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Spain, 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pp. 7381-7388.</w:t>
            </w:r>
          </w:p>
        </w:tc>
      </w:tr>
      <w:tr w:rsidR="005C2574" w:rsidRPr="005C2574" w:rsidTr="005C2574">
        <w:trPr>
          <w:trHeight w:val="125"/>
        </w:trPr>
        <w:tc>
          <w:tcPr>
            <w:tcW w:w="597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RS"/>
              </w:rPr>
              <w:t>10.</w:t>
            </w:r>
          </w:p>
        </w:tc>
        <w:tc>
          <w:tcPr>
            <w:tcW w:w="9663" w:type="dxa"/>
            <w:gridSpan w:val="10"/>
            <w:vAlign w:val="center"/>
          </w:tcPr>
          <w:p w:rsidR="005C2574" w:rsidRPr="005C2574" w:rsidRDefault="005C2574" w:rsidP="005C2574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Županec, V., Radulović, B.,</w:t>
            </w: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Pribićević, T.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, Miljanović, T. (2017). Teachers' Attitudes on the Implementation of Information and Communication Technologies in Biology Teaching,</w:t>
            </w:r>
            <w:r w:rsidRPr="005C2574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Proceedings of EDULEARN17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, 3rd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-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5th July, 2017, Barcelona, 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Spain, </w:t>
            </w: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pp. 7389-7395</w:t>
            </w:r>
            <w:r w:rsidRPr="005C2574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5C2574" w:rsidRPr="005C2574" w:rsidTr="005C2574">
        <w:trPr>
          <w:trHeight w:val="70"/>
        </w:trPr>
        <w:tc>
          <w:tcPr>
            <w:tcW w:w="10260" w:type="dxa"/>
            <w:gridSpan w:val="1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C2574" w:rsidRPr="005C2574" w:rsidTr="005C2574">
        <w:trPr>
          <w:trHeight w:val="70"/>
        </w:trPr>
        <w:tc>
          <w:tcPr>
            <w:tcW w:w="4598" w:type="dxa"/>
            <w:gridSpan w:val="6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662" w:type="dxa"/>
            <w:gridSpan w:val="6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5C2574" w:rsidRPr="005C2574" w:rsidTr="005C2574">
        <w:trPr>
          <w:trHeight w:val="70"/>
        </w:trPr>
        <w:tc>
          <w:tcPr>
            <w:tcW w:w="4598" w:type="dxa"/>
            <w:gridSpan w:val="6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662" w:type="dxa"/>
            <w:gridSpan w:val="6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</w:rPr>
            </w:pPr>
            <w:r w:rsidRPr="005C257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5C2574" w:rsidRPr="005C2574" w:rsidTr="005C2574">
        <w:trPr>
          <w:trHeight w:val="70"/>
        </w:trPr>
        <w:tc>
          <w:tcPr>
            <w:tcW w:w="4598" w:type="dxa"/>
            <w:gridSpan w:val="6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115" w:type="dxa"/>
            <w:gridSpan w:val="2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Домаћи 1</w:t>
            </w:r>
          </w:p>
        </w:tc>
        <w:tc>
          <w:tcPr>
            <w:tcW w:w="4547" w:type="dxa"/>
            <w:gridSpan w:val="4"/>
            <w:vAlign w:val="center"/>
          </w:tcPr>
          <w:p w:rsidR="005C2574" w:rsidRPr="005C2574" w:rsidRDefault="005C2574" w:rsidP="005C2574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2574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  0</w:t>
            </w:r>
          </w:p>
        </w:tc>
      </w:tr>
    </w:tbl>
    <w:p w:rsidR="00E14461" w:rsidRPr="0078201D" w:rsidRDefault="00E14461" w:rsidP="002A374A">
      <w:pPr>
        <w:rPr>
          <w:lang w:val="sr-Latn-RS"/>
        </w:rPr>
      </w:pPr>
    </w:p>
    <w:sectPr w:rsidR="00E14461" w:rsidRPr="0078201D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61E73"/>
    <w:rsid w:val="00074BEA"/>
    <w:rsid w:val="000C3682"/>
    <w:rsid w:val="00160C21"/>
    <w:rsid w:val="001B6D92"/>
    <w:rsid w:val="001C3E2B"/>
    <w:rsid w:val="00211C95"/>
    <w:rsid w:val="002A374A"/>
    <w:rsid w:val="003B0097"/>
    <w:rsid w:val="003F67D2"/>
    <w:rsid w:val="0043607C"/>
    <w:rsid w:val="00441C9D"/>
    <w:rsid w:val="004761AE"/>
    <w:rsid w:val="004A2824"/>
    <w:rsid w:val="004E1125"/>
    <w:rsid w:val="005079E1"/>
    <w:rsid w:val="00520955"/>
    <w:rsid w:val="00543458"/>
    <w:rsid w:val="00546472"/>
    <w:rsid w:val="005C2574"/>
    <w:rsid w:val="0064054C"/>
    <w:rsid w:val="006A2EF6"/>
    <w:rsid w:val="00757295"/>
    <w:rsid w:val="007676F4"/>
    <w:rsid w:val="0078201D"/>
    <w:rsid w:val="00785C06"/>
    <w:rsid w:val="007B4D08"/>
    <w:rsid w:val="00862583"/>
    <w:rsid w:val="00896EFB"/>
    <w:rsid w:val="00906CAE"/>
    <w:rsid w:val="009611EF"/>
    <w:rsid w:val="00983F74"/>
    <w:rsid w:val="00A34F07"/>
    <w:rsid w:val="00A74595"/>
    <w:rsid w:val="00AE0568"/>
    <w:rsid w:val="00B609BD"/>
    <w:rsid w:val="00C476FA"/>
    <w:rsid w:val="00C65015"/>
    <w:rsid w:val="00CA6E53"/>
    <w:rsid w:val="00CC74D8"/>
    <w:rsid w:val="00D72A92"/>
    <w:rsid w:val="00D72DE9"/>
    <w:rsid w:val="00D95A36"/>
    <w:rsid w:val="00E117B0"/>
    <w:rsid w:val="00E14461"/>
    <w:rsid w:val="00F66877"/>
    <w:rsid w:val="00FD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A3BCA"/>
  <w15:docId w15:val="{F6BBA79C-0D5C-45C7-9F64-AF63280D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  <w:style w:type="character" w:customStyle="1" w:styleId="alt-edited">
    <w:name w:val="alt-edited"/>
    <w:basedOn w:val="DefaultParagraphFont"/>
    <w:rsid w:val="00782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12</cp:revision>
  <cp:lastPrinted>2022-03-01T18:27:00Z</cp:lastPrinted>
  <dcterms:created xsi:type="dcterms:W3CDTF">2022-03-11T13:54:00Z</dcterms:created>
  <dcterms:modified xsi:type="dcterms:W3CDTF">2022-03-17T15:57:00Z</dcterms:modified>
</cp:coreProperties>
</file>