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0"/>
        <w:gridCol w:w="150"/>
        <w:gridCol w:w="866"/>
        <w:gridCol w:w="13"/>
        <w:gridCol w:w="944"/>
        <w:gridCol w:w="964"/>
        <w:gridCol w:w="1856"/>
        <w:gridCol w:w="653"/>
        <w:gridCol w:w="2335"/>
        <w:gridCol w:w="104"/>
        <w:gridCol w:w="1701"/>
        <w:gridCol w:w="633"/>
      </w:tblGrid>
      <w:tr w:rsidR="00641D9C" w:rsidRPr="00A22864" w:rsidTr="0045649D">
        <w:trPr>
          <w:trHeight w:val="227"/>
          <w:jc w:val="center"/>
        </w:trPr>
        <w:tc>
          <w:tcPr>
            <w:tcW w:w="1653" w:type="pct"/>
            <w:gridSpan w:val="6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347" w:type="pct"/>
            <w:gridSpan w:val="6"/>
            <w:vAlign w:val="center"/>
          </w:tcPr>
          <w:p w:rsidR="00641D9C" w:rsidRPr="00350086" w:rsidRDefault="00B84BC5" w:rsidP="00363BF0">
            <w:pPr>
              <w:rPr>
                <w:b/>
              </w:rPr>
            </w:pPr>
            <w:r w:rsidRPr="00350086">
              <w:rPr>
                <w:b/>
              </w:rPr>
              <w:t>Бранко Шикопарија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1653" w:type="pct"/>
            <w:gridSpan w:val="6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347" w:type="pct"/>
            <w:gridSpan w:val="6"/>
            <w:vAlign w:val="center"/>
          </w:tcPr>
          <w:p w:rsidR="00641D9C" w:rsidRPr="00A22864" w:rsidRDefault="00CC4CB5" w:rsidP="00B84BC5">
            <w:pPr>
              <w:rPr>
                <w:lang w:val="sr-Cyrl-CS"/>
              </w:rPr>
            </w:pPr>
            <w:r>
              <w:t>Виши н</w:t>
            </w:r>
            <w:r w:rsidR="00363BF0">
              <w:rPr>
                <w:lang w:val="sr-Cyrl-CS"/>
              </w:rPr>
              <w:t>аучни сарадник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1653" w:type="pct"/>
            <w:gridSpan w:val="6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347" w:type="pct"/>
            <w:gridSpan w:val="6"/>
            <w:vAlign w:val="center"/>
          </w:tcPr>
          <w:p w:rsidR="00641D9C" w:rsidRPr="00A22864" w:rsidRDefault="006F2068" w:rsidP="00274EFF">
            <w:pPr>
              <w:rPr>
                <w:lang w:val="sr-Cyrl-CS"/>
              </w:rPr>
            </w:pPr>
            <w:r>
              <w:t>Биологија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1210" w:type="pct"/>
            <w:gridSpan w:val="5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3" w:type="pct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853" w:type="pct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421" w:type="pct"/>
            <w:gridSpan w:val="3"/>
            <w:shd w:val="clear" w:color="auto" w:fill="auto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1073" w:type="pct"/>
            <w:gridSpan w:val="2"/>
            <w:shd w:val="clear" w:color="auto" w:fill="auto"/>
            <w:vAlign w:val="center"/>
          </w:tcPr>
          <w:p w:rsidR="00641D9C" w:rsidRPr="00646624" w:rsidRDefault="00641D9C" w:rsidP="00274EFF">
            <w:r>
              <w:t>Ужа научна односно уметничка област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1210" w:type="pct"/>
            <w:gridSpan w:val="5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43" w:type="pct"/>
            <w:vAlign w:val="center"/>
          </w:tcPr>
          <w:p w:rsidR="00641D9C" w:rsidRPr="00CC4CB5" w:rsidRDefault="00363BF0" w:rsidP="00D72952">
            <w:r>
              <w:rPr>
                <w:lang w:val="sr-Cyrl-CS"/>
              </w:rPr>
              <w:t>201</w:t>
            </w:r>
            <w:r w:rsidR="00CC4CB5">
              <w:t>9</w:t>
            </w:r>
          </w:p>
        </w:tc>
        <w:tc>
          <w:tcPr>
            <w:tcW w:w="853" w:type="pct"/>
            <w:vAlign w:val="center"/>
          </w:tcPr>
          <w:p w:rsidR="00641D9C" w:rsidRPr="00A22864" w:rsidRDefault="00363BF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1421" w:type="pct"/>
            <w:gridSpan w:val="3"/>
            <w:shd w:val="clear" w:color="auto" w:fill="auto"/>
            <w:vAlign w:val="center"/>
          </w:tcPr>
          <w:p w:rsidR="00641D9C" w:rsidRPr="002D55CD" w:rsidRDefault="00363BF0" w:rsidP="00274EFF">
            <w:pPr>
              <w:rPr>
                <w:sz w:val="16"/>
                <w:szCs w:val="16"/>
              </w:rPr>
            </w:pPr>
            <w:r w:rsidRPr="002D55CD">
              <w:rPr>
                <w:sz w:val="16"/>
                <w:szCs w:val="16"/>
              </w:rPr>
              <w:t>Природно-математичке науке - биологија</w:t>
            </w:r>
          </w:p>
        </w:tc>
        <w:tc>
          <w:tcPr>
            <w:tcW w:w="1073" w:type="pct"/>
            <w:gridSpan w:val="2"/>
            <w:shd w:val="clear" w:color="auto" w:fill="auto"/>
            <w:vAlign w:val="center"/>
          </w:tcPr>
          <w:p w:rsidR="00641D9C" w:rsidRPr="00E90F48" w:rsidRDefault="00E90F48" w:rsidP="00274EFF">
            <w:r>
              <w:t>Биологија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1210" w:type="pct"/>
            <w:gridSpan w:val="5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43" w:type="pct"/>
            <w:vAlign w:val="center"/>
          </w:tcPr>
          <w:p w:rsidR="00641D9C" w:rsidRPr="00A22864" w:rsidRDefault="00363BF0" w:rsidP="00B84BC5">
            <w:pPr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="00B84BC5">
              <w:rPr>
                <w:lang w:val="sr-Cyrl-CS"/>
              </w:rPr>
              <w:t>3</w:t>
            </w:r>
          </w:p>
        </w:tc>
        <w:tc>
          <w:tcPr>
            <w:tcW w:w="853" w:type="pct"/>
            <w:vAlign w:val="center"/>
          </w:tcPr>
          <w:p w:rsidR="00641D9C" w:rsidRPr="00A22864" w:rsidRDefault="00363BF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1421" w:type="pct"/>
            <w:gridSpan w:val="3"/>
            <w:shd w:val="clear" w:color="auto" w:fill="auto"/>
            <w:vAlign w:val="center"/>
          </w:tcPr>
          <w:p w:rsidR="00641D9C" w:rsidRPr="002D55CD" w:rsidRDefault="00363BF0" w:rsidP="00274EFF">
            <w:pPr>
              <w:rPr>
                <w:sz w:val="16"/>
                <w:szCs w:val="16"/>
              </w:rPr>
            </w:pPr>
            <w:r w:rsidRPr="002D55CD">
              <w:rPr>
                <w:sz w:val="16"/>
                <w:szCs w:val="16"/>
              </w:rPr>
              <w:t>Природно-математичке науке - биологија</w:t>
            </w:r>
          </w:p>
        </w:tc>
        <w:tc>
          <w:tcPr>
            <w:tcW w:w="1073" w:type="pct"/>
            <w:gridSpan w:val="2"/>
            <w:shd w:val="clear" w:color="auto" w:fill="auto"/>
            <w:vAlign w:val="center"/>
          </w:tcPr>
          <w:p w:rsidR="00641D9C" w:rsidRPr="00A22864" w:rsidRDefault="0035419C" w:rsidP="0045649D">
            <w:pPr>
              <w:rPr>
                <w:lang w:val="sr-Cyrl-CS"/>
              </w:rPr>
            </w:pPr>
            <w:r>
              <w:rPr>
                <w:lang w:val="sr-Cyrl-CS"/>
              </w:rPr>
              <w:t>Е</w:t>
            </w:r>
            <w:r w:rsidR="0045649D">
              <w:rPr>
                <w:lang w:val="sr-Cyrl-CS"/>
              </w:rPr>
              <w:t xml:space="preserve">кологија 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1210" w:type="pct"/>
            <w:gridSpan w:val="5"/>
            <w:vAlign w:val="center"/>
          </w:tcPr>
          <w:p w:rsidR="00641D9C" w:rsidRPr="00646624" w:rsidRDefault="00641D9C" w:rsidP="00274EFF">
            <w:r>
              <w:t>Магистратура</w:t>
            </w:r>
          </w:p>
        </w:tc>
        <w:tc>
          <w:tcPr>
            <w:tcW w:w="443" w:type="pct"/>
            <w:vAlign w:val="center"/>
          </w:tcPr>
          <w:p w:rsidR="00641D9C" w:rsidRPr="00A22864" w:rsidRDefault="00B84BC5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</w:p>
        </w:tc>
        <w:tc>
          <w:tcPr>
            <w:tcW w:w="853" w:type="pct"/>
            <w:vAlign w:val="center"/>
          </w:tcPr>
          <w:p w:rsidR="00641D9C" w:rsidRPr="00A22864" w:rsidRDefault="00363BF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1421" w:type="pct"/>
            <w:gridSpan w:val="3"/>
            <w:shd w:val="clear" w:color="auto" w:fill="auto"/>
            <w:vAlign w:val="center"/>
          </w:tcPr>
          <w:p w:rsidR="00641D9C" w:rsidRPr="002D55CD" w:rsidRDefault="00363BF0" w:rsidP="00274EFF">
            <w:pPr>
              <w:rPr>
                <w:sz w:val="16"/>
                <w:szCs w:val="16"/>
              </w:rPr>
            </w:pPr>
            <w:r w:rsidRPr="002D55CD">
              <w:rPr>
                <w:sz w:val="16"/>
                <w:szCs w:val="16"/>
              </w:rPr>
              <w:t>Природно-математичке науке - биологија</w:t>
            </w:r>
          </w:p>
        </w:tc>
        <w:tc>
          <w:tcPr>
            <w:tcW w:w="1073" w:type="pct"/>
            <w:gridSpan w:val="2"/>
            <w:shd w:val="clear" w:color="auto" w:fill="auto"/>
            <w:vAlign w:val="center"/>
          </w:tcPr>
          <w:p w:rsidR="00641D9C" w:rsidRPr="00A22864" w:rsidRDefault="0035419C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Т</w:t>
            </w:r>
            <w:r w:rsidR="00E96F1D">
              <w:rPr>
                <w:lang w:val="sr-Cyrl-CS"/>
              </w:rPr>
              <w:t>аксономија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1210" w:type="pct"/>
            <w:gridSpan w:val="5"/>
            <w:vAlign w:val="center"/>
          </w:tcPr>
          <w:p w:rsidR="00641D9C" w:rsidRDefault="00641D9C" w:rsidP="00274EFF">
            <w:r>
              <w:t>Мастер диплома</w:t>
            </w:r>
          </w:p>
        </w:tc>
        <w:tc>
          <w:tcPr>
            <w:tcW w:w="443" w:type="pct"/>
            <w:vAlign w:val="center"/>
          </w:tcPr>
          <w:p w:rsidR="00641D9C" w:rsidRPr="00A22864" w:rsidRDefault="00363BF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853" w:type="pct"/>
            <w:vAlign w:val="center"/>
          </w:tcPr>
          <w:p w:rsidR="00641D9C" w:rsidRPr="00A22864" w:rsidRDefault="00363BF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421" w:type="pct"/>
            <w:gridSpan w:val="3"/>
            <w:shd w:val="clear" w:color="auto" w:fill="auto"/>
            <w:vAlign w:val="center"/>
          </w:tcPr>
          <w:p w:rsidR="00641D9C" w:rsidRPr="002D55CD" w:rsidRDefault="00363BF0" w:rsidP="00274EFF">
            <w:pPr>
              <w:rPr>
                <w:sz w:val="16"/>
                <w:szCs w:val="16"/>
                <w:lang w:val="sr-Cyrl-CS"/>
              </w:rPr>
            </w:pPr>
            <w:r w:rsidRPr="002D55CD">
              <w:rPr>
                <w:sz w:val="16"/>
                <w:szCs w:val="16"/>
                <w:lang w:val="sr-Cyrl-CS"/>
              </w:rPr>
              <w:t>-</w:t>
            </w:r>
          </w:p>
        </w:tc>
        <w:tc>
          <w:tcPr>
            <w:tcW w:w="1073" w:type="pct"/>
            <w:gridSpan w:val="2"/>
            <w:shd w:val="clear" w:color="auto" w:fill="auto"/>
            <w:vAlign w:val="center"/>
          </w:tcPr>
          <w:p w:rsidR="00641D9C" w:rsidRPr="00A22864" w:rsidRDefault="00363BF0" w:rsidP="00363BF0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1210" w:type="pct"/>
            <w:gridSpan w:val="5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43" w:type="pct"/>
            <w:vAlign w:val="center"/>
          </w:tcPr>
          <w:p w:rsidR="00641D9C" w:rsidRPr="00A22864" w:rsidRDefault="00B84BC5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2003</w:t>
            </w:r>
          </w:p>
        </w:tc>
        <w:tc>
          <w:tcPr>
            <w:tcW w:w="853" w:type="pct"/>
            <w:vAlign w:val="center"/>
          </w:tcPr>
          <w:p w:rsidR="00641D9C" w:rsidRPr="00A22864" w:rsidRDefault="00363BF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1421" w:type="pct"/>
            <w:gridSpan w:val="3"/>
            <w:shd w:val="clear" w:color="auto" w:fill="auto"/>
            <w:vAlign w:val="center"/>
          </w:tcPr>
          <w:p w:rsidR="00641D9C" w:rsidRPr="002D55CD" w:rsidRDefault="00363BF0" w:rsidP="00274EFF">
            <w:pPr>
              <w:rPr>
                <w:sz w:val="16"/>
                <w:szCs w:val="16"/>
              </w:rPr>
            </w:pPr>
            <w:r w:rsidRPr="002D55CD">
              <w:rPr>
                <w:sz w:val="16"/>
                <w:szCs w:val="16"/>
              </w:rPr>
              <w:t>Природно-математичке науке - биологија</w:t>
            </w:r>
          </w:p>
        </w:tc>
        <w:tc>
          <w:tcPr>
            <w:tcW w:w="1073" w:type="pct"/>
            <w:gridSpan w:val="2"/>
            <w:shd w:val="clear" w:color="auto" w:fill="auto"/>
            <w:vAlign w:val="center"/>
          </w:tcPr>
          <w:p w:rsidR="00641D9C" w:rsidRPr="00606686" w:rsidRDefault="0035419C" w:rsidP="00274EFF">
            <w:pPr>
              <w:rPr>
                <w:lang w:val="sr-Cyrl-CS"/>
              </w:rPr>
            </w:pPr>
            <w:r w:rsidRPr="00606686">
              <w:rPr>
                <w:lang w:val="ru-RU"/>
              </w:rPr>
              <w:t>Биологија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641D9C" w:rsidRPr="00646624" w:rsidRDefault="00641D9C" w:rsidP="00274EFF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303" w:type="pct"/>
            <w:shd w:val="clear" w:color="auto" w:fill="auto"/>
            <w:vAlign w:val="center"/>
          </w:tcPr>
          <w:p w:rsidR="00641D9C" w:rsidRPr="00646624" w:rsidRDefault="00641D9C" w:rsidP="00274EFF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641D9C" w:rsidRPr="00646624" w:rsidRDefault="00641D9C" w:rsidP="00274EFF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4230" w:type="pct"/>
            <w:gridSpan w:val="9"/>
            <w:vAlign w:val="center"/>
          </w:tcPr>
          <w:p w:rsidR="00641D9C" w:rsidRPr="00646624" w:rsidRDefault="00641D9C" w:rsidP="00274EFF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303" w:type="pct"/>
            <w:shd w:val="clear" w:color="auto" w:fill="auto"/>
            <w:vAlign w:val="center"/>
          </w:tcPr>
          <w:p w:rsidR="00641D9C" w:rsidRPr="00A22864" w:rsidRDefault="00363BF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641D9C" w:rsidRPr="00A22864" w:rsidRDefault="00363BF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4230" w:type="pct"/>
            <w:gridSpan w:val="9"/>
            <w:vAlign w:val="center"/>
          </w:tcPr>
          <w:p w:rsidR="00641D9C" w:rsidRPr="00A22864" w:rsidRDefault="00363BF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641D9C" w:rsidRPr="00A22864" w:rsidRDefault="00641D9C" w:rsidP="00A6286B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>стандарда за дато поље (минимално 10 не више од 20)</w:t>
            </w:r>
          </w:p>
        </w:tc>
      </w:tr>
      <w:tr w:rsidR="00066B75" w:rsidRPr="00A6286B" w:rsidTr="0045649D">
        <w:trPr>
          <w:trHeight w:val="227"/>
          <w:jc w:val="center"/>
        </w:trPr>
        <w:tc>
          <w:tcPr>
            <w:tcW w:w="372" w:type="pct"/>
            <w:gridSpan w:val="2"/>
            <w:vAlign w:val="center"/>
          </w:tcPr>
          <w:p w:rsidR="00066B75" w:rsidRPr="00A22864" w:rsidRDefault="00066B75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4337" w:type="pct"/>
            <w:gridSpan w:val="9"/>
            <w:shd w:val="clear" w:color="auto" w:fill="auto"/>
            <w:vAlign w:val="center"/>
          </w:tcPr>
          <w:p w:rsidR="00066B75" w:rsidRPr="00A6286B" w:rsidRDefault="00B84BC5" w:rsidP="00A6286B">
            <w:pPr>
              <w:widowControl/>
              <w:suppressAutoHyphens/>
              <w:autoSpaceDE/>
              <w:autoSpaceDN/>
              <w:adjustRightInd/>
              <w:ind w:left="-27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A6286B">
              <w:rPr>
                <w:bCs/>
                <w:color w:val="000000"/>
                <w:sz w:val="16"/>
                <w:szCs w:val="16"/>
              </w:rPr>
              <w:t xml:space="preserve">Chapman, D.S., Makra, L. Albertini, R., Bonini, M., Páldy, A., Rodinkova, V., </w:t>
            </w:r>
            <w:r w:rsidRPr="00A6286B">
              <w:rPr>
                <w:b/>
                <w:bCs/>
                <w:color w:val="000000"/>
                <w:sz w:val="16"/>
                <w:szCs w:val="16"/>
              </w:rPr>
              <w:t>Šikoparija, B.</w:t>
            </w:r>
            <w:r w:rsidRPr="00A6286B">
              <w:rPr>
                <w:bCs/>
                <w:color w:val="000000"/>
                <w:sz w:val="16"/>
                <w:szCs w:val="16"/>
              </w:rPr>
              <w:t xml:space="preserve">, Weryszko-Chmielewska, E., Bullock, J.M. 2016: Modelling the introduction and spread of non-native species: International trade and climate change drive ragweed invasion. Global Change Bioogy 22, 3067-3079  doi: 10.1111/gcb.13220; 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Heterocitati=22</w:t>
            </w:r>
            <w:r w:rsidRPr="00A6286B">
              <w:rPr>
                <w:bCs/>
                <w:color w:val="000000"/>
                <w:sz w:val="16"/>
                <w:szCs w:val="16"/>
                <w:u w:val="single"/>
              </w:rPr>
              <w:t>, М21а, IF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=8.502</w:t>
            </w:r>
            <w:r w:rsidRPr="00A6286B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1" w:type="pct"/>
            <w:vAlign w:val="center"/>
          </w:tcPr>
          <w:p w:rsidR="00066B75" w:rsidRPr="00A6286B" w:rsidRDefault="00066B75" w:rsidP="00A6286B">
            <w:pPr>
              <w:ind w:left="-27"/>
              <w:rPr>
                <w:color w:val="000000" w:themeColor="text1"/>
                <w:sz w:val="16"/>
                <w:szCs w:val="16"/>
                <w:lang w:val="sr-Cyrl-CS"/>
              </w:rPr>
            </w:pPr>
            <w:r w:rsidRPr="00A6286B">
              <w:rPr>
                <w:bCs/>
                <w:color w:val="000000" w:themeColor="text1"/>
                <w:sz w:val="16"/>
                <w:szCs w:val="16"/>
                <w:u w:val="single"/>
              </w:rPr>
              <w:t>М21а</w:t>
            </w:r>
          </w:p>
        </w:tc>
      </w:tr>
      <w:tr w:rsidR="00066B75" w:rsidRPr="00A6286B" w:rsidTr="00A6286B">
        <w:trPr>
          <w:trHeight w:val="440"/>
          <w:jc w:val="center"/>
        </w:trPr>
        <w:tc>
          <w:tcPr>
            <w:tcW w:w="372" w:type="pct"/>
            <w:gridSpan w:val="2"/>
            <w:vAlign w:val="center"/>
          </w:tcPr>
          <w:p w:rsidR="00066B75" w:rsidRPr="00A22864" w:rsidRDefault="00066B75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4337" w:type="pct"/>
            <w:gridSpan w:val="9"/>
            <w:shd w:val="clear" w:color="auto" w:fill="auto"/>
            <w:vAlign w:val="center"/>
          </w:tcPr>
          <w:p w:rsidR="00066B75" w:rsidRPr="00A6286B" w:rsidRDefault="00B84BC5" w:rsidP="00A6286B">
            <w:pPr>
              <w:widowControl/>
              <w:suppressAutoHyphens/>
              <w:autoSpaceDE/>
              <w:autoSpaceDN/>
              <w:adjustRightInd/>
              <w:ind w:left="-27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A6286B">
              <w:rPr>
                <w:bCs/>
                <w:color w:val="000000"/>
                <w:sz w:val="16"/>
                <w:szCs w:val="16"/>
              </w:rPr>
              <w:t xml:space="preserve">Karrer, G., Skjøth, C.A., </w:t>
            </w:r>
            <w:r w:rsidRPr="00A6286B">
              <w:rPr>
                <w:b/>
                <w:bCs/>
                <w:color w:val="000000"/>
                <w:sz w:val="16"/>
                <w:szCs w:val="16"/>
              </w:rPr>
              <w:t>Šikoparija, B.</w:t>
            </w:r>
            <w:r w:rsidRPr="00A6286B">
              <w:rPr>
                <w:bCs/>
                <w:color w:val="000000"/>
                <w:sz w:val="16"/>
                <w:szCs w:val="16"/>
              </w:rPr>
              <w:t xml:space="preserve">, Smith, M., Berger, U., Essl, F. 2015: Ragweed (Ambrosia) pollen source inventory for Austria. Science of the Total Environment 523, 120-128. DOI: 10.1016/j.scitotenv.2015.03.108; 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Heterocitati=11</w:t>
            </w:r>
            <w:r w:rsidRPr="00A6286B">
              <w:rPr>
                <w:bCs/>
                <w:color w:val="000000"/>
                <w:sz w:val="16"/>
                <w:szCs w:val="16"/>
                <w:u w:val="single"/>
              </w:rPr>
              <w:t>, М21а, IF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=3.976</w:t>
            </w:r>
            <w:r w:rsidRPr="00A6286B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1" w:type="pct"/>
            <w:vAlign w:val="center"/>
          </w:tcPr>
          <w:p w:rsidR="00066B75" w:rsidRPr="00A6286B" w:rsidRDefault="00A6286B" w:rsidP="00A6286B">
            <w:pPr>
              <w:ind w:left="-27"/>
              <w:rPr>
                <w:color w:val="000000" w:themeColor="text1"/>
                <w:sz w:val="16"/>
                <w:szCs w:val="16"/>
                <w:lang w:val="sr-Cyrl-CS"/>
              </w:rPr>
            </w:pPr>
            <w:r w:rsidRPr="00A6286B">
              <w:rPr>
                <w:bCs/>
                <w:color w:val="000000" w:themeColor="text1"/>
                <w:sz w:val="16"/>
                <w:szCs w:val="16"/>
                <w:u w:val="single"/>
              </w:rPr>
              <w:t>М21а</w:t>
            </w:r>
          </w:p>
        </w:tc>
      </w:tr>
      <w:tr w:rsidR="00066B75" w:rsidRPr="00A6286B" w:rsidTr="00736705">
        <w:trPr>
          <w:trHeight w:val="418"/>
          <w:jc w:val="center"/>
        </w:trPr>
        <w:tc>
          <w:tcPr>
            <w:tcW w:w="372" w:type="pct"/>
            <w:gridSpan w:val="2"/>
            <w:vAlign w:val="center"/>
          </w:tcPr>
          <w:p w:rsidR="00066B75" w:rsidRPr="00A22864" w:rsidRDefault="00066B75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4337" w:type="pct"/>
            <w:gridSpan w:val="9"/>
            <w:shd w:val="clear" w:color="auto" w:fill="auto"/>
            <w:vAlign w:val="center"/>
          </w:tcPr>
          <w:p w:rsidR="00066B75" w:rsidRPr="00736705" w:rsidRDefault="00736705" w:rsidP="00736705">
            <w:pPr>
              <w:widowControl/>
              <w:suppressAutoHyphens/>
              <w:autoSpaceDE/>
              <w:autoSpaceDN/>
              <w:adjustRightInd/>
              <w:ind w:left="-27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A6286B">
              <w:rPr>
                <w:bCs/>
                <w:color w:val="000000"/>
                <w:sz w:val="16"/>
                <w:szCs w:val="16"/>
              </w:rPr>
              <w:t xml:space="preserve">Prentovic, M., Radisic, P., Smith, M., </w:t>
            </w:r>
            <w:r w:rsidRPr="00A6286B">
              <w:rPr>
                <w:b/>
                <w:bCs/>
                <w:color w:val="000000"/>
                <w:sz w:val="16"/>
                <w:szCs w:val="16"/>
              </w:rPr>
              <w:t>Sikoparija, B.</w:t>
            </w:r>
            <w:r w:rsidRPr="00A6286B">
              <w:rPr>
                <w:bCs/>
                <w:color w:val="000000"/>
                <w:sz w:val="16"/>
                <w:szCs w:val="16"/>
              </w:rPr>
              <w:t xml:space="preserve"> 2014: Predicting walnut (Juglans spp.) crop yield using meteorological and airborne pollen data. Annals of Applied Biology 165, 249-259.  doi:10.1111/aab.12132; 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Heterocitati=1</w:t>
            </w:r>
            <w:r w:rsidRPr="00A6286B">
              <w:rPr>
                <w:bCs/>
                <w:color w:val="000000"/>
                <w:sz w:val="16"/>
                <w:szCs w:val="16"/>
                <w:u w:val="single"/>
              </w:rPr>
              <w:t>, М21а, IF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=2.000</w:t>
            </w:r>
            <w:r w:rsidRPr="00A6286B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1" w:type="pct"/>
            <w:vAlign w:val="center"/>
          </w:tcPr>
          <w:p w:rsidR="00066B75" w:rsidRPr="00A6286B" w:rsidRDefault="00A6286B" w:rsidP="00A6286B">
            <w:pPr>
              <w:ind w:left="-27"/>
              <w:rPr>
                <w:color w:val="000000" w:themeColor="text1"/>
                <w:sz w:val="16"/>
                <w:szCs w:val="16"/>
                <w:lang w:val="sr-Cyrl-CS"/>
              </w:rPr>
            </w:pPr>
            <w:r w:rsidRPr="00A6286B">
              <w:rPr>
                <w:bCs/>
                <w:color w:val="000000" w:themeColor="text1"/>
                <w:sz w:val="16"/>
                <w:szCs w:val="16"/>
                <w:u w:val="single"/>
              </w:rPr>
              <w:t>М21а</w:t>
            </w:r>
          </w:p>
        </w:tc>
      </w:tr>
      <w:tr w:rsidR="00066B75" w:rsidRPr="00A6286B" w:rsidTr="0045649D">
        <w:trPr>
          <w:trHeight w:val="227"/>
          <w:jc w:val="center"/>
        </w:trPr>
        <w:tc>
          <w:tcPr>
            <w:tcW w:w="372" w:type="pct"/>
            <w:gridSpan w:val="2"/>
            <w:vAlign w:val="center"/>
          </w:tcPr>
          <w:p w:rsidR="00066B75" w:rsidRPr="00A22864" w:rsidRDefault="00066B75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4337" w:type="pct"/>
            <w:gridSpan w:val="9"/>
            <w:shd w:val="clear" w:color="auto" w:fill="auto"/>
            <w:vAlign w:val="center"/>
          </w:tcPr>
          <w:p w:rsidR="00066B75" w:rsidRPr="00A6286B" w:rsidRDefault="00B84BC5" w:rsidP="00A6286B">
            <w:pPr>
              <w:widowControl/>
              <w:suppressAutoHyphens/>
              <w:autoSpaceDE/>
              <w:autoSpaceDN/>
              <w:adjustRightInd/>
              <w:ind w:left="-27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A6286B">
              <w:rPr>
                <w:bCs/>
                <w:color w:val="000000"/>
                <w:sz w:val="16"/>
                <w:szCs w:val="16"/>
              </w:rPr>
              <w:t xml:space="preserve">Smith, M., Jäger S., Berger U., </w:t>
            </w:r>
            <w:r w:rsidRPr="00A6286B">
              <w:rPr>
                <w:b/>
                <w:bCs/>
                <w:color w:val="000000"/>
                <w:sz w:val="16"/>
                <w:szCs w:val="16"/>
              </w:rPr>
              <w:t>Šikoparija B.</w:t>
            </w:r>
            <w:r w:rsidRPr="00A6286B">
              <w:rPr>
                <w:bCs/>
                <w:color w:val="000000"/>
                <w:sz w:val="16"/>
                <w:szCs w:val="16"/>
              </w:rPr>
              <w:t xml:space="preserve">, Hallsdottir M., Sauliene I., Bergmann, KCh., Pashley, C.H., de Weger, L., Majkowska-Wojciechowska, B., Rybníček O., Thibaudon M., Gehrig, R., Bonini, M., Yankova R., Damialis, A., Vokou, D., Gutiérrez Bustillo, A.M., Hoffmann-Sommergruber K., van Ree R. 2014: Geographic and temporal variations in pollen exposure across Europe. Allergy 69, 913–923. DOI: 10.1111/all.12419; 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Heterocitati=47</w:t>
            </w:r>
            <w:r w:rsidRPr="00A6286B">
              <w:rPr>
                <w:bCs/>
                <w:color w:val="000000"/>
                <w:sz w:val="16"/>
                <w:szCs w:val="16"/>
                <w:u w:val="single"/>
              </w:rPr>
              <w:t>, М21а, IF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=6.028</w:t>
            </w:r>
            <w:r w:rsidRPr="00A6286B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1" w:type="pct"/>
            <w:vAlign w:val="center"/>
          </w:tcPr>
          <w:p w:rsidR="00066B75" w:rsidRPr="00A6286B" w:rsidRDefault="00A6286B" w:rsidP="00A6286B">
            <w:pPr>
              <w:ind w:left="-27"/>
              <w:rPr>
                <w:color w:val="000000" w:themeColor="text1"/>
                <w:sz w:val="16"/>
                <w:szCs w:val="16"/>
                <w:lang w:val="sr-Cyrl-CS"/>
              </w:rPr>
            </w:pPr>
            <w:r w:rsidRPr="00A6286B">
              <w:rPr>
                <w:bCs/>
                <w:color w:val="000000" w:themeColor="text1"/>
                <w:sz w:val="16"/>
                <w:szCs w:val="16"/>
                <w:u w:val="single"/>
              </w:rPr>
              <w:t>М21а</w:t>
            </w:r>
          </w:p>
        </w:tc>
      </w:tr>
      <w:tr w:rsidR="00066B75" w:rsidRPr="00A6286B" w:rsidTr="0045649D">
        <w:trPr>
          <w:trHeight w:val="227"/>
          <w:jc w:val="center"/>
        </w:trPr>
        <w:tc>
          <w:tcPr>
            <w:tcW w:w="372" w:type="pct"/>
            <w:gridSpan w:val="2"/>
            <w:vAlign w:val="center"/>
          </w:tcPr>
          <w:p w:rsidR="00066B75" w:rsidRPr="00A22864" w:rsidRDefault="00066B75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4337" w:type="pct"/>
            <w:gridSpan w:val="9"/>
            <w:shd w:val="clear" w:color="auto" w:fill="auto"/>
            <w:vAlign w:val="center"/>
          </w:tcPr>
          <w:p w:rsidR="00066B75" w:rsidRPr="00A6286B" w:rsidRDefault="00A6286B" w:rsidP="00A6286B">
            <w:pPr>
              <w:widowControl/>
              <w:suppressAutoHyphens/>
              <w:autoSpaceDE/>
              <w:autoSpaceDN/>
              <w:adjustRightInd/>
              <w:ind w:left="-27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A6286B">
              <w:rPr>
                <w:bCs/>
                <w:color w:val="000000"/>
                <w:sz w:val="16"/>
                <w:szCs w:val="16"/>
              </w:rPr>
              <w:t xml:space="preserve">Smith, M., Cecchi, L., Skjoth, C.A., Karrer, G., </w:t>
            </w:r>
            <w:r w:rsidRPr="00A6286B">
              <w:rPr>
                <w:b/>
                <w:bCs/>
                <w:color w:val="000000"/>
                <w:sz w:val="16"/>
                <w:szCs w:val="16"/>
              </w:rPr>
              <w:t>Sikoparija, B.</w:t>
            </w:r>
            <w:r w:rsidRPr="00A6286B">
              <w:rPr>
                <w:bCs/>
                <w:color w:val="000000"/>
                <w:sz w:val="16"/>
                <w:szCs w:val="16"/>
              </w:rPr>
              <w:t xml:space="preserve"> 2013: Common ragweed: A threat to environmental health in Europe. Environment International 61, 115-126. http://dx.doi.org/10.1016/j.envint.2013.08.005; 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Heterocitati=57</w:t>
            </w:r>
            <w:r w:rsidRPr="00A6286B">
              <w:rPr>
                <w:bCs/>
                <w:color w:val="000000"/>
                <w:sz w:val="16"/>
                <w:szCs w:val="16"/>
                <w:u w:val="single"/>
              </w:rPr>
              <w:t>, М21а, IF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=6.022</w:t>
            </w:r>
            <w:r w:rsidRPr="00A6286B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1" w:type="pct"/>
            <w:vAlign w:val="center"/>
          </w:tcPr>
          <w:p w:rsidR="00066B75" w:rsidRPr="00A6286B" w:rsidRDefault="00A6286B" w:rsidP="00A6286B">
            <w:pPr>
              <w:ind w:left="-27"/>
              <w:rPr>
                <w:color w:val="000000" w:themeColor="text1"/>
                <w:sz w:val="16"/>
                <w:szCs w:val="16"/>
                <w:lang w:val="sr-Cyrl-CS"/>
              </w:rPr>
            </w:pPr>
            <w:r w:rsidRPr="00A6286B">
              <w:rPr>
                <w:bCs/>
                <w:color w:val="000000" w:themeColor="text1"/>
                <w:sz w:val="16"/>
                <w:szCs w:val="16"/>
                <w:u w:val="single"/>
              </w:rPr>
              <w:t>М21а</w:t>
            </w:r>
          </w:p>
        </w:tc>
      </w:tr>
      <w:tr w:rsidR="00066B75" w:rsidRPr="00A6286B" w:rsidTr="0045649D">
        <w:trPr>
          <w:trHeight w:val="227"/>
          <w:jc w:val="center"/>
        </w:trPr>
        <w:tc>
          <w:tcPr>
            <w:tcW w:w="372" w:type="pct"/>
            <w:gridSpan w:val="2"/>
            <w:vAlign w:val="center"/>
          </w:tcPr>
          <w:p w:rsidR="00066B75" w:rsidRPr="000A1411" w:rsidRDefault="000A1411" w:rsidP="00274EFF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337" w:type="pct"/>
            <w:gridSpan w:val="9"/>
            <w:shd w:val="clear" w:color="auto" w:fill="auto"/>
            <w:vAlign w:val="center"/>
          </w:tcPr>
          <w:p w:rsidR="00066B75" w:rsidRPr="00A6286B" w:rsidRDefault="00A6286B" w:rsidP="00A6286B">
            <w:pPr>
              <w:widowControl/>
              <w:suppressAutoHyphens/>
              <w:autoSpaceDE/>
              <w:autoSpaceDN/>
              <w:adjustRightInd/>
              <w:ind w:left="-27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A6286B">
              <w:rPr>
                <w:b/>
                <w:bCs/>
                <w:color w:val="000000"/>
                <w:sz w:val="16"/>
                <w:szCs w:val="16"/>
                <w:lang w:val="en-US"/>
              </w:rPr>
              <w:t>Sikoparija, B.</w:t>
            </w:r>
            <w:r w:rsidRPr="00A6286B">
              <w:rPr>
                <w:bCs/>
                <w:color w:val="000000"/>
                <w:sz w:val="16"/>
                <w:szCs w:val="16"/>
                <w:lang w:val="en-US"/>
              </w:rPr>
              <w:t xml:space="preserve">, Mimić, G., Panić, M., Marko, O., Radišić, P., Pejak-Šikoparija, T., Pauling, A. 2018. High temporal resolution of airborne </w:t>
            </w:r>
            <w:r w:rsidRPr="00A6286B">
              <w:rPr>
                <w:bCs/>
                <w:i/>
                <w:color w:val="000000"/>
                <w:sz w:val="16"/>
                <w:szCs w:val="16"/>
                <w:lang w:val="en-US"/>
              </w:rPr>
              <w:t>Ambrosia</w:t>
            </w:r>
            <w:r w:rsidRPr="00A6286B">
              <w:rPr>
                <w:bCs/>
                <w:color w:val="000000"/>
                <w:sz w:val="16"/>
                <w:szCs w:val="16"/>
                <w:lang w:val="en-US"/>
              </w:rPr>
              <w:t xml:space="preserve"> pollen measurements above the source reveals emission characteristics. Atmospheric Environment 192 13–23</w:t>
            </w:r>
            <w:r w:rsidRPr="00A6286B">
              <w:rPr>
                <w:bCs/>
                <w:color w:val="000000"/>
                <w:sz w:val="16"/>
                <w:szCs w:val="16"/>
              </w:rPr>
              <w:t xml:space="preserve">; 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Heterocitati=0</w:t>
            </w:r>
            <w:r w:rsidRPr="00A6286B">
              <w:rPr>
                <w:bCs/>
                <w:color w:val="000000"/>
                <w:sz w:val="16"/>
                <w:szCs w:val="16"/>
                <w:u w:val="single"/>
              </w:rPr>
              <w:t>, М21, IF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=3.708</w:t>
            </w:r>
            <w:r w:rsidRPr="00A6286B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1" w:type="pct"/>
            <w:vAlign w:val="center"/>
          </w:tcPr>
          <w:p w:rsidR="00066B75" w:rsidRPr="00A6286B" w:rsidRDefault="00066B75" w:rsidP="00A6286B">
            <w:pPr>
              <w:ind w:left="-27"/>
              <w:rPr>
                <w:color w:val="000000" w:themeColor="text1"/>
                <w:sz w:val="16"/>
                <w:szCs w:val="16"/>
                <w:lang w:val="sr-Cyrl-CS"/>
              </w:rPr>
            </w:pPr>
            <w:r w:rsidRPr="00A6286B">
              <w:rPr>
                <w:bCs/>
                <w:color w:val="000000" w:themeColor="text1"/>
                <w:sz w:val="16"/>
                <w:szCs w:val="16"/>
                <w:u w:val="single"/>
              </w:rPr>
              <w:t>М21</w:t>
            </w:r>
          </w:p>
        </w:tc>
      </w:tr>
      <w:tr w:rsidR="00066B75" w:rsidRPr="00A6286B" w:rsidTr="0045649D">
        <w:trPr>
          <w:trHeight w:val="227"/>
          <w:jc w:val="center"/>
        </w:trPr>
        <w:tc>
          <w:tcPr>
            <w:tcW w:w="372" w:type="pct"/>
            <w:gridSpan w:val="2"/>
            <w:vAlign w:val="center"/>
          </w:tcPr>
          <w:p w:rsidR="00066B75" w:rsidRPr="000A1411" w:rsidRDefault="000A1411" w:rsidP="00274E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337" w:type="pct"/>
            <w:gridSpan w:val="9"/>
            <w:shd w:val="clear" w:color="auto" w:fill="auto"/>
            <w:vAlign w:val="center"/>
          </w:tcPr>
          <w:p w:rsidR="00066B75" w:rsidRPr="00A6286B" w:rsidRDefault="00A6286B" w:rsidP="00A6286B">
            <w:pPr>
              <w:ind w:left="-27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A6286B">
              <w:rPr>
                <w:bCs/>
                <w:color w:val="000000"/>
                <w:sz w:val="16"/>
                <w:szCs w:val="16"/>
              </w:rPr>
              <w:t xml:space="preserve">Makra, L., Matyasovszky, I.., Tusnády, G., Wang, Y., Csépe, Z., Bozóki, Z., Nyúl, L.G., Erostyák, J., Bodnár, K., Sümeghy, Z., Vogel, H., Pauling, A., Páldy, A., Magyar, D., Mányoki, G., Bergmann, K-C., Bonini, M., </w:t>
            </w:r>
            <w:r w:rsidRPr="00A6286B">
              <w:rPr>
                <w:b/>
                <w:bCs/>
                <w:color w:val="000000"/>
                <w:sz w:val="16"/>
                <w:szCs w:val="16"/>
              </w:rPr>
              <w:t>Šikoparija, B.</w:t>
            </w:r>
            <w:r w:rsidRPr="00A6286B">
              <w:rPr>
                <w:bCs/>
                <w:color w:val="000000"/>
                <w:sz w:val="16"/>
                <w:szCs w:val="16"/>
              </w:rPr>
              <w:t xml:space="preserve">, Radišić, P., Gehrig, R., Kofol Seliger, A., Stjepanović, B., Rodinkova, V., Prikhodko, A., Maleeva, A., Severova, E., Ščevková, J., Ianovici, N., Peternel, R., Thibaudon, M. 2016: Biogeographical estimates of allergenic pollen transport over regional scales: common ragweed and Szeged, Hungary as a test case. Agricultural and Forest Meteorology 221, 94–110. DOI: 10.1016/j.agrformet.2016.02.006; 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Heterocitati=6</w:t>
            </w:r>
            <w:r w:rsidRPr="00A6286B">
              <w:rPr>
                <w:bCs/>
                <w:color w:val="000000"/>
                <w:sz w:val="16"/>
                <w:szCs w:val="16"/>
                <w:u w:val="single"/>
              </w:rPr>
              <w:t>, М21, IF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=3.887</w:t>
            </w:r>
            <w:r w:rsidRPr="00A6286B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1" w:type="pct"/>
            <w:vAlign w:val="center"/>
          </w:tcPr>
          <w:p w:rsidR="00066B75" w:rsidRPr="00A6286B" w:rsidRDefault="00066B75" w:rsidP="00A6286B">
            <w:pPr>
              <w:ind w:left="-27"/>
              <w:rPr>
                <w:color w:val="000000" w:themeColor="text1"/>
                <w:sz w:val="16"/>
                <w:szCs w:val="16"/>
                <w:lang w:val="sr-Cyrl-CS"/>
              </w:rPr>
            </w:pPr>
            <w:r w:rsidRPr="00A6286B">
              <w:rPr>
                <w:bCs/>
                <w:color w:val="000000" w:themeColor="text1"/>
                <w:sz w:val="16"/>
                <w:szCs w:val="16"/>
                <w:u w:val="single"/>
              </w:rPr>
              <w:t>М21</w:t>
            </w:r>
          </w:p>
        </w:tc>
      </w:tr>
      <w:tr w:rsidR="00066B75" w:rsidRPr="00A6286B" w:rsidTr="0045649D">
        <w:trPr>
          <w:trHeight w:val="227"/>
          <w:jc w:val="center"/>
        </w:trPr>
        <w:tc>
          <w:tcPr>
            <w:tcW w:w="372" w:type="pct"/>
            <w:gridSpan w:val="2"/>
            <w:vAlign w:val="center"/>
          </w:tcPr>
          <w:p w:rsidR="00066B75" w:rsidRPr="000A1411" w:rsidRDefault="000A1411" w:rsidP="00274EF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337" w:type="pct"/>
            <w:gridSpan w:val="9"/>
            <w:shd w:val="clear" w:color="auto" w:fill="auto"/>
            <w:vAlign w:val="center"/>
          </w:tcPr>
          <w:p w:rsidR="00066B75" w:rsidRPr="00A6286B" w:rsidRDefault="00A6286B" w:rsidP="00A6286B">
            <w:pPr>
              <w:widowControl/>
              <w:suppressAutoHyphens/>
              <w:autoSpaceDE/>
              <w:autoSpaceDN/>
              <w:adjustRightInd/>
              <w:ind w:left="-27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A6286B">
              <w:rPr>
                <w:bCs/>
                <w:color w:val="000000"/>
                <w:sz w:val="16"/>
                <w:szCs w:val="16"/>
              </w:rPr>
              <w:t xml:space="preserve">Thibaudon, M., </w:t>
            </w:r>
            <w:r w:rsidRPr="00A6286B">
              <w:rPr>
                <w:b/>
                <w:bCs/>
                <w:color w:val="000000"/>
                <w:sz w:val="16"/>
                <w:szCs w:val="16"/>
              </w:rPr>
              <w:t>Šikoparija, B.</w:t>
            </w:r>
            <w:r w:rsidRPr="00A6286B">
              <w:rPr>
                <w:bCs/>
                <w:color w:val="000000"/>
                <w:sz w:val="16"/>
                <w:szCs w:val="16"/>
              </w:rPr>
              <w:t xml:space="preserve">, Oliver, G., Smith, M., Skjøth, C.A. 2014: Ragweed pollen source inventory for France - the second largest centre of Ambrosia in Europe. Atmospheric Environment 83, 62-71. http://dx.doi.org/10.1016/j.atmosenv.2013.10.057; 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Heterocitati=14</w:t>
            </w:r>
            <w:r w:rsidRPr="00A6286B">
              <w:rPr>
                <w:bCs/>
                <w:color w:val="000000"/>
                <w:sz w:val="16"/>
                <w:szCs w:val="16"/>
                <w:u w:val="single"/>
              </w:rPr>
              <w:t>, М21, IF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=3.281</w:t>
            </w:r>
            <w:r w:rsidRPr="00A6286B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1" w:type="pct"/>
            <w:vAlign w:val="center"/>
          </w:tcPr>
          <w:p w:rsidR="00066B75" w:rsidRPr="00A6286B" w:rsidRDefault="00066B75" w:rsidP="00A6286B">
            <w:pPr>
              <w:ind w:left="-27"/>
              <w:rPr>
                <w:color w:val="000000" w:themeColor="text1"/>
                <w:sz w:val="16"/>
                <w:szCs w:val="16"/>
                <w:lang w:val="sr-Cyrl-CS"/>
              </w:rPr>
            </w:pPr>
            <w:r w:rsidRPr="00A6286B">
              <w:rPr>
                <w:bCs/>
                <w:color w:val="000000" w:themeColor="text1"/>
                <w:sz w:val="16"/>
                <w:szCs w:val="16"/>
                <w:u w:val="single"/>
              </w:rPr>
              <w:t>М21</w:t>
            </w:r>
          </w:p>
        </w:tc>
      </w:tr>
      <w:tr w:rsidR="00066B75" w:rsidRPr="00A6286B" w:rsidTr="0045649D">
        <w:trPr>
          <w:trHeight w:val="227"/>
          <w:jc w:val="center"/>
        </w:trPr>
        <w:tc>
          <w:tcPr>
            <w:tcW w:w="372" w:type="pct"/>
            <w:gridSpan w:val="2"/>
            <w:vAlign w:val="center"/>
          </w:tcPr>
          <w:p w:rsidR="00066B75" w:rsidRPr="000A1411" w:rsidRDefault="000A1411" w:rsidP="002D55CD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4337" w:type="pct"/>
            <w:gridSpan w:val="9"/>
            <w:shd w:val="clear" w:color="auto" w:fill="auto"/>
            <w:vAlign w:val="center"/>
          </w:tcPr>
          <w:p w:rsidR="00066B75" w:rsidRPr="00A6286B" w:rsidRDefault="00A6286B" w:rsidP="00A6286B">
            <w:pPr>
              <w:ind w:left="-27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A6286B">
              <w:rPr>
                <w:bCs/>
                <w:color w:val="000000"/>
                <w:sz w:val="16"/>
                <w:szCs w:val="16"/>
              </w:rPr>
              <w:t xml:space="preserve">Prank, M., Chapman, D.S., Bullock, J.M., Soler, J.B., Berger, U., Dahl, A., Jäger, S., Kovtunenko, I., Magyar, D., Niemelä, S., Rantio-Lehtimäki, A., Rodinkova, V., Sauliene, I., Severova, E., </w:t>
            </w:r>
            <w:r w:rsidRPr="00A6286B">
              <w:rPr>
                <w:b/>
                <w:bCs/>
                <w:color w:val="000000"/>
                <w:sz w:val="16"/>
                <w:szCs w:val="16"/>
              </w:rPr>
              <w:t>Sikoparija, B.</w:t>
            </w:r>
            <w:r w:rsidRPr="00A6286B">
              <w:rPr>
                <w:bCs/>
                <w:color w:val="000000"/>
                <w:sz w:val="16"/>
                <w:szCs w:val="16"/>
              </w:rPr>
              <w:t xml:space="preserve">, Sofiev, M. 2013: An operational model for forecasting ragweed pollen release and dispersion in Europe. Agricultural and Forest Meteorology, 182, 43-53. http://dx.doi.org/10.1016/j.agrformet.2013.08.003; 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Heterocitati=31</w:t>
            </w:r>
            <w:r w:rsidRPr="00A6286B">
              <w:rPr>
                <w:bCs/>
                <w:color w:val="000000"/>
                <w:sz w:val="16"/>
                <w:szCs w:val="16"/>
                <w:u w:val="single"/>
              </w:rPr>
              <w:t>, М21, IF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=3.894</w:t>
            </w:r>
            <w:r w:rsidRPr="00A6286B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1" w:type="pct"/>
            <w:vAlign w:val="center"/>
          </w:tcPr>
          <w:p w:rsidR="00066B75" w:rsidRPr="00A6286B" w:rsidRDefault="00066B75" w:rsidP="00A6286B">
            <w:pPr>
              <w:ind w:left="-27"/>
              <w:rPr>
                <w:color w:val="000000" w:themeColor="text1"/>
                <w:sz w:val="16"/>
                <w:szCs w:val="16"/>
              </w:rPr>
            </w:pPr>
            <w:r w:rsidRPr="00A6286B">
              <w:rPr>
                <w:bCs/>
                <w:color w:val="000000" w:themeColor="text1"/>
                <w:sz w:val="16"/>
                <w:szCs w:val="16"/>
                <w:u w:val="single"/>
              </w:rPr>
              <w:t>М2</w:t>
            </w:r>
            <w:r w:rsidR="00A6286B" w:rsidRPr="00A6286B">
              <w:rPr>
                <w:bCs/>
                <w:color w:val="000000" w:themeColor="text1"/>
                <w:sz w:val="16"/>
                <w:szCs w:val="16"/>
                <w:u w:val="single"/>
              </w:rPr>
              <w:t>1</w:t>
            </w:r>
          </w:p>
        </w:tc>
      </w:tr>
      <w:tr w:rsidR="00066B75" w:rsidRPr="00A6286B" w:rsidTr="0045649D">
        <w:trPr>
          <w:trHeight w:val="227"/>
          <w:jc w:val="center"/>
        </w:trPr>
        <w:tc>
          <w:tcPr>
            <w:tcW w:w="372" w:type="pct"/>
            <w:gridSpan w:val="2"/>
            <w:vAlign w:val="center"/>
          </w:tcPr>
          <w:p w:rsidR="00066B75" w:rsidRPr="000A1411" w:rsidRDefault="00066B75" w:rsidP="000A1411">
            <w:pPr>
              <w:rPr>
                <w:lang w:val="en-US"/>
              </w:rPr>
            </w:pPr>
            <w:r>
              <w:rPr>
                <w:lang w:val="sr-Cyrl-CS"/>
              </w:rPr>
              <w:t>1</w:t>
            </w:r>
            <w:r w:rsidR="000A1411">
              <w:rPr>
                <w:lang w:val="en-US"/>
              </w:rPr>
              <w:t>0</w:t>
            </w:r>
          </w:p>
        </w:tc>
        <w:tc>
          <w:tcPr>
            <w:tcW w:w="4337" w:type="pct"/>
            <w:gridSpan w:val="9"/>
            <w:shd w:val="clear" w:color="auto" w:fill="auto"/>
            <w:vAlign w:val="center"/>
          </w:tcPr>
          <w:p w:rsidR="00066B75" w:rsidRPr="00A6286B" w:rsidRDefault="00A6286B" w:rsidP="006C7ABE">
            <w:pPr>
              <w:widowControl/>
              <w:suppressAutoHyphens/>
              <w:autoSpaceDE/>
              <w:autoSpaceDN/>
              <w:adjustRightInd/>
              <w:ind w:left="-27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A6286B">
              <w:rPr>
                <w:bCs/>
                <w:color w:val="000000"/>
                <w:sz w:val="16"/>
                <w:szCs w:val="16"/>
                <w:lang w:val="en-US"/>
              </w:rPr>
              <w:t xml:space="preserve">Bonini, M., </w:t>
            </w:r>
            <w:r w:rsidRPr="00A6286B">
              <w:rPr>
                <w:b/>
                <w:bCs/>
                <w:color w:val="000000"/>
                <w:sz w:val="16"/>
                <w:szCs w:val="16"/>
                <w:lang w:val="en-US"/>
              </w:rPr>
              <w:t>Šikoparija, B.</w:t>
            </w:r>
            <w:r w:rsidRPr="00A6286B">
              <w:rPr>
                <w:bCs/>
                <w:color w:val="000000"/>
                <w:sz w:val="16"/>
                <w:szCs w:val="16"/>
                <w:lang w:val="en-US"/>
              </w:rPr>
              <w:t>, Skjøth, C.A., Cislaghi, G., Colombo, P., Testoni, C., A.I.A.-R.I.M.A.® , POLLnet, Smith, M. 2018. Ambrosia pollen source inventory for Italy: A multi-purpose tool to assess the impact of the ragweed leaf beetle (</w:t>
            </w:r>
            <w:r w:rsidRPr="00A6286B">
              <w:rPr>
                <w:bCs/>
                <w:i/>
                <w:color w:val="000000"/>
                <w:sz w:val="16"/>
                <w:szCs w:val="16"/>
                <w:lang w:val="en-US"/>
              </w:rPr>
              <w:t>Ophraella communa</w:t>
            </w:r>
            <w:r w:rsidRPr="00A6286B">
              <w:rPr>
                <w:bCs/>
                <w:color w:val="000000"/>
                <w:sz w:val="16"/>
                <w:szCs w:val="16"/>
                <w:lang w:val="en-US"/>
              </w:rPr>
              <w:t xml:space="preserve"> LeSage) on populations of its host plant. International Journal for Biometeorology, 62, 597–608 doi: 10.1007/s00484-017-1469-z</w:t>
            </w:r>
            <w:r w:rsidRPr="00A6286B">
              <w:rPr>
                <w:bCs/>
                <w:color w:val="000000"/>
                <w:sz w:val="16"/>
                <w:szCs w:val="16"/>
              </w:rPr>
              <w:t xml:space="preserve">; 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Heterocitati=0</w:t>
            </w:r>
            <w:r w:rsidRPr="00A6286B">
              <w:rPr>
                <w:bCs/>
                <w:color w:val="000000"/>
                <w:sz w:val="16"/>
                <w:szCs w:val="16"/>
                <w:u w:val="single"/>
              </w:rPr>
              <w:t>, М22,</w:t>
            </w:r>
            <w:r w:rsidRPr="00A6286B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91" w:type="pct"/>
            <w:vAlign w:val="center"/>
          </w:tcPr>
          <w:p w:rsidR="00066B75" w:rsidRPr="00A6286B" w:rsidRDefault="00066B75" w:rsidP="00A6286B">
            <w:pPr>
              <w:ind w:left="-27"/>
              <w:rPr>
                <w:color w:val="000000" w:themeColor="text1"/>
                <w:sz w:val="16"/>
                <w:szCs w:val="16"/>
                <w:lang w:val="sr-Cyrl-CS"/>
              </w:rPr>
            </w:pPr>
            <w:r w:rsidRPr="00A6286B">
              <w:rPr>
                <w:bCs/>
                <w:color w:val="000000" w:themeColor="text1"/>
                <w:sz w:val="16"/>
                <w:szCs w:val="16"/>
                <w:u w:val="single"/>
              </w:rPr>
              <w:t>М22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2806" w:type="pct"/>
            <w:gridSpan w:val="8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194" w:type="pct"/>
            <w:gridSpan w:val="4"/>
            <w:vAlign w:val="center"/>
          </w:tcPr>
          <w:p w:rsidR="00641D9C" w:rsidRPr="005F17A6" w:rsidRDefault="005F17A6" w:rsidP="00274EFF">
            <w:r>
              <w:t>723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2806" w:type="pct"/>
            <w:gridSpan w:val="8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194" w:type="pct"/>
            <w:gridSpan w:val="4"/>
            <w:vAlign w:val="center"/>
          </w:tcPr>
          <w:p w:rsidR="00641D9C" w:rsidRPr="005F17A6" w:rsidRDefault="005F17A6" w:rsidP="00FE4E05">
            <w:r>
              <w:t>39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2806" w:type="pct"/>
            <w:gridSpan w:val="8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073" w:type="pct"/>
            <w:vAlign w:val="center"/>
          </w:tcPr>
          <w:p w:rsidR="00641D9C" w:rsidRPr="00AA175E" w:rsidRDefault="00641D9C" w:rsidP="00274EFF">
            <w:r w:rsidRPr="00A22864">
              <w:rPr>
                <w:lang w:val="sr-Cyrl-CS"/>
              </w:rPr>
              <w:t>Домаћи</w:t>
            </w:r>
            <w:r w:rsidR="00AA175E">
              <w:t>:  3</w:t>
            </w:r>
          </w:p>
        </w:tc>
        <w:tc>
          <w:tcPr>
            <w:tcW w:w="1121" w:type="pct"/>
            <w:gridSpan w:val="3"/>
            <w:vAlign w:val="center"/>
          </w:tcPr>
          <w:p w:rsidR="00641D9C" w:rsidRPr="00AA175E" w:rsidRDefault="00641D9C" w:rsidP="00274EFF">
            <w:r w:rsidRPr="00A22864">
              <w:rPr>
                <w:lang w:val="sr-Cyrl-CS"/>
              </w:rPr>
              <w:t>Међународни</w:t>
            </w:r>
            <w:r w:rsidR="00AA175E">
              <w:t>: 5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776" w:type="pct"/>
            <w:gridSpan w:val="4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224" w:type="pct"/>
            <w:gridSpan w:val="8"/>
            <w:vAlign w:val="center"/>
          </w:tcPr>
          <w:p w:rsidR="00641D9C" w:rsidRPr="00736705" w:rsidRDefault="00736705" w:rsidP="00736705">
            <w:pPr>
              <w:jc w:val="both"/>
              <w:rPr>
                <w:sz w:val="16"/>
                <w:szCs w:val="16"/>
                <w:lang w:eastAsia="en-US"/>
              </w:rPr>
            </w:pPr>
            <w:r w:rsidRPr="00736705">
              <w:rPr>
                <w:sz w:val="16"/>
                <w:szCs w:val="16"/>
                <w:lang w:eastAsia="en-US"/>
              </w:rPr>
              <w:t>2015 Short Term Scientific Mission to National Pollen and Aerobiology Research Unit (NPARU), Worcester, UK within the COST Action FA1203 Sustainable management of Ambrosia artemisiifolia in Europe (SMARTER)</w:t>
            </w:r>
            <w:r>
              <w:rPr>
                <w:sz w:val="16"/>
                <w:szCs w:val="16"/>
                <w:lang w:eastAsia="en-US"/>
              </w:rPr>
              <w:t xml:space="preserve">; </w:t>
            </w:r>
            <w:r w:rsidRPr="00736705">
              <w:rPr>
                <w:sz w:val="16"/>
                <w:szCs w:val="16"/>
                <w:lang w:eastAsia="en-US"/>
              </w:rPr>
              <w:t>2014 Short Term Scientific Mission to Adam Mikeiwich University, Poznan, Poland within the COST Action FA1203 Sustainable management of Ambrosia artemisiifolia in Europe (SMARTER)</w:t>
            </w:r>
            <w:r>
              <w:rPr>
                <w:sz w:val="16"/>
                <w:szCs w:val="16"/>
                <w:lang w:eastAsia="en-US"/>
              </w:rPr>
              <w:t xml:space="preserve">; </w:t>
            </w:r>
            <w:r w:rsidRPr="00736705">
              <w:rPr>
                <w:sz w:val="16"/>
                <w:szCs w:val="16"/>
                <w:lang w:eastAsia="en-US"/>
              </w:rPr>
              <w:t>2010 Short Term Scientific Mission to Medical University of Vienna within the COST Action ES0603 Assessment of production, release, distribution and health impact of allergenic pollen in Europe (EUPOL)</w:t>
            </w:r>
            <w:r>
              <w:rPr>
                <w:sz w:val="16"/>
                <w:szCs w:val="16"/>
                <w:lang w:eastAsia="en-US"/>
              </w:rPr>
              <w:t xml:space="preserve">; </w:t>
            </w:r>
            <w:r w:rsidRPr="00736705">
              <w:rPr>
                <w:sz w:val="16"/>
                <w:szCs w:val="16"/>
                <w:lang w:eastAsia="en-US"/>
              </w:rPr>
              <w:t>2006 Advanced Aerobiology Course “Pollen dispersion in alpine environment”, Switzerland</w:t>
            </w:r>
            <w:r>
              <w:rPr>
                <w:sz w:val="16"/>
                <w:szCs w:val="16"/>
                <w:lang w:eastAsia="en-US"/>
              </w:rPr>
              <w:t xml:space="preserve">, </w:t>
            </w:r>
            <w:r w:rsidRPr="00736705">
              <w:rPr>
                <w:sz w:val="16"/>
                <w:szCs w:val="16"/>
                <w:lang w:eastAsia="en-US"/>
              </w:rPr>
              <w:t>2005 Тромесечни истраживачки тренинг програм research training program "Aerobiology and health", National Pollen and Aerobiology Research Unit (NPARU), University College of Worcester, Worcester, UK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E96F1D" w:rsidRPr="00A22864" w:rsidTr="0045649D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0F37A0" w:rsidRPr="00606686" w:rsidRDefault="008A1106" w:rsidP="00E96F1D">
            <w:pPr>
              <w:jc w:val="both"/>
              <w:rPr>
                <w:sz w:val="16"/>
                <w:szCs w:val="16"/>
                <w:lang w:val="sr-Cyrl-CS" w:eastAsia="en-GB"/>
              </w:rPr>
            </w:pPr>
            <w:r w:rsidRPr="00606686">
              <w:rPr>
                <w:sz w:val="16"/>
                <w:szCs w:val="16"/>
                <w:lang w:val="sr-Cyrl-CS" w:eastAsia="en-GB"/>
              </w:rPr>
              <w:t>Ј</w:t>
            </w:r>
            <w:r w:rsidR="000F37A0" w:rsidRPr="00606686">
              <w:rPr>
                <w:sz w:val="16"/>
                <w:szCs w:val="16"/>
                <w:lang w:val="sr-Cyrl-CS" w:eastAsia="en-GB"/>
              </w:rPr>
              <w:t>едан од</w:t>
            </w:r>
            <w:r w:rsidRPr="00606686">
              <w:rPr>
                <w:sz w:val="16"/>
                <w:szCs w:val="16"/>
                <w:lang w:val="sr-Cyrl-CS" w:eastAsia="en-GB"/>
              </w:rPr>
              <w:t xml:space="preserve"> оснивача и покретача</w:t>
            </w:r>
            <w:r w:rsidR="000F37A0" w:rsidRPr="00606686">
              <w:rPr>
                <w:sz w:val="16"/>
                <w:szCs w:val="16"/>
                <w:lang w:val="sr-Cyrl-CS" w:eastAsia="en-GB"/>
              </w:rPr>
              <w:t xml:space="preserve">: </w:t>
            </w:r>
            <w:r w:rsidRPr="00606686">
              <w:rPr>
                <w:sz w:val="16"/>
                <w:szCs w:val="16"/>
                <w:lang w:val="sr-Cyrl-CS" w:eastAsia="en-GB"/>
              </w:rPr>
              <w:t>Лабораторије за палнологију,</w:t>
            </w:r>
            <w:r w:rsidR="000F37A0" w:rsidRPr="00606686">
              <w:rPr>
                <w:sz w:val="16"/>
                <w:szCs w:val="16"/>
                <w:lang w:val="sr-Cyrl-CS" w:eastAsia="en-GB"/>
              </w:rPr>
              <w:t>аеропалинолошких истраживања, формирања аеропалинолошке мреже у Србији</w:t>
            </w:r>
            <w:r w:rsidR="000A1411" w:rsidRPr="00606686">
              <w:rPr>
                <w:sz w:val="16"/>
                <w:szCs w:val="16"/>
                <w:lang w:val="en-US" w:eastAsia="en-GB"/>
              </w:rPr>
              <w:t>.</w:t>
            </w:r>
            <w:r w:rsidR="000F37A0" w:rsidRPr="00606686">
              <w:rPr>
                <w:sz w:val="16"/>
                <w:szCs w:val="16"/>
                <w:lang w:val="sr-Cyrl-CS" w:eastAsia="en-GB"/>
              </w:rPr>
              <w:t xml:space="preserve"> Тренутно врши функцију </w:t>
            </w:r>
            <w:r w:rsidR="00736705" w:rsidRPr="00606686">
              <w:rPr>
                <w:sz w:val="16"/>
                <w:szCs w:val="16"/>
                <w:lang w:val="sr-Cyrl-CS" w:eastAsia="en-GB"/>
              </w:rPr>
              <w:t>Руководиоца квалитета</w:t>
            </w:r>
            <w:r w:rsidR="000F37A0" w:rsidRPr="00606686">
              <w:rPr>
                <w:sz w:val="16"/>
                <w:szCs w:val="16"/>
                <w:lang w:val="sr-Cyrl-CS" w:eastAsia="en-GB"/>
              </w:rPr>
              <w:t xml:space="preserve"> Лабораторије за палинологију </w:t>
            </w:r>
            <w:r w:rsidR="00E63C65" w:rsidRPr="00606686">
              <w:rPr>
                <w:sz w:val="16"/>
                <w:szCs w:val="16"/>
                <w:lang w:val="sr-Cyrl-CS" w:eastAsia="en-GB"/>
              </w:rPr>
              <w:t>(Акредитациони број бр 01-424).</w:t>
            </w:r>
          </w:p>
          <w:p w:rsidR="00D4476A" w:rsidRPr="00606686" w:rsidRDefault="000A1411" w:rsidP="0045649D">
            <w:pPr>
              <w:jc w:val="both"/>
              <w:rPr>
                <w:sz w:val="16"/>
                <w:szCs w:val="16"/>
              </w:rPr>
            </w:pPr>
            <w:r w:rsidRPr="00606686">
              <w:rPr>
                <w:sz w:val="16"/>
                <w:szCs w:val="16"/>
              </w:rPr>
              <w:t>На ПМФ-у у Новом Саду н</w:t>
            </w:r>
            <w:r w:rsidR="00E96F1D" w:rsidRPr="00606686">
              <w:rPr>
                <w:sz w:val="16"/>
                <w:szCs w:val="16"/>
                <w:lang w:val="sr-Cyrl-CS"/>
              </w:rPr>
              <w:t>аст</w:t>
            </w:r>
            <w:r w:rsidR="00E96F1D" w:rsidRPr="00606686">
              <w:rPr>
                <w:sz w:val="16"/>
                <w:szCs w:val="16"/>
              </w:rPr>
              <w:t>a</w:t>
            </w:r>
            <w:r w:rsidR="00E96F1D" w:rsidRPr="00606686">
              <w:rPr>
                <w:sz w:val="16"/>
                <w:szCs w:val="16"/>
                <w:lang w:val="sr-Cyrl-CS"/>
              </w:rPr>
              <w:t>вну активност је спроводио на групи зоолошких предмета</w:t>
            </w:r>
            <w:r w:rsidRPr="00606686">
              <w:rPr>
                <w:sz w:val="16"/>
                <w:szCs w:val="16"/>
                <w:lang w:val="en-US"/>
              </w:rPr>
              <w:t xml:space="preserve">, </w:t>
            </w:r>
            <w:r w:rsidR="00E96F1D" w:rsidRPr="00606686">
              <w:rPr>
                <w:sz w:val="16"/>
                <w:szCs w:val="16"/>
              </w:rPr>
              <w:t xml:space="preserve">учествовао у организовању </w:t>
            </w:r>
            <w:r w:rsidR="00E96F1D" w:rsidRPr="00606686">
              <w:rPr>
                <w:sz w:val="16"/>
                <w:szCs w:val="16"/>
                <w:lang w:val="sr-Cyrl-CS"/>
              </w:rPr>
              <w:t xml:space="preserve">и спровођењу </w:t>
            </w:r>
            <w:r w:rsidR="00E96F1D" w:rsidRPr="00606686">
              <w:rPr>
                <w:sz w:val="16"/>
                <w:szCs w:val="16"/>
              </w:rPr>
              <w:t>наставе на курсевима Палинологија</w:t>
            </w:r>
            <w:r w:rsidR="00E96F1D" w:rsidRPr="00606686">
              <w:rPr>
                <w:sz w:val="16"/>
                <w:szCs w:val="16"/>
                <w:lang w:val="sr-Cyrl-CS"/>
              </w:rPr>
              <w:t xml:space="preserve"> </w:t>
            </w:r>
            <w:r w:rsidRPr="00606686">
              <w:rPr>
                <w:sz w:val="16"/>
                <w:szCs w:val="16"/>
                <w:lang w:val="sr-Cyrl-CS"/>
              </w:rPr>
              <w:t>(</w:t>
            </w:r>
            <w:r w:rsidR="00E96F1D" w:rsidRPr="00606686">
              <w:rPr>
                <w:sz w:val="16"/>
                <w:szCs w:val="16"/>
                <w:lang w:val="sr-Cyrl-CS"/>
              </w:rPr>
              <w:t>имплементциј</w:t>
            </w:r>
            <w:r w:rsidRPr="00606686">
              <w:rPr>
                <w:sz w:val="16"/>
                <w:szCs w:val="16"/>
                <w:lang w:val="sr-Cyrl-CS"/>
              </w:rPr>
              <w:t>а</w:t>
            </w:r>
            <w:r w:rsidR="00E96F1D" w:rsidRPr="00606686">
              <w:rPr>
                <w:sz w:val="16"/>
                <w:szCs w:val="16"/>
                <w:lang w:val="sr-Cyrl-CS"/>
              </w:rPr>
              <w:t xml:space="preserve"> пројекта </w:t>
            </w:r>
            <w:r w:rsidR="00E96F1D" w:rsidRPr="00606686">
              <w:rPr>
                <w:sz w:val="16"/>
                <w:szCs w:val="16"/>
              </w:rPr>
              <w:t>WUS Austria, Course Development Program</w:t>
            </w:r>
            <w:r w:rsidR="00E96F1D" w:rsidRPr="00606686">
              <w:rPr>
                <w:sz w:val="16"/>
                <w:szCs w:val="16"/>
                <w:lang w:val="sr-Cyrl-CS"/>
              </w:rPr>
              <w:t>. О</w:t>
            </w:r>
            <w:r w:rsidR="00E96F1D" w:rsidRPr="00606686">
              <w:rPr>
                <w:sz w:val="16"/>
                <w:szCs w:val="16"/>
              </w:rPr>
              <w:t xml:space="preserve">рганизовао је и одржавао </w:t>
            </w:r>
            <w:r w:rsidR="00736705" w:rsidRPr="00606686">
              <w:rPr>
                <w:sz w:val="16"/>
                <w:szCs w:val="16"/>
              </w:rPr>
              <w:t xml:space="preserve">предавања и </w:t>
            </w:r>
            <w:r w:rsidR="00E96F1D" w:rsidRPr="00606686">
              <w:rPr>
                <w:sz w:val="16"/>
                <w:szCs w:val="16"/>
              </w:rPr>
              <w:t xml:space="preserve">вежбе на 8th European Basic Course on Aerobiology (2007) као и на програмима стручног усавршавања “Полен свуда око нас” и “Примењена палинологија” </w:t>
            </w:r>
            <w:r w:rsidR="0045649D" w:rsidRPr="00606686">
              <w:rPr>
                <w:sz w:val="16"/>
                <w:szCs w:val="16"/>
              </w:rPr>
              <w:t>(</w:t>
            </w:r>
            <w:r w:rsidR="00E96F1D" w:rsidRPr="00606686">
              <w:rPr>
                <w:sz w:val="16"/>
                <w:szCs w:val="16"/>
              </w:rPr>
              <w:t>Министарства просвете Р. Србије</w:t>
            </w:r>
            <w:r w:rsidR="0045649D" w:rsidRPr="00606686">
              <w:rPr>
                <w:sz w:val="16"/>
                <w:szCs w:val="16"/>
              </w:rPr>
              <w:t>)</w:t>
            </w:r>
            <w:r w:rsidR="00E96F1D" w:rsidRPr="00606686">
              <w:rPr>
                <w:sz w:val="16"/>
                <w:szCs w:val="16"/>
              </w:rPr>
              <w:t xml:space="preserve">. </w:t>
            </w:r>
            <w:r w:rsidR="0045649D" w:rsidRPr="00606686">
              <w:rPr>
                <w:sz w:val="16"/>
                <w:szCs w:val="16"/>
                <w:lang w:val="sr-Cyrl-CS"/>
              </w:rPr>
              <w:t>У</w:t>
            </w:r>
            <w:r w:rsidR="00E96F1D" w:rsidRPr="00606686">
              <w:rPr>
                <w:sz w:val="16"/>
                <w:szCs w:val="16"/>
                <w:lang w:val="sr-Cyrl-CS"/>
              </w:rPr>
              <w:t>чествовао у</w:t>
            </w:r>
            <w:r w:rsidR="0045649D" w:rsidRPr="00606686">
              <w:rPr>
                <w:sz w:val="16"/>
                <w:szCs w:val="16"/>
                <w:lang w:val="sr-Cyrl-CS"/>
              </w:rPr>
              <w:t>:</w:t>
            </w:r>
            <w:r w:rsidR="00E96F1D" w:rsidRPr="00606686">
              <w:rPr>
                <w:sz w:val="16"/>
                <w:szCs w:val="16"/>
                <w:lang w:val="sr-Cyrl-CS"/>
              </w:rPr>
              <w:t xml:space="preserve"> изр</w:t>
            </w:r>
            <w:r w:rsidR="00E96F1D" w:rsidRPr="00606686">
              <w:rPr>
                <w:sz w:val="16"/>
                <w:szCs w:val="16"/>
              </w:rPr>
              <w:t>a</w:t>
            </w:r>
            <w:r w:rsidR="00E96F1D" w:rsidRPr="00606686">
              <w:rPr>
                <w:sz w:val="16"/>
                <w:szCs w:val="16"/>
                <w:lang w:val="sr-Cyrl-CS"/>
              </w:rPr>
              <w:t>ди и дефинисању тема дипломских, мастер, магистарских и докторских радова</w:t>
            </w:r>
            <w:r w:rsidR="0045649D" w:rsidRPr="00606686">
              <w:rPr>
                <w:sz w:val="16"/>
                <w:szCs w:val="16"/>
                <w:lang w:val="sr-Cyrl-CS"/>
              </w:rPr>
              <w:t xml:space="preserve">, </w:t>
            </w:r>
            <w:r w:rsidR="00E96F1D" w:rsidRPr="00606686">
              <w:rPr>
                <w:sz w:val="16"/>
                <w:szCs w:val="16"/>
              </w:rPr>
              <w:t xml:space="preserve">комисија за израду и одбрану </w:t>
            </w:r>
            <w:r w:rsidR="00E96F1D" w:rsidRPr="00606686">
              <w:rPr>
                <w:sz w:val="16"/>
                <w:szCs w:val="16"/>
                <w:lang w:val="sr-Cyrl-CS"/>
              </w:rPr>
              <w:t xml:space="preserve">три </w:t>
            </w:r>
            <w:r w:rsidR="00E96F1D" w:rsidRPr="00606686">
              <w:rPr>
                <w:sz w:val="16"/>
                <w:szCs w:val="16"/>
              </w:rPr>
              <w:t>мастер рада</w:t>
            </w:r>
            <w:r w:rsidR="0045649D" w:rsidRPr="00606686">
              <w:rPr>
                <w:sz w:val="16"/>
                <w:szCs w:val="16"/>
              </w:rPr>
              <w:t>.</w:t>
            </w:r>
          </w:p>
          <w:p w:rsidR="00E96F1D" w:rsidRPr="00E63C65" w:rsidRDefault="00D4476A" w:rsidP="0045649D">
            <w:pPr>
              <w:jc w:val="both"/>
              <w:rPr>
                <w:szCs w:val="24"/>
                <w:lang w:val="sr-Cyrl-CS"/>
              </w:rPr>
            </w:pPr>
            <w:r w:rsidRPr="00606686">
              <w:rPr>
                <w:sz w:val="16"/>
                <w:szCs w:val="16"/>
              </w:rPr>
              <w:t>Запослен у Институту БиоСенс - Истраживачки-развојни Институт за информационе технологије у биосистемима од 2015 године.</w:t>
            </w:r>
            <w:r w:rsidR="0045649D">
              <w:rPr>
                <w:sz w:val="16"/>
                <w:szCs w:val="16"/>
              </w:rPr>
              <w:t xml:space="preserve"> </w:t>
            </w:r>
          </w:p>
        </w:tc>
      </w:tr>
    </w:tbl>
    <w:p w:rsidR="00765095" w:rsidRPr="0045649D" w:rsidRDefault="00765095"/>
    <w:sectPr w:rsidR="00765095" w:rsidRPr="0045649D" w:rsidSect="004564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B0A51"/>
    <w:multiLevelType w:val="hybridMultilevel"/>
    <w:tmpl w:val="DFF081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D2EA1"/>
    <w:multiLevelType w:val="hybridMultilevel"/>
    <w:tmpl w:val="DFF081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00"/>
  <w:displayHorizontalDrawingGridEvery w:val="2"/>
  <w:characterSpacingControl w:val="doNotCompress"/>
  <w:compat/>
  <w:rsids>
    <w:rsidRoot w:val="00641D9C"/>
    <w:rsid w:val="00066B75"/>
    <w:rsid w:val="000A1411"/>
    <w:rsid w:val="000F37A0"/>
    <w:rsid w:val="001E7756"/>
    <w:rsid w:val="00261E5E"/>
    <w:rsid w:val="002D55CD"/>
    <w:rsid w:val="00350086"/>
    <w:rsid w:val="0035419C"/>
    <w:rsid w:val="003561D4"/>
    <w:rsid w:val="00361E28"/>
    <w:rsid w:val="00363BF0"/>
    <w:rsid w:val="0041792A"/>
    <w:rsid w:val="0045649D"/>
    <w:rsid w:val="004C4A80"/>
    <w:rsid w:val="005F17A6"/>
    <w:rsid w:val="00606686"/>
    <w:rsid w:val="00641D9C"/>
    <w:rsid w:val="006C7ABE"/>
    <w:rsid w:val="006F2068"/>
    <w:rsid w:val="00736705"/>
    <w:rsid w:val="00765095"/>
    <w:rsid w:val="00792A67"/>
    <w:rsid w:val="008371FB"/>
    <w:rsid w:val="00871600"/>
    <w:rsid w:val="008A1106"/>
    <w:rsid w:val="00A23F69"/>
    <w:rsid w:val="00A34E1F"/>
    <w:rsid w:val="00A6286B"/>
    <w:rsid w:val="00A800FD"/>
    <w:rsid w:val="00AA175E"/>
    <w:rsid w:val="00AA3995"/>
    <w:rsid w:val="00B044E2"/>
    <w:rsid w:val="00B84BC5"/>
    <w:rsid w:val="00BA766A"/>
    <w:rsid w:val="00CC4CB5"/>
    <w:rsid w:val="00D07D44"/>
    <w:rsid w:val="00D4476A"/>
    <w:rsid w:val="00D72952"/>
    <w:rsid w:val="00DA65B9"/>
    <w:rsid w:val="00E1159A"/>
    <w:rsid w:val="00E63C65"/>
    <w:rsid w:val="00E90F48"/>
    <w:rsid w:val="00E96F1D"/>
    <w:rsid w:val="00EC285C"/>
    <w:rsid w:val="00EF0120"/>
    <w:rsid w:val="00FE4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10</cp:revision>
  <dcterms:created xsi:type="dcterms:W3CDTF">2019-05-03T08:53:00Z</dcterms:created>
  <dcterms:modified xsi:type="dcterms:W3CDTF">2020-05-12T08:45:00Z</dcterms:modified>
</cp:coreProperties>
</file>