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97" w:rsidRDefault="000A6397" w:rsidP="000A6397">
      <w:pPr>
        <w:tabs>
          <w:tab w:val="left" w:pos="567"/>
        </w:tabs>
        <w:spacing w:after="60"/>
        <w:jc w:val="both"/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7"/>
        <w:gridCol w:w="1119"/>
        <w:gridCol w:w="143"/>
        <w:gridCol w:w="837"/>
        <w:gridCol w:w="1113"/>
        <w:gridCol w:w="321"/>
        <w:gridCol w:w="1747"/>
        <w:gridCol w:w="677"/>
        <w:gridCol w:w="162"/>
        <w:gridCol w:w="3229"/>
      </w:tblGrid>
      <w:tr w:rsidR="004027FA" w:rsidRPr="000263D6" w:rsidTr="000A6397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 xml:space="preserve">Име и презиме </w:t>
            </w:r>
          </w:p>
        </w:tc>
        <w:tc>
          <w:tcPr>
            <w:tcW w:w="5815" w:type="dxa"/>
            <w:gridSpan w:val="4"/>
            <w:vAlign w:val="center"/>
          </w:tcPr>
          <w:p w:rsidR="004027FA" w:rsidRPr="005138D3" w:rsidRDefault="00EB4AF4" w:rsidP="005138D3">
            <w:pPr>
              <w:tabs>
                <w:tab w:val="left" w:pos="567"/>
              </w:tabs>
              <w:spacing w:after="60"/>
            </w:pPr>
            <w:r w:rsidRPr="005138D3">
              <w:t>T</w:t>
            </w:r>
            <w:r w:rsidR="00BF4512" w:rsidRPr="005138D3">
              <w:t>атјана</w:t>
            </w:r>
            <w:r w:rsidRPr="005138D3">
              <w:t xml:space="preserve"> Костић</w:t>
            </w:r>
          </w:p>
        </w:tc>
      </w:tr>
      <w:tr w:rsidR="004027FA" w:rsidRPr="000263D6" w:rsidTr="000A6397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Звање</w:t>
            </w:r>
          </w:p>
        </w:tc>
        <w:tc>
          <w:tcPr>
            <w:tcW w:w="5815" w:type="dxa"/>
            <w:gridSpan w:val="4"/>
            <w:vAlign w:val="center"/>
          </w:tcPr>
          <w:p w:rsidR="004027FA" w:rsidRPr="000263D6" w:rsidRDefault="00BF4512" w:rsidP="000A6397">
            <w:pPr>
              <w:tabs>
                <w:tab w:val="left" w:pos="567"/>
              </w:tabs>
              <w:spacing w:after="60"/>
            </w:pPr>
            <w:r w:rsidRPr="000263D6">
              <w:t>Редовни професор</w:t>
            </w:r>
          </w:p>
        </w:tc>
      </w:tr>
      <w:tr w:rsidR="004027FA" w:rsidRPr="000263D6" w:rsidTr="000A6397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815" w:type="dxa"/>
            <w:gridSpan w:val="4"/>
            <w:vAlign w:val="center"/>
          </w:tcPr>
          <w:p w:rsidR="004027FA" w:rsidRPr="000263D6" w:rsidRDefault="00513174" w:rsidP="000A6397">
            <w:pPr>
              <w:tabs>
                <w:tab w:val="left" w:pos="567"/>
              </w:tabs>
              <w:spacing w:after="60"/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</w:p>
        </w:tc>
      </w:tr>
      <w:tr w:rsidR="004027FA" w:rsidRPr="000263D6" w:rsidTr="000A6397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Ужа научна односно уметничка област</w:t>
            </w:r>
          </w:p>
        </w:tc>
        <w:tc>
          <w:tcPr>
            <w:tcW w:w="5815" w:type="dxa"/>
            <w:gridSpan w:val="4"/>
            <w:vAlign w:val="center"/>
          </w:tcPr>
          <w:p w:rsidR="004027FA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Физиологија животиња</w:t>
            </w:r>
          </w:p>
        </w:tc>
      </w:tr>
      <w:tr w:rsidR="004027FA" w:rsidRPr="000263D6" w:rsidTr="000A6397">
        <w:trPr>
          <w:trHeight w:val="227"/>
        </w:trPr>
        <w:tc>
          <w:tcPr>
            <w:tcW w:w="9979" w:type="dxa"/>
            <w:gridSpan w:val="11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Академска каријера</w:t>
            </w:r>
          </w:p>
        </w:tc>
      </w:tr>
      <w:tr w:rsidR="004027FA" w:rsidRPr="000263D6" w:rsidTr="000A6397">
        <w:trPr>
          <w:trHeight w:val="227"/>
        </w:trPr>
        <w:tc>
          <w:tcPr>
            <w:tcW w:w="1893" w:type="dxa"/>
            <w:gridSpan w:val="4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</w:pPr>
          </w:p>
        </w:tc>
        <w:tc>
          <w:tcPr>
            <w:tcW w:w="837" w:type="dxa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</w:pPr>
            <w:r w:rsidRPr="000263D6">
              <w:t xml:space="preserve">Година </w:t>
            </w:r>
          </w:p>
        </w:tc>
        <w:tc>
          <w:tcPr>
            <w:tcW w:w="4020" w:type="dxa"/>
            <w:gridSpan w:val="5"/>
            <w:shd w:val="clear" w:color="auto" w:fill="auto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</w:pPr>
            <w:r w:rsidRPr="000263D6">
              <w:t xml:space="preserve">Институција </w:t>
            </w:r>
          </w:p>
        </w:tc>
        <w:tc>
          <w:tcPr>
            <w:tcW w:w="3229" w:type="dxa"/>
            <w:vAlign w:val="center"/>
          </w:tcPr>
          <w:p w:rsidR="004027FA" w:rsidRPr="000263D6" w:rsidRDefault="004027FA" w:rsidP="000A6397">
            <w:pPr>
              <w:tabs>
                <w:tab w:val="left" w:pos="567"/>
              </w:tabs>
              <w:spacing w:after="60"/>
            </w:pPr>
            <w:r w:rsidRPr="000263D6">
              <w:t xml:space="preserve">Област </w:t>
            </w:r>
          </w:p>
        </w:tc>
      </w:tr>
      <w:tr w:rsidR="00E62C4F" w:rsidRPr="000263D6" w:rsidTr="000A6397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Избор у звање</w:t>
            </w:r>
          </w:p>
        </w:tc>
        <w:tc>
          <w:tcPr>
            <w:tcW w:w="837" w:type="dxa"/>
          </w:tcPr>
          <w:p w:rsidR="00E62C4F" w:rsidRPr="000263D6" w:rsidRDefault="00E62C4F" w:rsidP="000A6397">
            <w:r w:rsidRPr="000263D6">
              <w:t>2008</w:t>
            </w:r>
          </w:p>
        </w:tc>
        <w:tc>
          <w:tcPr>
            <w:tcW w:w="4020" w:type="dxa"/>
            <w:gridSpan w:val="5"/>
            <w:shd w:val="clear" w:color="auto" w:fill="auto"/>
            <w:vAlign w:val="center"/>
          </w:tcPr>
          <w:p w:rsidR="00E62C4F" w:rsidRPr="000263D6" w:rsidRDefault="004D2EDF" w:rsidP="000A6397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E0665F" w:rsidP="000A6397">
            <w:pPr>
              <w:tabs>
                <w:tab w:val="left" w:pos="567"/>
              </w:tabs>
              <w:spacing w:after="60"/>
            </w:pPr>
            <w:r w:rsidRPr="000263D6">
              <w:t>Физиологија животиња</w:t>
            </w:r>
          </w:p>
        </w:tc>
      </w:tr>
      <w:tr w:rsidR="00E62C4F" w:rsidRPr="000263D6" w:rsidTr="000A6397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Докторат</w:t>
            </w:r>
          </w:p>
        </w:tc>
        <w:tc>
          <w:tcPr>
            <w:tcW w:w="837" w:type="dxa"/>
          </w:tcPr>
          <w:p w:rsidR="00E62C4F" w:rsidRPr="000263D6" w:rsidRDefault="00E62C4F" w:rsidP="000A6397">
            <w:r w:rsidRPr="000263D6">
              <w:t>1997</w:t>
            </w:r>
          </w:p>
        </w:tc>
        <w:tc>
          <w:tcPr>
            <w:tcW w:w="4020" w:type="dxa"/>
            <w:gridSpan w:val="5"/>
            <w:shd w:val="clear" w:color="auto" w:fill="auto"/>
            <w:vAlign w:val="center"/>
          </w:tcPr>
          <w:p w:rsidR="00E62C4F" w:rsidRPr="000263D6" w:rsidRDefault="004D2EDF" w:rsidP="000A6397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E0665F" w:rsidP="000A6397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</w:t>
            </w:r>
          </w:p>
        </w:tc>
      </w:tr>
      <w:tr w:rsidR="00E62C4F" w:rsidRPr="000263D6" w:rsidTr="000A6397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Магистратура</w:t>
            </w:r>
          </w:p>
        </w:tc>
        <w:tc>
          <w:tcPr>
            <w:tcW w:w="837" w:type="dxa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1994</w:t>
            </w:r>
          </w:p>
        </w:tc>
        <w:tc>
          <w:tcPr>
            <w:tcW w:w="4020" w:type="dxa"/>
            <w:gridSpan w:val="5"/>
            <w:shd w:val="clear" w:color="auto" w:fill="auto"/>
            <w:vAlign w:val="center"/>
          </w:tcPr>
          <w:p w:rsidR="00E62C4F" w:rsidRPr="000263D6" w:rsidRDefault="004D2EDF" w:rsidP="000A6397">
            <w:pPr>
              <w:tabs>
                <w:tab w:val="left" w:pos="567"/>
              </w:tabs>
              <w:spacing w:after="60"/>
            </w:pPr>
            <w:r w:rsidRPr="000263D6">
              <w:t>Центар за мултидисциплинарне студије УБ</w:t>
            </w:r>
          </w:p>
        </w:tc>
        <w:tc>
          <w:tcPr>
            <w:tcW w:w="3229" w:type="dxa"/>
            <w:vAlign w:val="center"/>
          </w:tcPr>
          <w:p w:rsidR="00E62C4F" w:rsidRPr="003B6289" w:rsidRDefault="003B6289" w:rsidP="000A6397">
            <w:pPr>
              <w:tabs>
                <w:tab w:val="left" w:pos="567"/>
              </w:tabs>
              <w:spacing w:after="60"/>
            </w:pPr>
            <w:r>
              <w:t>Неуронауке</w:t>
            </w:r>
          </w:p>
        </w:tc>
      </w:tr>
      <w:tr w:rsidR="00E62C4F" w:rsidRPr="000263D6" w:rsidTr="000A6397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Диплома</w:t>
            </w:r>
          </w:p>
        </w:tc>
        <w:tc>
          <w:tcPr>
            <w:tcW w:w="837" w:type="dxa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1990</w:t>
            </w:r>
          </w:p>
        </w:tc>
        <w:tc>
          <w:tcPr>
            <w:tcW w:w="4020" w:type="dxa"/>
            <w:gridSpan w:val="5"/>
            <w:shd w:val="clear" w:color="auto" w:fill="auto"/>
            <w:vAlign w:val="center"/>
          </w:tcPr>
          <w:p w:rsidR="00E62C4F" w:rsidRPr="000263D6" w:rsidRDefault="004D2EDF" w:rsidP="000A6397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9F6794" w:rsidP="000A6397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</w:t>
            </w:r>
          </w:p>
        </w:tc>
      </w:tr>
      <w:tr w:rsidR="00E62C4F" w:rsidRPr="000263D6" w:rsidTr="000A6397">
        <w:trPr>
          <w:trHeight w:val="227"/>
        </w:trPr>
        <w:tc>
          <w:tcPr>
            <w:tcW w:w="9979" w:type="dxa"/>
            <w:gridSpan w:val="11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E62C4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rPr>
                <w:iCs/>
              </w:rPr>
              <w:t xml:space="preserve">назив предмета     </w:t>
            </w:r>
          </w:p>
        </w:tc>
        <w:tc>
          <w:tcPr>
            <w:tcW w:w="3391" w:type="dxa"/>
            <w:gridSpan w:val="2"/>
            <w:shd w:val="clear" w:color="auto" w:fill="auto"/>
            <w:vAlign w:val="center"/>
          </w:tcPr>
          <w:p w:rsidR="00E62C4F" w:rsidRPr="000263D6" w:rsidRDefault="00E62C4F" w:rsidP="000A6397">
            <w:pPr>
              <w:tabs>
                <w:tab w:val="left" w:pos="567"/>
              </w:tabs>
              <w:spacing w:after="60"/>
            </w:pPr>
            <w:r w:rsidRPr="000263D6">
              <w:rPr>
                <w:iCs/>
              </w:rPr>
              <w:t>врста студија</w:t>
            </w:r>
          </w:p>
        </w:tc>
      </w:tr>
      <w:tr w:rsidR="000406B2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0406B2" w:rsidRPr="000263D6" w:rsidRDefault="000406B2" w:rsidP="000A6397">
            <w:pPr>
              <w:tabs>
                <w:tab w:val="left" w:pos="567"/>
              </w:tabs>
              <w:spacing w:after="60"/>
            </w:pPr>
            <w:r w:rsidRPr="000263D6">
              <w:t>1.</w:t>
            </w:r>
          </w:p>
        </w:tc>
        <w:tc>
          <w:tcPr>
            <w:tcW w:w="5957" w:type="dxa"/>
            <w:gridSpan w:val="7"/>
          </w:tcPr>
          <w:p w:rsidR="000406B2" w:rsidRPr="000263D6" w:rsidRDefault="000406B2" w:rsidP="000A6397">
            <w:r w:rsidRPr="000263D6">
              <w:t xml:space="preserve">Физиологија животиња  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0406B2" w:rsidRPr="000263D6" w:rsidRDefault="000406B2" w:rsidP="000A6397">
            <w:r w:rsidRPr="000263D6">
              <w:t>Основне академске</w:t>
            </w:r>
          </w:p>
        </w:tc>
      </w:tr>
      <w:tr w:rsidR="000406B2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0406B2" w:rsidRPr="000263D6" w:rsidRDefault="000406B2" w:rsidP="000A6397">
            <w:pPr>
              <w:tabs>
                <w:tab w:val="left" w:pos="567"/>
              </w:tabs>
              <w:spacing w:after="60"/>
            </w:pPr>
            <w:r w:rsidRPr="000263D6">
              <w:t>2.</w:t>
            </w:r>
          </w:p>
        </w:tc>
        <w:tc>
          <w:tcPr>
            <w:tcW w:w="5957" w:type="dxa"/>
            <w:gridSpan w:val="7"/>
          </w:tcPr>
          <w:p w:rsidR="000406B2" w:rsidRPr="000263D6" w:rsidRDefault="000406B2" w:rsidP="000A6397">
            <w:r w:rsidRPr="000263D6">
              <w:t>Основи молекуларне и ћелијске имунологије</w:t>
            </w:r>
            <w:r w:rsidR="003E52EE">
              <w:t xml:space="preserve">, </w:t>
            </w:r>
            <w:r w:rsidR="003E52EE" w:rsidRPr="000263D6">
              <w:t>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0406B2" w:rsidRPr="000263D6" w:rsidRDefault="000406B2" w:rsidP="000A6397">
            <w:r w:rsidRPr="000263D6">
              <w:t>Основне академске</w:t>
            </w:r>
          </w:p>
        </w:tc>
      </w:tr>
      <w:tr w:rsidR="000406B2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0406B2" w:rsidRPr="000263D6" w:rsidRDefault="000406B2" w:rsidP="000A6397">
            <w:pPr>
              <w:tabs>
                <w:tab w:val="left" w:pos="567"/>
              </w:tabs>
              <w:spacing w:after="60"/>
            </w:pPr>
            <w:r w:rsidRPr="000263D6">
              <w:t>3.</w:t>
            </w:r>
          </w:p>
        </w:tc>
        <w:tc>
          <w:tcPr>
            <w:tcW w:w="5957" w:type="dxa"/>
            <w:gridSpan w:val="7"/>
          </w:tcPr>
          <w:p w:rsidR="000406B2" w:rsidRPr="000263D6" w:rsidRDefault="000406B2" w:rsidP="000A6397">
            <w:r w:rsidRPr="000263D6">
              <w:t>Механизми ћелијске комуникације,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0406B2" w:rsidRPr="000263D6" w:rsidRDefault="000406B2" w:rsidP="000A6397">
            <w:r w:rsidRPr="000263D6">
              <w:t>Основне академске</w:t>
            </w:r>
          </w:p>
        </w:tc>
      </w:tr>
      <w:tr w:rsidR="00865709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865709" w:rsidRPr="000263D6" w:rsidRDefault="00865709" w:rsidP="000A6397">
            <w:pPr>
              <w:tabs>
                <w:tab w:val="left" w:pos="567"/>
              </w:tabs>
              <w:spacing w:after="60"/>
            </w:pPr>
            <w:r w:rsidRPr="000263D6">
              <w:t>4.</w:t>
            </w:r>
          </w:p>
        </w:tc>
        <w:tc>
          <w:tcPr>
            <w:tcW w:w="5957" w:type="dxa"/>
            <w:gridSpan w:val="7"/>
          </w:tcPr>
          <w:p w:rsidR="00865709" w:rsidRPr="00865709" w:rsidRDefault="00865709" w:rsidP="000A6397">
            <w:r>
              <w:t xml:space="preserve">Упоредна физиологија животиња, </w:t>
            </w:r>
            <w:r w:rsidR="003E52EE" w:rsidRPr="000263D6">
              <w:t>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865709" w:rsidRPr="000263D6" w:rsidRDefault="00865709" w:rsidP="000A6397">
            <w:r w:rsidRPr="000263D6">
              <w:t>Основне академске</w:t>
            </w:r>
          </w:p>
        </w:tc>
      </w:tr>
      <w:tr w:rsidR="00865709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865709" w:rsidRPr="000263D6" w:rsidRDefault="00865709" w:rsidP="000A6397">
            <w:pPr>
              <w:tabs>
                <w:tab w:val="left" w:pos="567"/>
              </w:tabs>
              <w:spacing w:after="60"/>
            </w:pPr>
            <w:r w:rsidRPr="000263D6">
              <w:t>5.</w:t>
            </w:r>
          </w:p>
        </w:tc>
        <w:tc>
          <w:tcPr>
            <w:tcW w:w="5957" w:type="dxa"/>
            <w:gridSpan w:val="7"/>
          </w:tcPr>
          <w:p w:rsidR="00865709" w:rsidRPr="000263D6" w:rsidRDefault="003E52EE" w:rsidP="000A6397">
            <w:r w:rsidRPr="000263D6">
              <w:t>Репродуктивна ендокринологија,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865709" w:rsidRPr="000263D6" w:rsidRDefault="00865709" w:rsidP="000A6397">
            <w:r w:rsidRPr="000263D6">
              <w:t>Мастер академске</w:t>
            </w:r>
          </w:p>
        </w:tc>
      </w:tr>
      <w:tr w:rsidR="00865709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865709" w:rsidRPr="000263D6" w:rsidRDefault="00865709" w:rsidP="000A6397">
            <w:pPr>
              <w:tabs>
                <w:tab w:val="left" w:pos="567"/>
              </w:tabs>
              <w:spacing w:after="60"/>
            </w:pPr>
            <w:r w:rsidRPr="000263D6">
              <w:t>6.</w:t>
            </w:r>
          </w:p>
        </w:tc>
        <w:tc>
          <w:tcPr>
            <w:tcW w:w="5957" w:type="dxa"/>
            <w:gridSpan w:val="7"/>
          </w:tcPr>
          <w:p w:rsidR="00865709" w:rsidRPr="000263D6" w:rsidRDefault="00865709" w:rsidP="000A6397">
            <w:r w:rsidRPr="000263D6">
              <w:t>Репродуктивна ендокринологија,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865709" w:rsidRPr="000263D6" w:rsidRDefault="00865709" w:rsidP="000A6397">
            <w:r w:rsidRPr="000263D6">
              <w:t>Мастер академске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5957" w:type="dxa"/>
            <w:gridSpan w:val="7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 xml:space="preserve">Сигналне молекуле у репродукцији, </w:t>
            </w:r>
            <w:r w:rsidRPr="000263D6">
              <w:t>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1B49F5" w:rsidP="000A6397">
            <w:r w:rsidRPr="000263D6">
              <w:t>Мастер академске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>8</w:t>
            </w:r>
            <w:r w:rsidRPr="000263D6">
              <w:t>.</w:t>
            </w:r>
          </w:p>
        </w:tc>
        <w:tc>
          <w:tcPr>
            <w:tcW w:w="5957" w:type="dxa"/>
            <w:gridSpan w:val="7"/>
          </w:tcPr>
          <w:p w:rsidR="00372A2F" w:rsidRPr="000263D6" w:rsidRDefault="00372A2F" w:rsidP="000A6397">
            <w:r>
              <w:t>Хронобиолошки аспект репродукције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372A2F" w:rsidP="000A6397"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>9</w:t>
            </w:r>
            <w:r w:rsidRPr="000263D6">
              <w:t>.</w:t>
            </w:r>
          </w:p>
        </w:tc>
        <w:tc>
          <w:tcPr>
            <w:tcW w:w="5957" w:type="dxa"/>
            <w:gridSpan w:val="7"/>
          </w:tcPr>
          <w:p w:rsidR="00372A2F" w:rsidRPr="000263D6" w:rsidRDefault="00372A2F" w:rsidP="000A6397">
            <w:r w:rsidRPr="000263D6">
              <w:t>Молекуларна и ћелијска имунологија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372A2F" w:rsidP="000A6397"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10.</w:t>
            </w:r>
          </w:p>
        </w:tc>
        <w:tc>
          <w:tcPr>
            <w:tcW w:w="5957" w:type="dxa"/>
            <w:gridSpan w:val="7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Молекуларни механизми ћелијских комуникација</w:t>
            </w:r>
            <w:r>
              <w:t>,</w:t>
            </w:r>
            <w:r w:rsidRPr="000263D6">
              <w:t xml:space="preserve">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372A2F" w:rsidP="000A6397"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11.</w:t>
            </w:r>
          </w:p>
        </w:tc>
        <w:tc>
          <w:tcPr>
            <w:tcW w:w="5957" w:type="dxa"/>
            <w:gridSpan w:val="7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>Мреже сигналних путева које регулишу функцију тестиса,</w:t>
            </w:r>
            <w:r w:rsidRPr="000263D6">
              <w:t xml:space="preserve">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372A2F" w:rsidP="000A6397"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12.</w:t>
            </w:r>
          </w:p>
        </w:tc>
        <w:tc>
          <w:tcPr>
            <w:tcW w:w="5957" w:type="dxa"/>
            <w:gridSpan w:val="7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>
              <w:t>Механизми комуникације у репродукцији</w:t>
            </w:r>
            <w:r w:rsidRPr="000263D6">
              <w:t>, ½ курса</w:t>
            </w:r>
          </w:p>
        </w:tc>
        <w:tc>
          <w:tcPr>
            <w:tcW w:w="3391" w:type="dxa"/>
            <w:gridSpan w:val="2"/>
            <w:shd w:val="clear" w:color="auto" w:fill="auto"/>
          </w:tcPr>
          <w:p w:rsidR="00372A2F" w:rsidRPr="000263D6" w:rsidRDefault="00372A2F" w:rsidP="000A6397"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631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1</w:t>
            </w:r>
            <w:r>
              <w:t>3</w:t>
            </w:r>
            <w:r w:rsidRPr="000263D6"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ендокринологија, ½ курса</w:t>
            </w:r>
          </w:p>
        </w:tc>
        <w:tc>
          <w:tcPr>
            <w:tcW w:w="3391" w:type="dxa"/>
            <w:gridSpan w:val="2"/>
            <w:shd w:val="clear" w:color="auto" w:fill="auto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Докторске судије</w:t>
            </w:r>
          </w:p>
        </w:tc>
      </w:tr>
      <w:tr w:rsidR="00372A2F" w:rsidRPr="000263D6" w:rsidTr="000A6397">
        <w:trPr>
          <w:trHeight w:val="227"/>
        </w:trPr>
        <w:tc>
          <w:tcPr>
            <w:tcW w:w="9979" w:type="dxa"/>
            <w:gridSpan w:val="11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Репрезентативне референце (минимално 5 не више од 10)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Baburski AZ, Sokanovic SJ, Andric SA &amp; Kostic TS (2016). </w:t>
            </w:r>
            <w:r w:rsidRPr="00513174">
              <w:rPr>
                <w:rFonts w:eastAsia="Times"/>
                <w:bCs/>
                <w:lang w:val="en-US" w:eastAsia="en-US"/>
              </w:rPr>
              <w:t xml:space="preserve"> </w:t>
            </w:r>
            <w:r w:rsidRPr="00513174">
              <w:rPr>
                <w:bCs/>
                <w:iCs/>
                <w:sz w:val="16"/>
                <w:szCs w:val="16"/>
                <w:lang w:val="en-US"/>
              </w:rPr>
              <w:t xml:space="preserve">Aging has the opposite effect on cAMP and cGMP circadian variations in rat Leydig cells. </w:t>
            </w:r>
            <w:r w:rsidRPr="00513174">
              <w:rPr>
                <w:i/>
                <w:iCs/>
                <w:sz w:val="16"/>
                <w:szCs w:val="16"/>
                <w:lang w:val="en-US"/>
              </w:rPr>
              <w:t xml:space="preserve"> J Comp Physiol B doi.10.1007/s00360-016-1052</w:t>
            </w:r>
            <w:r w:rsidRPr="00513174">
              <w:rPr>
                <w:sz w:val="16"/>
                <w:szCs w:val="16"/>
              </w:rPr>
              <w:t xml:space="preserve">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Baburski AZ, Sokanovic SJ, Radovic SM, Bjelic MM, Andric SA &amp; Kostic TS (2016). Circadian rhythm of the Leydig cells endocrine function is attenuated during aging. </w:t>
            </w:r>
            <w:r w:rsidRPr="00513174">
              <w:rPr>
                <w:i/>
                <w:iCs/>
                <w:sz w:val="16"/>
                <w:szCs w:val="16"/>
              </w:rPr>
              <w:t xml:space="preserve">Exp Gerontol </w:t>
            </w:r>
            <w:r w:rsidRPr="00513174">
              <w:rPr>
                <w:sz w:val="16"/>
                <w:szCs w:val="16"/>
              </w:rPr>
              <w:t xml:space="preserve"> 73: 5-13.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>Gak IA*, Radovic SM*, Dukic AR, Janjic MM, Stojkov-Mimic NJ, Kostic TS &amp; Andric SA (2015).  Stress stimulates mitochondrial biogenesis to preserve steroidogenesis in Leydig cells of adult rats. </w:t>
            </w:r>
            <w:r w:rsidRPr="00513174">
              <w:rPr>
                <w:i/>
                <w:sz w:val="16"/>
                <w:szCs w:val="16"/>
              </w:rPr>
              <w:t>BBA</w:t>
            </w:r>
            <w:r w:rsidRPr="00513174">
              <w:rPr>
                <w:i/>
                <w:iCs/>
                <w:sz w:val="16"/>
                <w:szCs w:val="16"/>
              </w:rPr>
              <w:t>Mol Cell Res</w:t>
            </w:r>
            <w:r w:rsidRPr="00513174">
              <w:rPr>
                <w:iCs/>
                <w:sz w:val="16"/>
                <w:szCs w:val="16"/>
              </w:rPr>
              <w:t xml:space="preserve"> 1853: 2217-2227. </w:t>
            </w:r>
            <w:r w:rsidRPr="00513174">
              <w:rPr>
                <w:sz w:val="16"/>
                <w:szCs w:val="16"/>
              </w:rPr>
              <w:t xml:space="preserve">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ind w:left="8"/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Baburski AZ, Sokanovic SJ, Janjic MM, Stojkov NJ, Bjelic MM, Andric SA &amp; Kostic TS (2015). Melatonin replacement restores the circadian behavior in adult rat Leydig cells after pinealectomy.  </w:t>
            </w:r>
            <w:r w:rsidRPr="00513174">
              <w:rPr>
                <w:i/>
                <w:iCs/>
                <w:sz w:val="16"/>
                <w:szCs w:val="16"/>
              </w:rPr>
              <w:t>Mol Cell Endo</w:t>
            </w:r>
            <w:r w:rsidRPr="00513174">
              <w:rPr>
                <w:sz w:val="16"/>
                <w:szCs w:val="16"/>
              </w:rPr>
              <w:t>413: 26-35. 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jc w:val="both"/>
              <w:rPr>
                <w:bCs/>
                <w:sz w:val="16"/>
                <w:szCs w:val="16"/>
              </w:rPr>
            </w:pPr>
            <w:r w:rsidRPr="00513174">
              <w:rPr>
                <w:bCs/>
                <w:sz w:val="16"/>
                <w:szCs w:val="16"/>
              </w:rPr>
              <w:t xml:space="preserve">Stojkov-Mimic NJ, Bjelic MM, Radovic SM, Mihajlovic AI, Sokanovic SJ, Baburski AZ, Janjic MM, Kostic TS &amp; Andric SA (2015). </w:t>
            </w:r>
            <w:r w:rsidRPr="00513174">
              <w:rPr>
                <w:sz w:val="16"/>
                <w:szCs w:val="16"/>
              </w:rPr>
              <w:t xml:space="preserve"> Intratesticular alpha1-adrenergic receptors mediate stress-disturbed transcription of steroidogenic stimulator NUR77 as well as steroidogenic repressors DAX1 and ARR19 in Leydig cells of adult rats.</w:t>
            </w:r>
            <w:r w:rsidRPr="00513174">
              <w:rPr>
                <w:bCs/>
                <w:sz w:val="16"/>
                <w:szCs w:val="16"/>
              </w:rPr>
              <w:t> </w:t>
            </w:r>
            <w:r w:rsidRPr="00513174">
              <w:rPr>
                <w:bCs/>
                <w:i/>
                <w:iCs/>
                <w:sz w:val="16"/>
                <w:szCs w:val="16"/>
              </w:rPr>
              <w:t xml:space="preserve">Mol Cell Endo </w:t>
            </w:r>
            <w:r w:rsidRPr="00513174">
              <w:rPr>
                <w:bCs/>
                <w:sz w:val="16"/>
                <w:szCs w:val="16"/>
              </w:rPr>
              <w:t xml:space="preserve">412: 309-319. </w:t>
            </w:r>
            <w:r w:rsidRPr="00513174">
              <w:rPr>
                <w:sz w:val="16"/>
                <w:szCs w:val="16"/>
              </w:rPr>
              <w:t xml:space="preserve">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Bjelic MM, Stojkov NJ, Mihajlovic AI, Baburski AZ, Sokanovic SJ Janjic MM, Kostic TS &amp; Andric SA (2014).  Molecular adaptations of testosterone-producing Leydig cells during systemic </w:t>
            </w:r>
            <w:r w:rsidRPr="00513174">
              <w:rPr>
                <w:i/>
                <w:sz w:val="16"/>
                <w:szCs w:val="16"/>
              </w:rPr>
              <w:t>in vivo</w:t>
            </w:r>
            <w:r w:rsidRPr="00513174">
              <w:rPr>
                <w:sz w:val="16"/>
                <w:szCs w:val="16"/>
              </w:rPr>
              <w:t xml:space="preserve"> blockade of the androgen receptor.  </w:t>
            </w:r>
            <w:r w:rsidRPr="00513174">
              <w:rPr>
                <w:i/>
                <w:iCs/>
                <w:sz w:val="16"/>
                <w:szCs w:val="16"/>
              </w:rPr>
              <w:t>Mol Cell Endo</w:t>
            </w:r>
            <w:r w:rsidRPr="00513174">
              <w:rPr>
                <w:sz w:val="16"/>
                <w:szCs w:val="16"/>
              </w:rPr>
              <w:t>396 (1-2): 10-25.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Sokanovic SJ, Janjic MM, Stojkov NJ, Baburski AZ, Bjelic MM, Andric SA &amp; Kostic TS (2014).  Age-related changes in cAMP and MAPK signaling in Leydig cells of Wistar rats. </w:t>
            </w:r>
            <w:r w:rsidRPr="00513174">
              <w:rPr>
                <w:i/>
                <w:sz w:val="16"/>
                <w:szCs w:val="16"/>
              </w:rPr>
              <w:t xml:space="preserve">Exp Gerontol </w:t>
            </w:r>
            <w:r w:rsidRPr="00513174">
              <w:rPr>
                <w:sz w:val="16"/>
                <w:szCs w:val="16"/>
              </w:rPr>
              <w:t>58: 19-29.М21</w:t>
            </w:r>
            <w:bookmarkStart w:id="0" w:name="_GoBack"/>
            <w:bookmarkEnd w:id="0"/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spacing w:line="276" w:lineRule="auto"/>
              <w:ind w:left="-6" w:firstLine="6"/>
              <w:jc w:val="both"/>
              <w:rPr>
                <w:bCs/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Sokanovic SJ, Baburski AZ, Janjic MM, Stojkov NJ, Bjelic MM, Lalosevic D, Andric SA, Stojilkovic SS &amp; Kostic TS (2013).  The opposing roles of nitric oxide and cGMP in the age-associated decline in rat testicular steroidogenesis.  </w:t>
            </w:r>
            <w:r w:rsidRPr="00513174">
              <w:rPr>
                <w:i/>
                <w:sz w:val="16"/>
                <w:szCs w:val="16"/>
              </w:rPr>
              <w:t xml:space="preserve">Endocrinology </w:t>
            </w:r>
            <w:r w:rsidRPr="00513174">
              <w:rPr>
                <w:sz w:val="16"/>
                <w:szCs w:val="16"/>
              </w:rPr>
              <w:t>154 (10): 3914-3924, 2013.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>Stojkov NJ, Baburski AZ, Janjic MM, Bjelic MM, Mihajlovic AI, Drljaca DM, Sokanovic SJ, Kostic TS &amp; AndricSA (2013)</w:t>
            </w:r>
            <w:r w:rsidRPr="00513174">
              <w:rPr>
                <w:bCs/>
                <w:sz w:val="16"/>
                <w:szCs w:val="16"/>
              </w:rPr>
              <w:t xml:space="preserve">. </w:t>
            </w:r>
            <w:r w:rsidRPr="00513174">
              <w:rPr>
                <w:sz w:val="16"/>
                <w:szCs w:val="16"/>
              </w:rPr>
              <w:t xml:space="preserve"> S</w:t>
            </w:r>
            <w:r w:rsidRPr="00513174">
              <w:rPr>
                <w:bCs/>
                <w:kern w:val="36"/>
                <w:sz w:val="16"/>
                <w:szCs w:val="16"/>
              </w:rPr>
              <w:t xml:space="preserve">ustained </w:t>
            </w:r>
            <w:r w:rsidRPr="00513174">
              <w:rPr>
                <w:bCs/>
                <w:i/>
                <w:kern w:val="36"/>
                <w:sz w:val="16"/>
                <w:szCs w:val="16"/>
              </w:rPr>
              <w:t>in vivo</w:t>
            </w:r>
            <w:r w:rsidRPr="00513174">
              <w:rPr>
                <w:bCs/>
                <w:kern w:val="36"/>
                <w:sz w:val="16"/>
                <w:szCs w:val="16"/>
              </w:rPr>
              <w:t xml:space="preserve"> blockade </w:t>
            </w:r>
            <w:r w:rsidRPr="00513174">
              <w:rPr>
                <w:sz w:val="16"/>
                <w:szCs w:val="16"/>
              </w:rPr>
              <w:t>alpha1-</w:t>
            </w:r>
            <w:r w:rsidRPr="00513174">
              <w:rPr>
                <w:bCs/>
                <w:kern w:val="36"/>
                <w:sz w:val="16"/>
                <w:szCs w:val="16"/>
              </w:rPr>
              <w:t>adrenergic receptors prevented some of stress-triggered effects on steroidogenic machinery in Leydig cells.</w:t>
            </w:r>
            <w:r w:rsidRPr="00513174">
              <w:rPr>
                <w:bCs/>
                <w:sz w:val="16"/>
                <w:szCs w:val="16"/>
              </w:rPr>
              <w:t xml:space="preserve">  </w:t>
            </w:r>
            <w:r w:rsidRPr="00513174">
              <w:rPr>
                <w:i/>
                <w:sz w:val="16"/>
                <w:szCs w:val="16"/>
              </w:rPr>
              <w:t xml:space="preserve">Am J Physiol Endocrinol Metab </w:t>
            </w:r>
            <w:r w:rsidRPr="00513174">
              <w:rPr>
                <w:sz w:val="16"/>
                <w:szCs w:val="16"/>
              </w:rPr>
              <w:t>305 (2): E194-E204.  М21</w:t>
            </w:r>
          </w:p>
        </w:tc>
      </w:tr>
      <w:tr w:rsidR="00372A2F" w:rsidRPr="000263D6" w:rsidTr="00513174">
        <w:trPr>
          <w:trHeight w:val="227"/>
        </w:trPr>
        <w:tc>
          <w:tcPr>
            <w:tcW w:w="534" w:type="dxa"/>
            <w:vAlign w:val="center"/>
          </w:tcPr>
          <w:p w:rsidR="00372A2F" w:rsidRPr="00F42CF6" w:rsidRDefault="00372A2F" w:rsidP="000A6397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</w:p>
        </w:tc>
        <w:tc>
          <w:tcPr>
            <w:tcW w:w="9445" w:type="dxa"/>
            <w:gridSpan w:val="10"/>
            <w:shd w:val="clear" w:color="auto" w:fill="auto"/>
          </w:tcPr>
          <w:p w:rsidR="00372A2F" w:rsidRPr="00513174" w:rsidRDefault="00372A2F" w:rsidP="000A6397">
            <w:pPr>
              <w:jc w:val="both"/>
              <w:rPr>
                <w:sz w:val="16"/>
                <w:szCs w:val="16"/>
              </w:rPr>
            </w:pPr>
            <w:r w:rsidRPr="00513174">
              <w:rPr>
                <w:sz w:val="16"/>
                <w:szCs w:val="16"/>
              </w:rPr>
              <w:t xml:space="preserve">Andric SA, Kojic Z, Bjelic MM, Mihajlovic AI, Baburski AZ, Sokanovic SJ, Janjic MM, Stojkov NJ, Stojilkovic SS &amp; Kostic TS (2013).  The opposite role of glucocorticoid and alpha1-adrenergic receptors in stress-triggered apoptosis of Leydig cells. </w:t>
            </w:r>
            <w:r w:rsidRPr="00513174">
              <w:rPr>
                <w:i/>
                <w:sz w:val="16"/>
                <w:szCs w:val="16"/>
              </w:rPr>
              <w:t>Am J Physiol Endocrinol Metab</w:t>
            </w:r>
            <w:r w:rsidRPr="00513174">
              <w:rPr>
                <w:sz w:val="16"/>
                <w:szCs w:val="16"/>
              </w:rPr>
              <w:t xml:space="preserve"> 304(1):E51-E59. М21</w:t>
            </w:r>
          </w:p>
        </w:tc>
      </w:tr>
      <w:tr w:rsidR="00372A2F" w:rsidRPr="000263D6" w:rsidTr="000A6397">
        <w:trPr>
          <w:trHeight w:val="227"/>
        </w:trPr>
        <w:tc>
          <w:tcPr>
            <w:tcW w:w="9979" w:type="dxa"/>
            <w:gridSpan w:val="11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72A2F" w:rsidRPr="000263D6" w:rsidTr="000A6397">
        <w:trPr>
          <w:trHeight w:val="227"/>
        </w:trPr>
        <w:tc>
          <w:tcPr>
            <w:tcW w:w="3843" w:type="dxa"/>
            <w:gridSpan w:val="6"/>
            <w:vAlign w:val="center"/>
          </w:tcPr>
          <w:p w:rsidR="00372A2F" w:rsidRPr="00513174" w:rsidRDefault="00372A2F" w:rsidP="000A6397">
            <w:pPr>
              <w:tabs>
                <w:tab w:val="left" w:pos="567"/>
              </w:tabs>
              <w:spacing w:after="60"/>
            </w:pPr>
            <w:r w:rsidRPr="00513174">
              <w:t>Укупан број цитата</w:t>
            </w:r>
          </w:p>
        </w:tc>
        <w:tc>
          <w:tcPr>
            <w:tcW w:w="6136" w:type="dxa"/>
            <w:gridSpan w:val="5"/>
            <w:vAlign w:val="center"/>
          </w:tcPr>
          <w:p w:rsidR="00372A2F" w:rsidRPr="00513174" w:rsidRDefault="00372A2F" w:rsidP="000A6397">
            <w:pPr>
              <w:tabs>
                <w:tab w:val="left" w:pos="567"/>
              </w:tabs>
              <w:spacing w:after="60"/>
            </w:pPr>
            <w:r w:rsidRPr="00513174">
              <w:t xml:space="preserve">739 хетероцитата,  </w:t>
            </w:r>
            <w:r w:rsidRPr="00513174">
              <w:rPr>
                <w:i/>
              </w:rPr>
              <w:t>h</w:t>
            </w:r>
            <w:r w:rsidRPr="00513174">
              <w:t>-index 16 (SCOPUS)</w:t>
            </w:r>
          </w:p>
        </w:tc>
      </w:tr>
      <w:tr w:rsidR="00372A2F" w:rsidRPr="000263D6" w:rsidTr="000A6397">
        <w:trPr>
          <w:trHeight w:val="227"/>
        </w:trPr>
        <w:tc>
          <w:tcPr>
            <w:tcW w:w="3843" w:type="dxa"/>
            <w:gridSpan w:val="6"/>
            <w:vAlign w:val="center"/>
          </w:tcPr>
          <w:p w:rsidR="00372A2F" w:rsidRPr="00513174" w:rsidRDefault="00372A2F" w:rsidP="000A6397">
            <w:pPr>
              <w:tabs>
                <w:tab w:val="left" w:pos="567"/>
              </w:tabs>
              <w:spacing w:after="60"/>
            </w:pPr>
            <w:r w:rsidRPr="00513174">
              <w:t>Укупан број радова са SCI (SSCI) листе</w:t>
            </w:r>
          </w:p>
        </w:tc>
        <w:tc>
          <w:tcPr>
            <w:tcW w:w="6136" w:type="dxa"/>
            <w:gridSpan w:val="5"/>
            <w:vAlign w:val="center"/>
          </w:tcPr>
          <w:p w:rsidR="00372A2F" w:rsidRPr="00513174" w:rsidRDefault="00372A2F" w:rsidP="000A6397">
            <w:pPr>
              <w:tabs>
                <w:tab w:val="left" w:pos="567"/>
              </w:tabs>
              <w:spacing w:after="60"/>
            </w:pPr>
            <w:r w:rsidRPr="00513174">
              <w:t>52</w:t>
            </w:r>
          </w:p>
        </w:tc>
      </w:tr>
      <w:tr w:rsidR="00372A2F" w:rsidRPr="000263D6" w:rsidTr="000A6397">
        <w:trPr>
          <w:trHeight w:val="227"/>
        </w:trPr>
        <w:tc>
          <w:tcPr>
            <w:tcW w:w="3843" w:type="dxa"/>
            <w:gridSpan w:val="6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Тренутно учешће на пројектима</w:t>
            </w:r>
          </w:p>
        </w:tc>
        <w:tc>
          <w:tcPr>
            <w:tcW w:w="2068" w:type="dxa"/>
            <w:gridSpan w:val="2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Домаћи</w:t>
            </w:r>
            <w:r>
              <w:t xml:space="preserve"> </w:t>
            </w:r>
            <w:r w:rsidRPr="00513174">
              <w:t>3</w:t>
            </w:r>
          </w:p>
        </w:tc>
        <w:tc>
          <w:tcPr>
            <w:tcW w:w="4068" w:type="dxa"/>
            <w:gridSpan w:val="3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Међународни</w:t>
            </w:r>
            <w:r>
              <w:t xml:space="preserve"> </w:t>
            </w:r>
            <w:r w:rsidRPr="00513174">
              <w:t>4</w:t>
            </w:r>
          </w:p>
        </w:tc>
      </w:tr>
      <w:tr w:rsidR="00372A2F" w:rsidRPr="000263D6" w:rsidTr="000A6397">
        <w:trPr>
          <w:trHeight w:val="227"/>
        </w:trPr>
        <w:tc>
          <w:tcPr>
            <w:tcW w:w="1750" w:type="dxa"/>
            <w:gridSpan w:val="3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 xml:space="preserve">Усавршавања </w:t>
            </w:r>
          </w:p>
        </w:tc>
        <w:tc>
          <w:tcPr>
            <w:tcW w:w="8229" w:type="dxa"/>
            <w:gridSpan w:val="8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 xml:space="preserve">1999–2002.  </w:t>
            </w:r>
            <w:r w:rsidRPr="000263D6">
              <w:rPr>
                <w:i/>
              </w:rPr>
              <w:t>Visiting fellow –</w:t>
            </w:r>
            <w:r w:rsidRPr="000263D6">
              <w:t xml:space="preserve"> National Institutes of Health (NICHD), Bethesda, USA</w:t>
            </w:r>
            <w:r w:rsidRPr="000263D6">
              <w:rPr>
                <w:rFonts w:ascii="Arial" w:hAnsi="Arial" w:cs="Arial"/>
              </w:rPr>
              <w:t>.</w:t>
            </w:r>
          </w:p>
        </w:tc>
      </w:tr>
      <w:tr w:rsidR="00372A2F" w:rsidRPr="000263D6" w:rsidTr="000A6397">
        <w:trPr>
          <w:trHeight w:val="227"/>
        </w:trPr>
        <w:tc>
          <w:tcPr>
            <w:tcW w:w="9979" w:type="dxa"/>
            <w:gridSpan w:val="11"/>
            <w:vAlign w:val="center"/>
          </w:tcPr>
          <w:p w:rsidR="00372A2F" w:rsidRPr="000263D6" w:rsidRDefault="00372A2F" w:rsidP="000A6397">
            <w:pPr>
              <w:tabs>
                <w:tab w:val="left" w:pos="567"/>
              </w:tabs>
              <w:spacing w:after="60"/>
            </w:pPr>
            <w:r w:rsidRPr="000263D6">
              <w:t>Други подаци које сматрате релевантним</w:t>
            </w:r>
            <w:r>
              <w:t xml:space="preserve"> : </w:t>
            </w:r>
            <w:r w:rsidRPr="00513174">
              <w:t xml:space="preserve">Чланство у научним организацијама: </w:t>
            </w:r>
            <w:r w:rsidRPr="00557B34">
              <w:t>Serbian Biological Society, Serbian Physiological Society, Womens in Endocrinology, FEBS, SDMSRF, MolBioS.</w:t>
            </w:r>
          </w:p>
        </w:tc>
      </w:tr>
    </w:tbl>
    <w:p w:rsidR="00F70BD4" w:rsidRPr="000263D6" w:rsidRDefault="00F70BD4"/>
    <w:sectPr w:rsidR="00F70BD4" w:rsidRPr="000263D6" w:rsidSect="00A54827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characterSpacingControl w:val="doNotCompress"/>
  <w:compat/>
  <w:rsids>
    <w:rsidRoot w:val="004027FA"/>
    <w:rsid w:val="000263D6"/>
    <w:rsid w:val="000406B2"/>
    <w:rsid w:val="00041FF6"/>
    <w:rsid w:val="000573FE"/>
    <w:rsid w:val="000A1106"/>
    <w:rsid w:val="000A6397"/>
    <w:rsid w:val="001241FE"/>
    <w:rsid w:val="00124D28"/>
    <w:rsid w:val="001A498F"/>
    <w:rsid w:val="001A7045"/>
    <w:rsid w:val="001B49F5"/>
    <w:rsid w:val="001B4D94"/>
    <w:rsid w:val="001D53DA"/>
    <w:rsid w:val="001F721C"/>
    <w:rsid w:val="002A49D0"/>
    <w:rsid w:val="002B327F"/>
    <w:rsid w:val="00316658"/>
    <w:rsid w:val="00372A2F"/>
    <w:rsid w:val="003B6289"/>
    <w:rsid w:val="003C2B98"/>
    <w:rsid w:val="003E52EE"/>
    <w:rsid w:val="004027FA"/>
    <w:rsid w:val="004440C8"/>
    <w:rsid w:val="0044467F"/>
    <w:rsid w:val="00487FFE"/>
    <w:rsid w:val="004A0213"/>
    <w:rsid w:val="004B0384"/>
    <w:rsid w:val="004C334F"/>
    <w:rsid w:val="004D2EDF"/>
    <w:rsid w:val="0051138B"/>
    <w:rsid w:val="00513174"/>
    <w:rsid w:val="005138D3"/>
    <w:rsid w:val="00520C61"/>
    <w:rsid w:val="00526339"/>
    <w:rsid w:val="0053701E"/>
    <w:rsid w:val="00576CBD"/>
    <w:rsid w:val="005977EA"/>
    <w:rsid w:val="005B220E"/>
    <w:rsid w:val="00626B5E"/>
    <w:rsid w:val="00647394"/>
    <w:rsid w:val="006A0908"/>
    <w:rsid w:val="006D3946"/>
    <w:rsid w:val="006F1B10"/>
    <w:rsid w:val="00704C88"/>
    <w:rsid w:val="00720807"/>
    <w:rsid w:val="00781755"/>
    <w:rsid w:val="007A7C3B"/>
    <w:rsid w:val="007B090E"/>
    <w:rsid w:val="00865709"/>
    <w:rsid w:val="008B4050"/>
    <w:rsid w:val="008D2B78"/>
    <w:rsid w:val="009B2053"/>
    <w:rsid w:val="009F6794"/>
    <w:rsid w:val="00A16B04"/>
    <w:rsid w:val="00A51F3D"/>
    <w:rsid w:val="00A54827"/>
    <w:rsid w:val="00A56A79"/>
    <w:rsid w:val="00B01120"/>
    <w:rsid w:val="00B07A93"/>
    <w:rsid w:val="00BA7297"/>
    <w:rsid w:val="00BF4512"/>
    <w:rsid w:val="00C07988"/>
    <w:rsid w:val="00C5190E"/>
    <w:rsid w:val="00C76CDE"/>
    <w:rsid w:val="00CC1567"/>
    <w:rsid w:val="00CC5322"/>
    <w:rsid w:val="00D632C0"/>
    <w:rsid w:val="00D66AC4"/>
    <w:rsid w:val="00DA7558"/>
    <w:rsid w:val="00DC2704"/>
    <w:rsid w:val="00E0665F"/>
    <w:rsid w:val="00E07A0D"/>
    <w:rsid w:val="00E62C4F"/>
    <w:rsid w:val="00E84F96"/>
    <w:rsid w:val="00EB4AF4"/>
    <w:rsid w:val="00EC741E"/>
    <w:rsid w:val="00EE22EF"/>
    <w:rsid w:val="00EF4C01"/>
    <w:rsid w:val="00F04C22"/>
    <w:rsid w:val="00F07D77"/>
    <w:rsid w:val="00F42CF6"/>
    <w:rsid w:val="00F4516A"/>
    <w:rsid w:val="00F67B5D"/>
    <w:rsid w:val="00F70BD4"/>
    <w:rsid w:val="00FB00A1"/>
    <w:rsid w:val="00FB2EE4"/>
    <w:rsid w:val="00FE47FB"/>
    <w:rsid w:val="00FE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korisnik</cp:lastModifiedBy>
  <cp:revision>5</cp:revision>
  <dcterms:created xsi:type="dcterms:W3CDTF">2017-01-30T13:07:00Z</dcterms:created>
  <dcterms:modified xsi:type="dcterms:W3CDTF">2017-07-02T12:44:00Z</dcterms:modified>
</cp:coreProperties>
</file>