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260"/>
        <w:gridCol w:w="138"/>
        <w:gridCol w:w="942"/>
        <w:gridCol w:w="1080"/>
        <w:gridCol w:w="990"/>
        <w:gridCol w:w="1620"/>
        <w:gridCol w:w="2898"/>
      </w:tblGrid>
      <w:tr w:rsidR="00BB1FDF" w:rsidRPr="00BD06B2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  <w:t xml:space="preserve">Име и презиме 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126A3B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b/>
                <w:sz w:val="22"/>
                <w:szCs w:val="22"/>
                <w:lang w:val="sr-Cyrl-CS"/>
              </w:rPr>
            </w:pPr>
            <w:r w:rsidRPr="00126A3B">
              <w:rPr>
                <w:rFonts w:ascii="Times New Roman" w:hAnsi="Times New Roman" w:cs="Times New Roman"/>
                <w:b/>
                <w:sz w:val="22"/>
                <w:szCs w:val="22"/>
              </w:rPr>
              <w:t>Maркo Шкoрић</w:t>
            </w:r>
          </w:p>
        </w:tc>
      </w:tr>
      <w:tr w:rsidR="00BB1FDF" w:rsidRPr="00BD06B2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  <w:t>Звање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Ванредни професор</w:t>
            </w:r>
          </w:p>
        </w:tc>
      </w:tr>
      <w:tr w:rsidR="00BB1FDF" w:rsidRPr="00BD06B2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Филозофски факултет</w:t>
            </w:r>
          </w:p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Одсек за социологију</w:t>
            </w:r>
          </w:p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Нови Сад, 2003.</w:t>
            </w:r>
          </w:p>
        </w:tc>
      </w:tr>
      <w:tr w:rsidR="00BB1FDF" w:rsidRPr="00BD06B2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  <w:t>Ужа научна односно уметничка област</w:t>
            </w:r>
          </w:p>
        </w:tc>
        <w:tc>
          <w:tcPr>
            <w:tcW w:w="5508" w:type="dxa"/>
            <w:gridSpan w:val="3"/>
            <w:tcBorders>
              <w:bottom w:val="single" w:sz="4" w:space="0" w:color="auto"/>
            </w:tcBorders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Социологијa</w:t>
            </w:r>
          </w:p>
        </w:tc>
      </w:tr>
      <w:tr w:rsidR="00BB1FDF" w:rsidRPr="00BD06B2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  <w:t>Академска каријера</w:t>
            </w:r>
          </w:p>
        </w:tc>
      </w:tr>
      <w:tr w:rsidR="00BB1FDF" w:rsidRPr="00BD06B2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 xml:space="preserve">Година </w:t>
            </w:r>
          </w:p>
        </w:tc>
        <w:tc>
          <w:tcPr>
            <w:tcW w:w="3690" w:type="dxa"/>
            <w:gridSpan w:val="3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 xml:space="preserve">Институција </w:t>
            </w:r>
          </w:p>
        </w:tc>
        <w:tc>
          <w:tcPr>
            <w:tcW w:w="2898" w:type="dxa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 xml:space="preserve">Област </w:t>
            </w:r>
          </w:p>
        </w:tc>
      </w:tr>
      <w:tr w:rsidR="00BB1FDF" w:rsidRPr="00BD06B2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Избор у звање</w:t>
            </w:r>
          </w:p>
        </w:tc>
        <w:tc>
          <w:tcPr>
            <w:tcW w:w="1080" w:type="dxa"/>
            <w:gridSpan w:val="2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2016.</w:t>
            </w:r>
          </w:p>
        </w:tc>
        <w:tc>
          <w:tcPr>
            <w:tcW w:w="3690" w:type="dxa"/>
            <w:gridSpan w:val="3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Филoзoфски фaкултeт, Нoви Сaд</w:t>
            </w:r>
          </w:p>
        </w:tc>
        <w:tc>
          <w:tcPr>
            <w:tcW w:w="2898" w:type="dxa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i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Социологијa</w:t>
            </w:r>
          </w:p>
        </w:tc>
      </w:tr>
      <w:tr w:rsidR="00BB1FDF" w:rsidRPr="00BD06B2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Докторат</w:t>
            </w:r>
          </w:p>
        </w:tc>
        <w:tc>
          <w:tcPr>
            <w:tcW w:w="1080" w:type="dxa"/>
            <w:gridSpan w:val="2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2011. </w:t>
            </w:r>
          </w:p>
        </w:tc>
        <w:tc>
          <w:tcPr>
            <w:tcW w:w="3690" w:type="dxa"/>
            <w:gridSpan w:val="3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Филoзoфски фaкултeт, Нoви Сaд</w:t>
            </w:r>
          </w:p>
        </w:tc>
        <w:tc>
          <w:tcPr>
            <w:tcW w:w="2898" w:type="dxa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Социологијa</w:t>
            </w:r>
          </w:p>
        </w:tc>
      </w:tr>
      <w:tr w:rsidR="00BB1FDF" w:rsidRPr="00BD06B2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Магистратура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2007.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Филoзoфски фaкултeт, Нoви Сaд</w:t>
            </w:r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Социологијa</w:t>
            </w:r>
          </w:p>
        </w:tc>
      </w:tr>
      <w:tr w:rsidR="00BB1FDF" w:rsidRPr="00BD06B2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Диплома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2002.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Филoзoфски фaкултeт, Нoви Сaд</w:t>
            </w:r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Социологијa</w:t>
            </w:r>
          </w:p>
        </w:tc>
      </w:tr>
      <w:tr w:rsidR="00BB1FDF" w:rsidRPr="00BD06B2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  <w:t>Списак предмета које наставник држи у текућој школској години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Р.Б.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2"/>
                <w:szCs w:val="22"/>
                <w:lang w:val="sr-Cyrl-CS" w:eastAsia="en-US" w:bidi="ar-SA"/>
              </w:rPr>
              <w:t xml:space="preserve">назив предмета     </w:t>
            </w:r>
          </w:p>
        </w:tc>
        <w:tc>
          <w:tcPr>
            <w:tcW w:w="4518" w:type="dxa"/>
            <w:gridSpan w:val="2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2"/>
                <w:szCs w:val="22"/>
                <w:lang w:val="sr-Cyrl-CS" w:eastAsia="en-US" w:bidi="ar-SA"/>
              </w:rPr>
              <w:t>врста студија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1.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Друштвене теорије антике и средњег века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2.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Друштвене теорије новог века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3.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Увод у антропологију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4.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Историја науке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widowControl/>
              <w:spacing w:before="20" w:after="20"/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</w:pPr>
            <w:r w:rsidRPr="00436407"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  <w:t>Дипломирани социолог – основне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5.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Савремене социолошке теорије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en-US" w:eastAsia="en-US" w:bidi="ar-SA"/>
              </w:rPr>
              <w:t>6.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Социологија науке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</w:pPr>
            <w:r w:rsidRPr="00436407"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  <w:t>Дипломирани социолог – основне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en-US" w:eastAsia="en-US" w:bidi="ar-SA"/>
              </w:rPr>
              <w:t>7.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Постмодерне социолошке теорије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</w:pPr>
            <w:r w:rsidRPr="00436407"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  <w:t>Мастер социолог – мастер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en-US" w:eastAsia="en-US" w:bidi="ar-SA"/>
              </w:rPr>
              <w:t>8.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/>
              </w:rPr>
              <w:t>Социологија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</w:pPr>
            <w:r w:rsidRPr="00436407"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  <w:t>Географија, Професор географије – основне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en-US" w:eastAsia="en-US" w:bidi="ar-SA"/>
              </w:rPr>
              <w:t>9.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436407" w:rsidRDefault="00BB1FDF" w:rsidP="003B775F">
            <w:pPr>
              <w:spacing w:before="20" w:after="20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  <w:lang/>
              </w:rPr>
              <w:t>Социологија у туризму</w:t>
            </w:r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43640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</w:pPr>
            <w:r w:rsidRPr="00436407">
              <w:rPr>
                <w:rFonts w:ascii="Times New Roman" w:eastAsia="TimesNewRomanPSMT" w:hAnsi="Times New Roman" w:cs="Times New Roman"/>
                <w:sz w:val="22"/>
                <w:szCs w:val="22"/>
                <w:lang w:eastAsia="en-US"/>
              </w:rPr>
              <w:t>Дипломирани туризмолог – основне студије</w:t>
            </w:r>
          </w:p>
        </w:tc>
      </w:tr>
      <w:tr w:rsidR="00BB1FDF" w:rsidRPr="00BD06B2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  <w:t>Репрезентативне референце (минимално 5 не више од 10)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1.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  <w:szCs w:val="22"/>
              </w:rPr>
            </w:pPr>
            <w:r w:rsidRPr="00126A3B">
              <w:rPr>
                <w:rFonts w:ascii="Times New Roman" w:hAnsi="Times New Roman" w:cs="Times New Roman"/>
                <w:sz w:val="20"/>
                <w:szCs w:val="22"/>
              </w:rPr>
              <w:t xml:space="preserve">Škorić, M. and A. Kišjuhas (2015). Magic social numbers: On the social geometry of human groups. </w:t>
            </w:r>
            <w:r w:rsidRPr="00126A3B">
              <w:rPr>
                <w:rFonts w:ascii="Times New Roman" w:hAnsi="Times New Roman" w:cs="Times New Roman"/>
                <w:i/>
                <w:sz w:val="20"/>
                <w:szCs w:val="22"/>
              </w:rPr>
              <w:t>Anthropos</w:t>
            </w:r>
            <w:r w:rsidRPr="00126A3B">
              <w:rPr>
                <w:rFonts w:ascii="Times New Roman" w:hAnsi="Times New Roman" w:cs="Times New Roman"/>
                <w:sz w:val="20"/>
                <w:szCs w:val="22"/>
              </w:rPr>
              <w:t xml:space="preserve"> 110 (2): 489-501. (M23)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2.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  <w:szCs w:val="22"/>
                <w:lang w:val="sr-Cyrl-CS"/>
              </w:rPr>
            </w:pPr>
            <w:r w:rsidRPr="00126A3B">
              <w:rPr>
                <w:rFonts w:ascii="Times New Roman" w:hAnsi="Times New Roman" w:cs="Times New Roman"/>
                <w:sz w:val="20"/>
                <w:szCs w:val="22"/>
              </w:rPr>
              <w:t xml:space="preserve">Škorić, M. (2013). Teorija selekcije Georga Simmela. </w:t>
            </w:r>
            <w:r w:rsidRPr="00126A3B">
              <w:rPr>
                <w:rFonts w:ascii="Times New Roman" w:hAnsi="Times New Roman" w:cs="Times New Roman"/>
                <w:i/>
                <w:sz w:val="20"/>
                <w:szCs w:val="22"/>
              </w:rPr>
              <w:t xml:space="preserve">Filozofska istraživanja </w:t>
            </w:r>
            <w:r w:rsidRPr="00126A3B">
              <w:rPr>
                <w:rFonts w:ascii="Times New Roman" w:hAnsi="Times New Roman" w:cs="Times New Roman"/>
                <w:sz w:val="20"/>
                <w:szCs w:val="22"/>
              </w:rPr>
              <w:t>33 (2): 331-342. (M23)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3.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  <w:szCs w:val="22"/>
                <w:lang w:val="sr-Cyrl-CS"/>
              </w:rPr>
            </w:pPr>
            <w:r w:rsidRPr="00126A3B">
              <w:rPr>
                <w:rFonts w:ascii="Times New Roman" w:hAnsi="Times New Roman" w:cs="Times New Roman"/>
                <w:sz w:val="20"/>
                <w:szCs w:val="22"/>
              </w:rPr>
              <w:t xml:space="preserve">Škorić, M., A. Kišjuhas and J. Škorić (2013). "Excursus on the stranger" in the context of Simmel's sociology of space. </w:t>
            </w:r>
            <w:r w:rsidRPr="00126A3B">
              <w:rPr>
                <w:rFonts w:ascii="Times New Roman" w:hAnsi="Times New Roman" w:cs="Times New Roman"/>
                <w:i/>
                <w:sz w:val="20"/>
                <w:szCs w:val="22"/>
              </w:rPr>
              <w:t>Sociológia – Slovak Sociological Review</w:t>
            </w:r>
            <w:r w:rsidRPr="00126A3B">
              <w:rPr>
                <w:rFonts w:ascii="Times New Roman" w:hAnsi="Times New Roman" w:cs="Times New Roman"/>
                <w:sz w:val="20"/>
                <w:szCs w:val="22"/>
              </w:rPr>
              <w:t xml:space="preserve"> 45 (6): 589-602. (M23)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4.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pStyle w:val="Default"/>
              <w:spacing w:before="20" w:after="20"/>
              <w:rPr>
                <w:sz w:val="20"/>
                <w:szCs w:val="22"/>
              </w:rPr>
            </w:pPr>
            <w:r w:rsidRPr="00126A3B">
              <w:rPr>
                <w:sz w:val="20"/>
                <w:szCs w:val="22"/>
                <w:lang w:val="sr-Cyrl-CS"/>
              </w:rPr>
              <w:t xml:space="preserve">Шкорић, М. (2016). Алфред Кребер и концепт суперорганског. </w:t>
            </w:r>
            <w:r w:rsidRPr="00126A3B">
              <w:rPr>
                <w:i/>
                <w:sz w:val="20"/>
                <w:szCs w:val="22"/>
              </w:rPr>
              <w:t xml:space="preserve">Етноантрополошки проблеми </w:t>
            </w:r>
            <w:r w:rsidRPr="00126A3B">
              <w:rPr>
                <w:sz w:val="20"/>
                <w:szCs w:val="22"/>
              </w:rPr>
              <w:t>11 (1): 85-111. (М24)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5.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126A3B">
              <w:rPr>
                <w:sz w:val="20"/>
                <w:szCs w:val="22"/>
                <w:lang w:val="sr-Cyrl-CS"/>
              </w:rPr>
              <w:t xml:space="preserve">Шкорић, М., А. Кишјухас и Ј. Шкорић (2014). Неки креационистички "аргументи" против биолошке (теорије) еволуције: критичка анализа. </w:t>
            </w:r>
            <w:r w:rsidRPr="00126A3B">
              <w:rPr>
                <w:i/>
                <w:sz w:val="20"/>
                <w:szCs w:val="22"/>
              </w:rPr>
              <w:t xml:space="preserve">Теме </w:t>
            </w:r>
            <w:r w:rsidRPr="00126A3B">
              <w:rPr>
                <w:sz w:val="20"/>
                <w:szCs w:val="22"/>
              </w:rPr>
              <w:t>38 (3): 977-998. (M24)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6.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126A3B">
              <w:rPr>
                <w:sz w:val="20"/>
                <w:szCs w:val="22"/>
                <w:lang w:val="sr-Cyrl-CS"/>
              </w:rPr>
              <w:t xml:space="preserve">Шкорић, М. и А. Кишјухас (2014). Развој и метатеорија социологије револуција. </w:t>
            </w:r>
            <w:r w:rsidRPr="00126A3B">
              <w:rPr>
                <w:i/>
                <w:sz w:val="20"/>
                <w:szCs w:val="22"/>
              </w:rPr>
              <w:t xml:space="preserve">Социолошки преглед </w:t>
            </w:r>
            <w:r w:rsidRPr="00126A3B">
              <w:rPr>
                <w:sz w:val="20"/>
                <w:szCs w:val="22"/>
              </w:rPr>
              <w:t>48 (3): 303-332. (M24)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7.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126A3B">
              <w:rPr>
                <w:sz w:val="20"/>
                <w:szCs w:val="22"/>
                <w:lang w:val="sr-Cyrl-CS"/>
              </w:rPr>
              <w:t xml:space="preserve">Шкорић, М. и А. Кишјухас (2015). </w:t>
            </w:r>
            <w:r w:rsidRPr="00126A3B">
              <w:rPr>
                <w:i/>
                <w:sz w:val="20"/>
                <w:szCs w:val="22"/>
                <w:lang w:val="sr-Cyrl-CS"/>
              </w:rPr>
              <w:t xml:space="preserve">Водич кроз идеологије </w:t>
            </w:r>
            <w:r w:rsidRPr="00126A3B">
              <w:rPr>
                <w:i/>
                <w:sz w:val="20"/>
                <w:szCs w:val="22"/>
              </w:rPr>
              <w:t>II</w:t>
            </w:r>
            <w:r w:rsidRPr="00126A3B">
              <w:rPr>
                <w:sz w:val="20"/>
                <w:szCs w:val="22"/>
                <w:lang w:val="sr-Cyrl-CS"/>
              </w:rPr>
              <w:t xml:space="preserve">. Нови Сад: АКО. </w:t>
            </w:r>
            <w:r w:rsidRPr="00126A3B">
              <w:rPr>
                <w:sz w:val="20"/>
                <w:szCs w:val="22"/>
              </w:rPr>
              <w:t>(M42)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8.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126A3B">
              <w:rPr>
                <w:sz w:val="20"/>
                <w:szCs w:val="22"/>
                <w:lang w:val="sr-Cyrl-CS"/>
              </w:rPr>
              <w:t xml:space="preserve">Шкорић, М. и А. Кишјухас (2014). </w:t>
            </w:r>
            <w:r w:rsidRPr="00126A3B">
              <w:rPr>
                <w:i/>
                <w:sz w:val="20"/>
                <w:szCs w:val="22"/>
                <w:lang w:val="sr-Cyrl-CS"/>
              </w:rPr>
              <w:t xml:space="preserve">Водич кроз идеологије </w:t>
            </w:r>
            <w:r w:rsidRPr="00126A3B">
              <w:rPr>
                <w:i/>
                <w:sz w:val="20"/>
                <w:szCs w:val="22"/>
              </w:rPr>
              <w:t>I</w:t>
            </w:r>
            <w:r w:rsidRPr="00126A3B">
              <w:rPr>
                <w:sz w:val="20"/>
                <w:szCs w:val="22"/>
                <w:lang w:val="sr-Cyrl-CS"/>
              </w:rPr>
              <w:t xml:space="preserve">. Нови Сад: АКО. </w:t>
            </w:r>
            <w:r w:rsidRPr="00126A3B">
              <w:rPr>
                <w:sz w:val="20"/>
                <w:szCs w:val="22"/>
              </w:rPr>
              <w:t>(M42)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9.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szCs w:val="22"/>
                <w:lang w:val="en-US"/>
              </w:rPr>
            </w:pPr>
            <w:r w:rsidRPr="00126A3B">
              <w:rPr>
                <w:rFonts w:ascii="Times New Roman" w:hAnsi="Times New Roman" w:cs="Times New Roman"/>
                <w:sz w:val="20"/>
                <w:szCs w:val="22"/>
                <w:lang w:val="sr-Cyrl-CS" w:eastAsia="en-US"/>
              </w:rPr>
              <w:t xml:space="preserve">Шкорић, М. и А. Кишјухас (2012). </w:t>
            </w:r>
            <w:r w:rsidRPr="00126A3B">
              <w:rPr>
                <w:rFonts w:ascii="Times New Roman" w:hAnsi="Times New Roman" w:cs="Times New Roman"/>
                <w:i/>
                <w:sz w:val="20"/>
                <w:szCs w:val="22"/>
                <w:lang w:val="sr-Cyrl-CS" w:eastAsia="en-US"/>
              </w:rPr>
              <w:t>Еволуција и природна селекција: од Анаксимандра до Дарвина</w:t>
            </w:r>
            <w:r w:rsidRPr="00126A3B">
              <w:rPr>
                <w:rFonts w:ascii="Times New Roman" w:hAnsi="Times New Roman" w:cs="Times New Roman"/>
                <w:sz w:val="20"/>
                <w:szCs w:val="22"/>
                <w:lang w:val="sr-Cyrl-CS" w:eastAsia="en-US"/>
              </w:rPr>
              <w:t xml:space="preserve">. </w:t>
            </w:r>
            <w:r w:rsidRPr="00126A3B">
              <w:rPr>
                <w:rFonts w:ascii="Times New Roman" w:hAnsi="Times New Roman" w:cs="Times New Roman"/>
                <w:sz w:val="20"/>
                <w:szCs w:val="22"/>
                <w:lang w:val="en-US" w:eastAsia="en-US"/>
              </w:rPr>
              <w:t>Нови Сад: Mediterran Publishing. (M42)</w:t>
            </w:r>
          </w:p>
        </w:tc>
      </w:tr>
      <w:tr w:rsidR="00BB1FDF" w:rsidRPr="00126A3B" w:rsidTr="003B775F">
        <w:trPr>
          <w:trHeight w:val="227"/>
        </w:trPr>
        <w:tc>
          <w:tcPr>
            <w:tcW w:w="648" w:type="dxa"/>
            <w:vAlign w:val="center"/>
          </w:tcPr>
          <w:p w:rsidR="00BB1FDF" w:rsidRPr="00126A3B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126A3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10.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126A3B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szCs w:val="22"/>
                <w:lang w:val="sr-Latn-CS"/>
              </w:rPr>
            </w:pPr>
            <w:r w:rsidRPr="00126A3B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Шкорић, М. (2010). </w:t>
            </w:r>
            <w:r w:rsidRPr="00126A3B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Социологија науке: мертоновски и конструктивистички програми</w:t>
            </w:r>
            <w:r w:rsidRPr="00126A3B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. Сремски Карловци и Нови Сад: Издавачка књижарница Зорана Стојановића. (M42)</w:t>
            </w:r>
          </w:p>
        </w:tc>
      </w:tr>
      <w:tr w:rsidR="00BB1FDF" w:rsidRPr="00BD06B2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sr-Cyrl-CS" w:eastAsia="en-US" w:bidi="ar-SA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B1FDF" w:rsidRPr="00BD06B2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Укупан број цитата</w:t>
            </w:r>
          </w:p>
        </w:tc>
        <w:tc>
          <w:tcPr>
            <w:tcW w:w="55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B1FDF" w:rsidRPr="00126B3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B1FDF" w:rsidRPr="00BD06B2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Укупан број радова са SCI (SSCI) листе</w:t>
            </w:r>
          </w:p>
        </w:tc>
        <w:tc>
          <w:tcPr>
            <w:tcW w:w="55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B1FDF" w:rsidRPr="00126B37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BB1FDF" w:rsidRPr="00BD06B2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Тренутно учешће на пројектима</w:t>
            </w:r>
          </w:p>
        </w:tc>
        <w:tc>
          <w:tcPr>
            <w:tcW w:w="2610" w:type="dxa"/>
            <w:gridSpan w:val="2"/>
            <w:vAlign w:val="center"/>
          </w:tcPr>
          <w:p w:rsidR="00BB1FDF" w:rsidRPr="0057411F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Домаћи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en-US" w:bidi="ar-S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2898" w:type="dxa"/>
            <w:vAlign w:val="center"/>
          </w:tcPr>
          <w:p w:rsidR="00BB1FDF" w:rsidRPr="0057411F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Међународни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en-US" w:bidi="ar-S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</w:tr>
      <w:tr w:rsidR="00BB1FDF" w:rsidRPr="00BD06B2" w:rsidTr="003B775F">
        <w:trPr>
          <w:trHeight w:val="227"/>
        </w:trPr>
        <w:tc>
          <w:tcPr>
            <w:tcW w:w="2046" w:type="dxa"/>
            <w:gridSpan w:val="3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 xml:space="preserve">Усавршавања </w:t>
            </w:r>
          </w:p>
        </w:tc>
        <w:tc>
          <w:tcPr>
            <w:tcW w:w="7530" w:type="dxa"/>
            <w:gridSpan w:val="5"/>
            <w:vAlign w:val="center"/>
          </w:tcPr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</w:p>
        </w:tc>
      </w:tr>
      <w:tr w:rsidR="00BB1FDF" w:rsidRPr="00BD06B2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BD06B2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  <w:t>Други подаци које сматрате релевантним</w:t>
            </w:r>
          </w:p>
          <w:p w:rsidR="00BB1FDF" w:rsidRPr="00BD06B2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sr-Cyrl-CS" w:eastAsia="en-US" w:bidi="ar-SA"/>
              </w:rPr>
            </w:pPr>
            <w:r w:rsidRPr="00436407">
              <w:rPr>
                <w:rFonts w:ascii="Times New Roman" w:hAnsi="Times New Roman" w:cs="Times New Roman"/>
                <w:sz w:val="22"/>
                <w:szCs w:val="22"/>
              </w:rPr>
              <w:t>Добитник награде “Др Зоран Ђинђић“ за најбољи дипломски или магистарски рад из филозофских и социолошких наука у Републици Србији”, 2007. године.</w:t>
            </w:r>
          </w:p>
        </w:tc>
      </w:tr>
    </w:tbl>
    <w:p w:rsidR="00BD3AB2" w:rsidRDefault="00BD3AB2"/>
    <w:sectPr w:rsidR="00BD3AB2" w:rsidSect="00BB1FDF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B1FDF"/>
    <w:rsid w:val="001D6956"/>
    <w:rsid w:val="00333E7A"/>
    <w:rsid w:val="003B2FB4"/>
    <w:rsid w:val="00483D00"/>
    <w:rsid w:val="00660319"/>
    <w:rsid w:val="006F71B4"/>
    <w:rsid w:val="008970D5"/>
    <w:rsid w:val="00BB1FDF"/>
    <w:rsid w:val="00BD3AB2"/>
    <w:rsid w:val="00F0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FDF"/>
    <w:pPr>
      <w:widowControl w:val="0"/>
      <w:suppressAutoHyphens/>
      <w:spacing w:after="0" w:line="240" w:lineRule="auto"/>
    </w:pPr>
    <w:rPr>
      <w:rFonts w:ascii="C Verdana" w:eastAsia="Arial Unicode MS" w:hAnsi="C Verdana" w:cs="C Verdana"/>
      <w:color w:val="000000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6956"/>
    <w:pPr>
      <w:widowControl/>
      <w:suppressAutoHyphens w:val="0"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auto"/>
      <w:kern w:val="0"/>
      <w:sz w:val="28"/>
      <w:szCs w:val="28"/>
      <w:lang w:val="en-US"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6956"/>
    <w:pPr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auto"/>
      <w:kern w:val="0"/>
      <w:sz w:val="26"/>
      <w:szCs w:val="26"/>
      <w:lang w:val="en-US"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6956"/>
    <w:pPr>
      <w:widowControl/>
      <w:suppressAutoHyphens w:val="0"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auto"/>
      <w:kern w:val="0"/>
      <w:sz w:val="22"/>
      <w:szCs w:val="22"/>
      <w:lang w:val="en-US"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6956"/>
    <w:pPr>
      <w:widowControl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2"/>
      <w:szCs w:val="22"/>
      <w:lang w:val="en-US"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6956"/>
    <w:pPr>
      <w:widowControl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kern w:val="0"/>
      <w:sz w:val="22"/>
      <w:szCs w:val="22"/>
      <w:lang w:val="en-US"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6956"/>
    <w:pPr>
      <w:widowControl/>
      <w:suppressAutoHyphens w:val="0"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kern w:val="0"/>
      <w:sz w:val="22"/>
      <w:szCs w:val="22"/>
      <w:lang w:val="en-US"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6"/>
    </w:pPr>
    <w:rPr>
      <w:rFonts w:asciiTheme="majorHAnsi" w:eastAsiaTheme="majorEastAsia" w:hAnsiTheme="majorHAnsi" w:cstheme="majorBidi"/>
      <w:i/>
      <w:iCs/>
      <w:color w:val="auto"/>
      <w:kern w:val="0"/>
      <w:sz w:val="22"/>
      <w:szCs w:val="22"/>
      <w:lang w:val="en-US"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7"/>
    </w:pPr>
    <w:rPr>
      <w:rFonts w:asciiTheme="majorHAnsi" w:eastAsiaTheme="majorEastAsia" w:hAnsiTheme="majorHAnsi" w:cstheme="majorBidi"/>
      <w:color w:val="auto"/>
      <w:kern w:val="0"/>
      <w:sz w:val="20"/>
      <w:szCs w:val="20"/>
      <w:lang w:val="en-US"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8"/>
    </w:pPr>
    <w:rPr>
      <w:rFonts w:asciiTheme="majorHAnsi" w:eastAsiaTheme="majorEastAsia" w:hAnsiTheme="majorHAnsi" w:cstheme="majorBidi"/>
      <w:i/>
      <w:iCs/>
      <w:color w:val="auto"/>
      <w:spacing w:val="5"/>
      <w:kern w:val="0"/>
      <w:sz w:val="20"/>
      <w:szCs w:val="20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695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D695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695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695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695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695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695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695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695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D6956"/>
    <w:pPr>
      <w:widowControl/>
      <w:pBdr>
        <w:bottom w:val="single" w:sz="4" w:space="1" w:color="auto"/>
      </w:pBdr>
      <w:suppressAutoHyphens w:val="0"/>
      <w:spacing w:after="200"/>
      <w:contextualSpacing/>
    </w:pPr>
    <w:rPr>
      <w:rFonts w:asciiTheme="majorHAnsi" w:eastAsiaTheme="majorEastAsia" w:hAnsiTheme="majorHAnsi" w:cstheme="majorBidi"/>
      <w:color w:val="auto"/>
      <w:spacing w:val="5"/>
      <w:kern w:val="0"/>
      <w:sz w:val="52"/>
      <w:szCs w:val="52"/>
      <w:lang w:val="en-US"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1D695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956"/>
    <w:pPr>
      <w:widowControl/>
      <w:suppressAutoHyphens w:val="0"/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kern w:val="0"/>
      <w:lang w:val="en-US"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D695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D6956"/>
    <w:rPr>
      <w:b/>
      <w:bCs/>
    </w:rPr>
  </w:style>
  <w:style w:type="character" w:styleId="Emphasis">
    <w:name w:val="Emphasis"/>
    <w:uiPriority w:val="20"/>
    <w:qFormat/>
    <w:rsid w:val="001D695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1D6956"/>
    <w:pPr>
      <w:widowControl/>
      <w:suppressAutoHyphens w:val="0"/>
    </w:pPr>
    <w:rPr>
      <w:rFonts w:asciiTheme="minorHAnsi" w:eastAsiaTheme="minorHAnsi" w:hAnsiTheme="minorHAnsi" w:cstheme="minorBidi"/>
      <w:color w:val="auto"/>
      <w:kern w:val="0"/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1D6956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val="en-US"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D6956"/>
    <w:pPr>
      <w:widowControl/>
      <w:suppressAutoHyphens w:val="0"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color w:val="auto"/>
      <w:kern w:val="0"/>
      <w:sz w:val="22"/>
      <w:szCs w:val="22"/>
      <w:lang w:val="en-US"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1D695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6956"/>
    <w:pPr>
      <w:widowControl/>
      <w:pBdr>
        <w:bottom w:val="single" w:sz="4" w:space="1" w:color="auto"/>
      </w:pBdr>
      <w:suppressAutoHyphens w:val="0"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color w:val="auto"/>
      <w:kern w:val="0"/>
      <w:sz w:val="22"/>
      <w:szCs w:val="22"/>
      <w:lang w:val="en-US"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6956"/>
    <w:rPr>
      <w:b/>
      <w:bCs/>
      <w:i/>
      <w:iCs/>
    </w:rPr>
  </w:style>
  <w:style w:type="character" w:styleId="SubtleEmphasis">
    <w:name w:val="Subtle Emphasis"/>
    <w:uiPriority w:val="19"/>
    <w:qFormat/>
    <w:rsid w:val="001D6956"/>
    <w:rPr>
      <w:i/>
      <w:iCs/>
    </w:rPr>
  </w:style>
  <w:style w:type="character" w:styleId="IntenseEmphasis">
    <w:name w:val="Intense Emphasis"/>
    <w:uiPriority w:val="21"/>
    <w:qFormat/>
    <w:rsid w:val="001D6956"/>
    <w:rPr>
      <w:b/>
      <w:bCs/>
    </w:rPr>
  </w:style>
  <w:style w:type="character" w:styleId="SubtleReference">
    <w:name w:val="Subtle Reference"/>
    <w:uiPriority w:val="31"/>
    <w:qFormat/>
    <w:rsid w:val="001D6956"/>
    <w:rPr>
      <w:smallCaps/>
    </w:rPr>
  </w:style>
  <w:style w:type="character" w:styleId="IntenseReference">
    <w:name w:val="Intense Reference"/>
    <w:uiPriority w:val="32"/>
    <w:qFormat/>
    <w:rsid w:val="001D6956"/>
    <w:rPr>
      <w:smallCaps/>
      <w:spacing w:val="5"/>
      <w:u w:val="single"/>
    </w:rPr>
  </w:style>
  <w:style w:type="character" w:styleId="BookTitle">
    <w:name w:val="Book Title"/>
    <w:aliases w:val="zap"/>
    <w:basedOn w:val="DefaultParagraphFont"/>
    <w:uiPriority w:val="33"/>
    <w:qFormat/>
    <w:rsid w:val="008970D5"/>
    <w:rPr>
      <w:rFonts w:ascii="Times New Roman" w:hAnsi="Times New Roman"/>
      <w:b/>
      <w:bCs/>
      <w:dstrike w:val="0"/>
      <w:spacing w:val="5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6956"/>
    <w:pPr>
      <w:outlineLvl w:val="9"/>
    </w:pPr>
  </w:style>
  <w:style w:type="paragraph" w:customStyle="1" w:styleId="Default">
    <w:name w:val="Default"/>
    <w:rsid w:val="00BB1F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</cp:revision>
  <dcterms:created xsi:type="dcterms:W3CDTF">2017-07-03T11:48:00Z</dcterms:created>
  <dcterms:modified xsi:type="dcterms:W3CDTF">2017-07-03T11:49:00Z</dcterms:modified>
</cp:coreProperties>
</file>