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before="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5.0" w:type="dxa"/>
        <w:jc w:val="left"/>
        <w:tblInd w:w="0.9999999999999964" w:type="dxa"/>
        <w:tblLayout w:type="fixed"/>
        <w:tblLook w:val="0000"/>
      </w:tblPr>
      <w:tblGrid>
        <w:gridCol w:w="567"/>
        <w:gridCol w:w="1345"/>
        <w:gridCol w:w="450"/>
        <w:gridCol w:w="127"/>
        <w:gridCol w:w="1051"/>
        <w:gridCol w:w="815"/>
        <w:gridCol w:w="277"/>
        <w:gridCol w:w="75"/>
        <w:gridCol w:w="1037"/>
        <w:gridCol w:w="411"/>
        <w:gridCol w:w="144"/>
        <w:gridCol w:w="1346"/>
        <w:gridCol w:w="444"/>
        <w:gridCol w:w="2116"/>
        <w:tblGridChange w:id="0">
          <w:tblGrid>
            <w:gridCol w:w="567"/>
            <w:gridCol w:w="1345"/>
            <w:gridCol w:w="450"/>
            <w:gridCol w:w="127"/>
            <w:gridCol w:w="1051"/>
            <w:gridCol w:w="815"/>
            <w:gridCol w:w="277"/>
            <w:gridCol w:w="75"/>
            <w:gridCol w:w="1037"/>
            <w:gridCol w:w="411"/>
            <w:gridCol w:w="144"/>
            <w:gridCol w:w="1346"/>
            <w:gridCol w:w="444"/>
            <w:gridCol w:w="2116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Маја Пех (Maja Pech)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Универзотет у Новом Саду, од 26.03.2001.године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дискретна математика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2020.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дискретна математика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дискретна математика</w:t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2003.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дискретна математика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2000.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дискретна математика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ЦС152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Дискретне структуре 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ЦС154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Дискретне структуре 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ЦС251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Линеарна алгебра и аналитичка геометрија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ЦС751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Комбинаторне структуре у информатици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ЦС758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Напредне теме у комбинаторици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ЦС755</w:t>
            </w:r>
          </w:p>
        </w:tc>
        <w:tc>
          <w:tcPr>
            <w:gridSpan w:val="6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Теорија модела у рачунарским наукама</w:t>
            </w:r>
          </w:p>
        </w:tc>
        <w:tc>
          <w:tcPr>
            <w:gridSpan w:val="3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3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6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Pantić B., Pech M., Towards the Classification of Polymorphism-homogeneous Metric Spaces,  Journal of Multiple- Valued Logic and Soft Computing, Vol 38, Issue 1-2, 153-182 (2022)  (часопис не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 користи doi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Feller Th., Pech Ch., Pech M., The classification of homomorphism homogeneous tournaments, European Journal of Combinatorics, Vol 89, Article 103142 (2020)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https://doi.org/10.1016/j.ejc.2020.103142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Pech Ch., Pech M., On a family of highly regular graphs by Brouwer, Ivanov, and Klin, Discrete Mathematics, Vol 342, No 5 (2019), 1361-1377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https://doi.org/10.1016/j.disc.2019.01.019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Pech Ch., Pech M., Reconstructing the topology of the elementary self- embedding monoids of countable saturated structures, Studia Logica, Volume 106, Issue 3 (2018) 595-613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shd w:fill="fcfcfc" w:val="clear"/>
                <w:rtl w:val="0"/>
              </w:rPr>
              <w:t xml:space="preserve">https://doi.org/10.1007/s11225-017-9756-6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Pech Ch., Pech M., Fraïssé-limits in comma-categories, Applied Categorical Structures, Vol 26,No 4 (2018), 799-820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shd w:fill="fcfcfc" w:val="clear"/>
                <w:rtl w:val="0"/>
              </w:rPr>
              <w:t xml:space="preserve">https://doi.org/10.1007/s10485-018-9519-1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Pech Ch., Pech M., On automatic homeomorphicity for transformation monoids, Monatshefte für Mathematik, Vol 179, No.1 (2016), 129–148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shd w:fill="fcfcfc" w:val="clear"/>
                <w:rtl w:val="0"/>
              </w:rPr>
              <w:t xml:space="preserve">https://doi.org/10.1007/s00605-015-0767-y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widowControl w:val="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Pech Ch., Pech M., On polymorphism-homogeneous relational structures and their clones, Algebra Universalis, Volume 73, Nr.1 (2015), 53–85.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shd w:fill="fcfcfc" w:val="clear"/>
                <w:rtl w:val="0"/>
              </w:rPr>
              <w:t xml:space="preserve">https://doi.org/10.1007/s00012-014-0310-3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before="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F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Mašulović D., Pech M., Oligomorphic Transformation Monoids and Homomorphism-Homogeneous Structures, Fundamenta Mathematicae, Volume 212, Nr.1 (2011), 17–34.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rtl w:val="0"/>
              </w:rPr>
              <w:t xml:space="preserve">DOI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515050"/>
                  <w:sz w:val="20"/>
                  <w:szCs w:val="20"/>
                  <w:u w:val="single"/>
                  <w:rtl w:val="0"/>
                </w:rPr>
                <w:t xml:space="preserve">10.4064/fm212-1-2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54 (SCOPUS)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E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6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C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0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67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7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 Дрезден, Немачка (2002- ) (неколико студијских боравака)</w:t>
            </w:r>
          </w:p>
          <w:p w:rsidR="00000000" w:rsidDel="00000000" w:rsidP="00000000" w:rsidRDefault="00000000" w:rsidRPr="00000000" w14:paraId="000001B8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Универзитет Бен Гурион, Бер Шева, Израел (2008)</w:t>
            </w:r>
          </w:p>
          <w:p w:rsidR="00000000" w:rsidDel="00000000" w:rsidP="00000000" w:rsidRDefault="00000000" w:rsidRPr="00000000" w14:paraId="000001B9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Универзитет Јоханес Кеплер, Линц, Аустрија (2009)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4">
            <w:pPr>
              <w:widowControl w:val="0"/>
              <w:tabs>
                <w:tab w:val="left" w:leader="none" w:pos="567"/>
              </w:tabs>
              <w:spacing w:after="60" w:before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 : Професор на замени на Институту за алгебру ТУ Дрезден, Немачка (2012-2014, летњи семестар 2015 и 2016)</w:t>
            </w:r>
          </w:p>
        </w:tc>
      </w:tr>
    </w:tbl>
    <w:p w:rsidR="00000000" w:rsidDel="00000000" w:rsidP="00000000" w:rsidRDefault="00000000" w:rsidRPr="00000000" w14:paraId="000001D2">
      <w:pPr>
        <w:tabs>
          <w:tab w:val="left" w:leader="none" w:pos="567"/>
        </w:tabs>
        <w:spacing w:after="60" w:before="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426" w:left="851" w:right="1276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widowControl w:val="1"/>
      <w:bidi w:val="0"/>
      <w:spacing w:after="0" w:before="0"/>
      <w:jc w:val="left"/>
    </w:pPr>
    <w:rPr>
      <w:rFonts w:ascii="Calibri" w:cs="Times New Roman" w:eastAsia="Calibri" w:hAnsi="Calibri"/>
      <w:color w:val="auto"/>
      <w:kern w:val="0"/>
      <w:sz w:val="22"/>
      <w:szCs w:val="22"/>
      <w:lang w:bidi="ar-SA" w:eastAsia="en-US" w:val="sr-RS"/>
    </w:rPr>
  </w:style>
  <w:style w:type="character" w:styleId="DefaultParagraphFont" w:default="1">
    <w:name w:val="Default Paragraph Font"/>
    <w:uiPriority w:val="1"/>
    <w:unhideWhenUsed w:val="1"/>
    <w:qFormat w:val="1"/>
    <w:rPr/>
  </w:style>
  <w:style w:type="character" w:styleId="InternetLink">
    <w:name w:val="Hyperlink"/>
    <w:uiPriority w:val="99"/>
    <w:unhideWhenUsed w:val="1"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 w:val="1"/>
    <w:rsid w:val="005A4C35"/>
    <w:rPr>
      <w:sz w:val="22"/>
      <w:szCs w:val="22"/>
      <w:lang w:val="sr-RS"/>
    </w:rPr>
  </w:style>
  <w:style w:type="character" w:styleId="FooterChar" w:customStyle="1">
    <w:name w:val="Footer Char"/>
    <w:link w:val="Footer"/>
    <w:uiPriority w:val="99"/>
    <w:qFormat w:val="1"/>
    <w:rsid w:val="005A4C35"/>
    <w:rPr>
      <w:sz w:val="22"/>
      <w:szCs w:val="22"/>
      <w:lang w:val="sr-RS"/>
    </w:rPr>
  </w:style>
  <w:style w:type="character" w:styleId="BalloonTextChar" w:customStyle="1">
    <w:name w:val="Balloon Text Char"/>
    <w:link w:val="BalloonText"/>
    <w:uiPriority w:val="99"/>
    <w:semiHidden w:val="1"/>
    <w:qFormat w:val="1"/>
    <w:rsid w:val="00876D2E"/>
    <w:rPr>
      <w:rFonts w:ascii="Tahoma" w:cs="Tahoma" w:hAnsi="Tahoma"/>
      <w:sz w:val="16"/>
      <w:szCs w:val="16"/>
      <w:lang w:val="sr-RS"/>
    </w:rPr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Liberation Sans" w:cs="Arial Unicode MS" w:eastAsia="PingFang SC" w:hAnsi="Liberation Sans"/>
      <w:sz w:val="28"/>
      <w:szCs w:val="28"/>
    </w:rPr>
  </w:style>
  <w:style w:type="paragraph" w:styleId="TextBody">
    <w:name w:val="Body Text"/>
    <w:basedOn w:val="Normal"/>
    <w:pPr>
      <w:spacing w:after="140" w:before="0" w:line="276" w:lineRule="auto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Arial Unicode MS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cs="Arial Unicode MS"/>
      <w:lang w:bidi="zxx" w:eastAsia="zxx" w:val="zxx"/>
    </w:rPr>
  </w:style>
  <w:style w:type="paragraph" w:styleId="HeaderandFooter">
    <w:name w:val="Header and Footer"/>
    <w:basedOn w:val="Normal"/>
    <w:qFormat w:val="1"/>
    <w:pPr/>
    <w:rPr/>
  </w:style>
  <w:style w:type="paragraph" w:styleId="Header">
    <w:name w:val="Header"/>
    <w:basedOn w:val="Normal"/>
    <w:link w:val="HeaderChar"/>
    <w:uiPriority w:val="99"/>
    <w:unhideWhenUsed w:val="1"/>
    <w:rsid w:val="005A4C35"/>
    <w:pPr>
      <w:tabs>
        <w:tab w:val="clear" w:pos="720"/>
        <w:tab w:val="center" w:leader="none" w:pos="4680"/>
        <w:tab w:val="right" w:leader="none" w:pos="9360"/>
      </w:tabs>
    </w:pPr>
    <w:rPr>
      <w:lang w:eastAsia="x-none"/>
    </w:rPr>
  </w:style>
  <w:style w:type="paragraph" w:styleId="Footer">
    <w:name w:val="Footer"/>
    <w:basedOn w:val="Normal"/>
    <w:link w:val="FooterChar"/>
    <w:uiPriority w:val="99"/>
    <w:unhideWhenUsed w:val="1"/>
    <w:rsid w:val="005A4C35"/>
    <w:pPr>
      <w:tabs>
        <w:tab w:val="clear" w:pos="720"/>
        <w:tab w:val="center" w:leader="none" w:pos="4680"/>
        <w:tab w:val="right" w:leader="none" w:pos="9360"/>
      </w:tabs>
    </w:pPr>
    <w:rPr>
      <w:lang w:eastAsia="x-none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qFormat w:val="1"/>
    <w:rsid w:val="00876D2E"/>
    <w:pPr/>
    <w:rPr>
      <w:rFonts w:ascii="Tahoma" w:cs="Tahoma" w:hAnsi="Tahoma"/>
      <w:sz w:val="16"/>
      <w:szCs w:val="16"/>
    </w:rPr>
  </w:style>
  <w:style w:type="paragraph" w:styleId="TableContents">
    <w:name w:val="Table Contents"/>
    <w:basedOn w:val="Normal"/>
    <w:qFormat w:val="1"/>
    <w:pPr>
      <w:widowControl w:val="0"/>
      <w:suppressLineNumbers w:val="1"/>
    </w:pPr>
    <w:rPr/>
  </w:style>
  <w:style w:type="paragraph" w:styleId="TableHeading">
    <w:name w:val="Table Heading"/>
    <w:basedOn w:val="TableContents"/>
    <w:qFormat w:val="1"/>
    <w:pPr>
      <w:suppressLineNumbers w:val="1"/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x.doi.org/10.4064/fm212-1-2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oi.org/10.1016/j.ejc.2020.103142" TargetMode="External"/><Relationship Id="rId8" Type="http://schemas.openxmlformats.org/officeDocument/2006/relationships/hyperlink" Target="https://doi.org/10.1016/j.disc.2019.01.0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g96CuhcN2/2Ah/NT8n9VbtAmTaw==">AMUW2mUi6SVYcTM8vQjVH4mu5Q+OtJturhzdBg9ttI62CuPr831CAFi8T4SCcBiG1PjU1csJEA4szTgGfND2Bhhym1inioIVrbmJEr2r91An5BlSSrUj+P0=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2023-02-07T15:57:00Z</dcterms:created>
  <dc:creator>mane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