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680E2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006"/>
        <w:gridCol w:w="598"/>
        <w:gridCol w:w="96"/>
        <w:gridCol w:w="998"/>
        <w:gridCol w:w="1181"/>
        <w:gridCol w:w="470"/>
        <w:gridCol w:w="183"/>
        <w:gridCol w:w="410"/>
        <w:gridCol w:w="1234"/>
        <w:gridCol w:w="1230"/>
        <w:gridCol w:w="578"/>
        <w:gridCol w:w="1662"/>
      </w:tblGrid>
      <w:tr w:rsidR="00491993" w:rsidRPr="00491993" w14:paraId="40636D65" w14:textId="77777777" w:rsidTr="005F363D">
        <w:trPr>
          <w:trHeight w:val="257"/>
        </w:trPr>
        <w:tc>
          <w:tcPr>
            <w:tcW w:w="5092" w:type="dxa"/>
            <w:gridSpan w:val="8"/>
            <w:vAlign w:val="center"/>
          </w:tcPr>
          <w:p w14:paraId="094B61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114" w:type="dxa"/>
            <w:gridSpan w:val="5"/>
            <w:vAlign w:val="center"/>
          </w:tcPr>
          <w:p w14:paraId="2BE662A7" w14:textId="448D17C5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Ненад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Теофанов</w:t>
            </w:r>
            <w:proofErr w:type="spellEnd"/>
          </w:p>
        </w:tc>
      </w:tr>
      <w:tr w:rsidR="00491993" w:rsidRPr="00491993" w14:paraId="1FCF5CA8" w14:textId="77777777" w:rsidTr="005F363D">
        <w:trPr>
          <w:trHeight w:val="247"/>
        </w:trPr>
        <w:tc>
          <w:tcPr>
            <w:tcW w:w="5092" w:type="dxa"/>
            <w:gridSpan w:val="8"/>
            <w:vAlign w:val="center"/>
          </w:tcPr>
          <w:p w14:paraId="41689588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114" w:type="dxa"/>
            <w:gridSpan w:val="5"/>
            <w:vAlign w:val="center"/>
          </w:tcPr>
          <w:p w14:paraId="643D5414" w14:textId="30835A62" w:rsidR="00491993" w:rsidRPr="004F2C93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636E43FC" w14:textId="77777777" w:rsidTr="005F363D">
        <w:trPr>
          <w:trHeight w:val="427"/>
        </w:trPr>
        <w:tc>
          <w:tcPr>
            <w:tcW w:w="5092" w:type="dxa"/>
            <w:gridSpan w:val="8"/>
            <w:vAlign w:val="center"/>
          </w:tcPr>
          <w:p w14:paraId="7122674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114" w:type="dxa"/>
            <w:gridSpan w:val="5"/>
            <w:vAlign w:val="center"/>
          </w:tcPr>
          <w:p w14:paraId="4FE01ABA" w14:textId="583D7291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199</w:t>
            </w:r>
            <w:r w:rsidR="00032082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  <w:tr w:rsidR="00491993" w:rsidRPr="00491993" w14:paraId="468FDF29" w14:textId="77777777" w:rsidTr="005F363D">
        <w:trPr>
          <w:trHeight w:val="272"/>
        </w:trPr>
        <w:tc>
          <w:tcPr>
            <w:tcW w:w="5092" w:type="dxa"/>
            <w:gridSpan w:val="8"/>
            <w:vAlign w:val="center"/>
          </w:tcPr>
          <w:p w14:paraId="1833026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114" w:type="dxa"/>
            <w:gridSpan w:val="5"/>
            <w:vAlign w:val="center"/>
          </w:tcPr>
          <w:p w14:paraId="77EFD373" w14:textId="5FFEED37" w:rsidR="00491993" w:rsidRPr="00384A2A" w:rsidRDefault="00384A2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491993" w:rsidRPr="00491993" w14:paraId="3F9EFA86" w14:textId="77777777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14:paraId="1870EF74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39134B" w14:paraId="29D34455" w14:textId="77777777" w:rsidTr="005F363D">
        <w:trPr>
          <w:trHeight w:val="427"/>
        </w:trPr>
        <w:tc>
          <w:tcPr>
            <w:tcW w:w="2260" w:type="dxa"/>
            <w:gridSpan w:val="4"/>
            <w:vAlign w:val="center"/>
          </w:tcPr>
          <w:p w14:paraId="50FDC829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8" w:type="dxa"/>
            <w:vAlign w:val="center"/>
          </w:tcPr>
          <w:p w14:paraId="32F4B2CC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707C172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6390DAE1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proofErr w:type="spellStart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  <w:proofErr w:type="spellEnd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4729CE11" w14:textId="77777777" w:rsidR="00AC0E94" w:rsidRPr="00384A2A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84A2A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384A2A" w:rsidRPr="00491993" w14:paraId="1E4A75C9" w14:textId="77777777" w:rsidTr="005F363D">
        <w:trPr>
          <w:trHeight w:val="274"/>
        </w:trPr>
        <w:tc>
          <w:tcPr>
            <w:tcW w:w="2260" w:type="dxa"/>
            <w:gridSpan w:val="4"/>
            <w:vAlign w:val="center"/>
          </w:tcPr>
          <w:p w14:paraId="28F148C6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8" w:type="dxa"/>
            <w:vAlign w:val="center"/>
          </w:tcPr>
          <w:p w14:paraId="4B8189E1" w14:textId="613047BD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43934E2F" w14:textId="48F5A74E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052B4BED" w14:textId="5B5E81C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690C7752" w14:textId="15B557BB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Анализа и вероватноћа</w:t>
            </w:r>
          </w:p>
        </w:tc>
      </w:tr>
      <w:tr w:rsidR="00384A2A" w:rsidRPr="00491993" w14:paraId="13AA05B3" w14:textId="77777777" w:rsidTr="005F363D">
        <w:trPr>
          <w:trHeight w:val="265"/>
        </w:trPr>
        <w:tc>
          <w:tcPr>
            <w:tcW w:w="2260" w:type="dxa"/>
            <w:gridSpan w:val="4"/>
            <w:vAlign w:val="center"/>
          </w:tcPr>
          <w:p w14:paraId="29955033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8" w:type="dxa"/>
            <w:vAlign w:val="center"/>
          </w:tcPr>
          <w:p w14:paraId="6032867F" w14:textId="44C5A9A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0D5EAB67" w14:textId="795E41F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03E24C2A" w14:textId="3014A8EC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1B908E26" w14:textId="2F52550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384A2A" w:rsidRPr="00491993" w14:paraId="1CE5A784" w14:textId="77777777" w:rsidTr="005F363D">
        <w:trPr>
          <w:trHeight w:val="231"/>
        </w:trPr>
        <w:tc>
          <w:tcPr>
            <w:tcW w:w="2260" w:type="dxa"/>
            <w:gridSpan w:val="4"/>
            <w:vAlign w:val="center"/>
          </w:tcPr>
          <w:p w14:paraId="58F2C67E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8" w:type="dxa"/>
            <w:vAlign w:val="center"/>
          </w:tcPr>
          <w:p w14:paraId="74B5BC7E" w14:textId="753E0EC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7B0D1D1D" w14:textId="513D1D21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4122DEBE" w14:textId="30935AE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71C7E694" w14:textId="049488E5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Анализа </w:t>
            </w:r>
          </w:p>
        </w:tc>
      </w:tr>
      <w:tr w:rsidR="00384A2A" w:rsidRPr="00491993" w14:paraId="5E73FE01" w14:textId="77777777" w:rsidTr="005F363D">
        <w:trPr>
          <w:trHeight w:val="197"/>
        </w:trPr>
        <w:tc>
          <w:tcPr>
            <w:tcW w:w="2260" w:type="dxa"/>
            <w:gridSpan w:val="4"/>
            <w:vAlign w:val="center"/>
          </w:tcPr>
          <w:p w14:paraId="3C3C390D" w14:textId="7777777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8" w:type="dxa"/>
            <w:vAlign w:val="center"/>
          </w:tcPr>
          <w:p w14:paraId="6D65866E" w14:textId="155EA83F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1992.</w:t>
            </w:r>
          </w:p>
        </w:tc>
        <w:tc>
          <w:tcPr>
            <w:tcW w:w="1651" w:type="dxa"/>
            <w:gridSpan w:val="2"/>
            <w:shd w:val="clear" w:color="auto" w:fill="auto"/>
            <w:vAlign w:val="center"/>
          </w:tcPr>
          <w:p w14:paraId="6AE31A93" w14:textId="12D75D76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93B">
              <w:rPr>
                <w:rFonts w:ascii="Times New Roman" w:eastAsia="Times New Roman" w:hAnsi="Times New Roman"/>
                <w:sz w:val="20"/>
                <w:szCs w:val="20"/>
              </w:rPr>
              <w:t>УНС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3057" w:type="dxa"/>
            <w:gridSpan w:val="4"/>
            <w:shd w:val="clear" w:color="auto" w:fill="auto"/>
            <w:vAlign w:val="center"/>
          </w:tcPr>
          <w:p w14:paraId="257F79E8" w14:textId="6B2945B7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2674808A" w14:textId="7A53DB6E" w:rsidR="00384A2A" w:rsidRPr="000B3987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384A2A" w:rsidRPr="00491993" w14:paraId="2E03A0EC" w14:textId="77777777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14:paraId="22E45E55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84A2A" w:rsidRPr="00491993" w14:paraId="53C3D607" w14:textId="77777777" w:rsidTr="005F363D">
        <w:trPr>
          <w:trHeight w:val="702"/>
        </w:trPr>
        <w:tc>
          <w:tcPr>
            <w:tcW w:w="560" w:type="dxa"/>
            <w:shd w:val="clear" w:color="auto" w:fill="auto"/>
            <w:vAlign w:val="center"/>
          </w:tcPr>
          <w:p w14:paraId="5C41407E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E541BE8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0BBF6FF9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4A374B05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4645D50F" w14:textId="77777777" w:rsidR="00384A2A" w:rsidRPr="00AC0E94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000B7CEA" w14:textId="77777777" w:rsidR="00384A2A" w:rsidRPr="00491993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proofErr w:type="spellStart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84A2A" w:rsidRPr="00491993" w14:paraId="6B9218DB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1AF6AD27" w14:textId="77777777" w:rsidR="00384A2A" w:rsidRPr="00422881" w:rsidRDefault="00384A2A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45D73C8" w14:textId="7C48D991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М102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102F857E" w14:textId="4454677D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A20F158" w14:textId="1447F78F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2CD763C8" w14:textId="488F58BA" w:rsidR="00384A2A" w:rsidRPr="00422881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5E1BCCF1" w14:textId="64152EC1" w:rsidR="00384A2A" w:rsidRPr="0039134B" w:rsidRDefault="0039134B" w:rsidP="00384A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45FEB13B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5ED08B8F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186CC7D" w14:textId="7FDE1145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ИМ0060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2B5F7B3A" w14:textId="187B8119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Фуријеова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анализа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907332C" w14:textId="2051EF6D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7442C874" w14:textId="346310DF" w:rsidR="005F363D" w:rsidRPr="00422881" w:rsidRDefault="00FC33A4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proofErr w:type="spellStart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</w:t>
            </w:r>
            <w:proofErr w:type="spellEnd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1110BCE" w14:textId="71B19A5E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06BF8A37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56E204A4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7D8EA1C" w14:textId="18BA037D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ИМ0060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179A088B" w14:textId="3324A342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Фуријеова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анализа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B468435" w14:textId="750496E0" w:rsidR="005F363D" w:rsidRPr="005F363D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Вежбе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2B4A9236" w14:textId="0D3E85C9" w:rsidR="005F363D" w:rsidRPr="00422881" w:rsidRDefault="00FC33A4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proofErr w:type="spellStart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</w:t>
            </w:r>
            <w:proofErr w:type="spellEnd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66D7FADB" w14:textId="69710084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5F363D" w:rsidRPr="00491993" w14:paraId="2BD072A0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7D260D9C" w14:textId="77777777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7E50B44" w14:textId="4AAFE30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ОП003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68EDF143" w14:textId="7CB5B5CF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Диференцијални и интегрални рачун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0B4D9513" w14:textId="252FEC3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3A5CA570" w14:textId="0E5A1658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proofErr w:type="spellStart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</w:t>
            </w:r>
            <w:proofErr w:type="spellEnd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математика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0F43819F" w14:textId="1FE31CB5" w:rsidR="005F363D" w:rsidRPr="00422881" w:rsidRDefault="005F363D" w:rsidP="005F36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B06CCF" w:rsidRPr="00491993" w14:paraId="76D9C203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76CA3100" w14:textId="77777777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5C6B4C7" w14:textId="2C43867B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02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7311FFCB" w14:textId="6FBC1047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Увод у анализу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148F1638" w14:textId="1CC979EB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50542567" w14:textId="3F8693AA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472BD010" w14:textId="1FE7099E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06CCF" w:rsidRPr="00491993" w14:paraId="0FBC7857" w14:textId="77777777" w:rsidTr="005F363D">
        <w:trPr>
          <w:trHeight w:val="427"/>
        </w:trPr>
        <w:tc>
          <w:tcPr>
            <w:tcW w:w="560" w:type="dxa"/>
            <w:shd w:val="clear" w:color="auto" w:fill="auto"/>
            <w:vAlign w:val="center"/>
          </w:tcPr>
          <w:p w14:paraId="450B9F2D" w14:textId="6CE3C3E4" w:rsidR="00B06CCF" w:rsidRPr="00FC33A4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E649A7" w14:textId="4AA06783" w:rsidR="00B06CCF" w:rsidRPr="00B06CCF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ИМ0076</w:t>
            </w:r>
          </w:p>
        </w:tc>
        <w:tc>
          <w:tcPr>
            <w:tcW w:w="2873" w:type="dxa"/>
            <w:gridSpan w:val="4"/>
            <w:shd w:val="clear" w:color="auto" w:fill="auto"/>
            <w:vAlign w:val="center"/>
          </w:tcPr>
          <w:p w14:paraId="42A4705F" w14:textId="452BE396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Изабрана поглавља примењене анализе</w:t>
            </w:r>
          </w:p>
        </w:tc>
        <w:tc>
          <w:tcPr>
            <w:tcW w:w="1063" w:type="dxa"/>
            <w:gridSpan w:val="3"/>
            <w:shd w:val="clear" w:color="auto" w:fill="auto"/>
            <w:vAlign w:val="center"/>
          </w:tcPr>
          <w:p w14:paraId="3977CB26" w14:textId="6F21FDAD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43B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14:paraId="43B93417" w14:textId="42918A3B" w:rsidR="00B06CCF" w:rsidRPr="00422881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9134B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П</w:t>
            </w:r>
            <w:proofErr w:type="spellStart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>римењена</w:t>
            </w:r>
            <w:proofErr w:type="spellEnd"/>
            <w:r w:rsidRPr="005F363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математика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B06CCF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310348B" w14:textId="2AF10C25" w:rsidR="00B06CCF" w:rsidRPr="00B06CCF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06CCF" w:rsidRPr="00491993" w14:paraId="3FB099E5" w14:textId="77777777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14:paraId="1AF4E2E1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06CCF" w:rsidRPr="00491993" w14:paraId="6B4E45B6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750CBCF5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04B9E9E2" w14:textId="01969147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F. Bartolucci, S.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Pilipović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Continuity properties of the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shearlet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transform and the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shearlet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synthesis operator on the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Lizorkin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type spaces,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Mathematische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Nachrichten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295 (2022), 2318-2337, </w:t>
            </w:r>
            <w:hyperlink r:id="rId7" w:history="1">
              <w:r w:rsidRPr="00674E93">
                <w:rPr>
                  <w:rStyle w:val="Hiperveza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DOI: 10.1002/mana.202000223 (M22</w:t>
              </w:r>
            </w:hyperlink>
            <w:r w:rsidRPr="00674E93">
              <w:rPr>
                <w:rStyle w:val="Hiperveza"/>
                <w:rFonts w:ascii="Times New Roman" w:eastAsia="Times New Roman" w:hAnsi="Times New Roman"/>
                <w:color w:val="auto"/>
                <w:sz w:val="18"/>
                <w:szCs w:val="18"/>
                <w:u w:val="none"/>
              </w:rPr>
              <w:t>)</w:t>
            </w:r>
          </w:p>
        </w:tc>
      </w:tr>
      <w:tr w:rsidR="00B06CCF" w:rsidRPr="00491993" w14:paraId="0F8B3574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34D54351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748438FD" w14:textId="500D0458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J. Toft, P. Wahlberg, Pseudo-differential operators with isotropic symbols, Wick and anti-Wick operators, and hypoellipticity, </w:t>
            </w:r>
            <w:hyperlink r:id="rId8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Journal des </w:t>
              </w:r>
              <w:proofErr w:type="spellStart"/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Mathématiques</w:t>
              </w:r>
              <w:proofErr w:type="spellEnd"/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  <w:proofErr w:type="spellStart"/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Pures</w:t>
              </w:r>
              <w:proofErr w:type="spellEnd"/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et </w:t>
              </w:r>
              <w:proofErr w:type="spellStart"/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Appliquées</w:t>
              </w:r>
              <w:proofErr w:type="spellEnd"/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 167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2022), 48-100,  DOI: 10.1016/j.matpur.2022.09.002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M21a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B06CCF" w:rsidRPr="00491993" w14:paraId="789F0FA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6A8E5A36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7227B6DC" w14:textId="140C4FD0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P.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Balazs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Continuous frames in tensor product Hilbert spaces, localization operators and density operators, </w:t>
            </w:r>
            <w:hyperlink r:id="rId9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Journal of Physics A: Mathematical and Theoretical, 55 (2022) 145201 (25pp)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  10.1088/1751-8121/ac55eb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M21)</w:t>
            </w:r>
          </w:p>
        </w:tc>
      </w:tr>
      <w:tr w:rsidR="00B06CCF" w:rsidRPr="00491993" w14:paraId="0998028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0929667F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144DD95A" w14:textId="0BC3713C" w:rsidR="00B06CCF" w:rsidRPr="000F2366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Wilson bases and ultradistributions, </w:t>
            </w:r>
            <w:hyperlink r:id="rId10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Axioms,</w:t>
              </w:r>
              <w:r w:rsidRPr="00066797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10</w:t>
              </w:r>
              <w:r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</w:t>
              </w:r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(4), 241</w:t>
              </w:r>
            </w:hyperlink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 w:rsidRPr="00066797">
              <w:rPr>
                <w:rFonts w:ascii="Times New Roman" w:eastAsia="Times New Roman" w:hAnsi="Times New Roman"/>
                <w:sz w:val="18"/>
                <w:szCs w:val="18"/>
              </w:rPr>
              <w:t>2021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DOI: 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10.3390/axioms10040241 (M22)</w:t>
            </w:r>
          </w:p>
        </w:tc>
      </w:tr>
      <w:tr w:rsidR="00B06CCF" w:rsidRPr="00491993" w14:paraId="2A04BE5D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27A69F2F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3E359E3F" w14:textId="57467664" w:rsidR="00B06CCF" w:rsidRPr="0095393A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Pilipović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D.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Rakić</w:t>
            </w:r>
            <w:proofErr w:type="spellEnd"/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, 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Vindas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Multiresolution expansions and wavelets in Gelfand-Shilov spaces,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hyperlink r:id="rId11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RACSAM</w:t>
              </w:r>
            </w:hyperlink>
            <w:r w:rsidRPr="00674E93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114, 66 (2020),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r w:rsidRPr="00674E93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10.1007/s13398-020-00789-4 (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M21a)</w:t>
            </w:r>
          </w:p>
        </w:tc>
      </w:tr>
      <w:tr w:rsidR="00B06CCF" w:rsidRPr="00491993" w14:paraId="0BE50424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1307C9B5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2CD1E904" w14:textId="278683F3" w:rsidR="00B06CCF" w:rsidRPr="00422881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Pilipović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F.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Tomić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A Paley-Wiener theorem in extended </w:t>
            </w:r>
            <w:proofErr w:type="spellStart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Gevrey</w:t>
            </w:r>
            <w:proofErr w:type="spellEnd"/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regularity, </w:t>
            </w:r>
            <w:hyperlink r:id="rId12" w:history="1"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>Journal of Pseudo-Differential Operators and Applications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, 11 (2020), 593–612, 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>DOI: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>10.1007/s11868-019-00298-y</w:t>
            </w:r>
            <w:r>
              <w:rPr>
                <w:rStyle w:val="c-bibliographic-informationvalue"/>
                <w:rFonts w:ascii="Times New Roman" w:hAnsi="Times New Roman"/>
                <w:sz w:val="18"/>
                <w:szCs w:val="18"/>
              </w:rPr>
              <w:t xml:space="preserve"> 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(M22)</w:t>
            </w:r>
          </w:p>
        </w:tc>
      </w:tr>
      <w:tr w:rsidR="00B06CCF" w:rsidRPr="00491993" w14:paraId="1F420686" w14:textId="77777777" w:rsidTr="005F363D">
        <w:trPr>
          <w:trHeight w:val="427"/>
        </w:trPr>
        <w:tc>
          <w:tcPr>
            <w:tcW w:w="560" w:type="dxa"/>
            <w:vAlign w:val="center"/>
          </w:tcPr>
          <w:p w14:paraId="6BDC89B4" w14:textId="77777777" w:rsidR="00B06CCF" w:rsidRPr="00422881" w:rsidRDefault="00B06CCF" w:rsidP="00B06CCF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46" w:type="dxa"/>
            <w:gridSpan w:val="12"/>
            <w:shd w:val="clear" w:color="auto" w:fill="auto"/>
            <w:vAlign w:val="center"/>
          </w:tcPr>
          <w:p w14:paraId="069BBA2D" w14:textId="2C029EE1" w:rsidR="00B06CCF" w:rsidRPr="0095393A" w:rsidRDefault="00B06CCF" w:rsidP="00B06CCF">
            <w:pPr>
              <w:spacing w:before="100" w:beforeAutospacing="1" w:after="100" w:afterAutospacing="1"/>
              <w:ind w:left="34"/>
              <w:rPr>
                <w:rFonts w:ascii="Times New Roman" w:hAnsi="Times New Roman"/>
                <w:sz w:val="18"/>
                <w:szCs w:val="18"/>
              </w:rPr>
            </w:pPr>
            <w:r w:rsidRPr="00674E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N. Teofanov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, Bilinear localization operators on modulation spaces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hyperlink r:id="rId13" w:history="1"/>
            <w:hyperlink r:id="rId14" w:history="1">
              <w:r w:rsidRPr="00674E93">
                <w:rPr>
                  <w:rFonts w:ascii="Times New Roman" w:hAnsi="Times New Roman"/>
                  <w:sz w:val="18"/>
                  <w:szCs w:val="18"/>
                </w:rPr>
                <w:t>Journal of Function Spaces, vol.</w:t>
              </w:r>
              <w:r w:rsidRPr="00674E93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 2018, </w:t>
              </w:r>
            </w:hyperlink>
            <w:r w:rsidRPr="00674E93">
              <w:rPr>
                <w:rFonts w:ascii="Times New Roman" w:eastAsia="Times New Roman" w:hAnsi="Times New Roman"/>
                <w:sz w:val="18"/>
                <w:szCs w:val="18"/>
              </w:rPr>
              <w:t>Art. ID 7560870 (10pp)</w:t>
            </w:r>
            <w:r w:rsidRPr="00674E93">
              <w:rPr>
                <w:rFonts w:ascii="Times New Roman" w:hAnsi="Times New Roman"/>
                <w:sz w:val="18"/>
                <w:szCs w:val="18"/>
              </w:rPr>
              <w:t xml:space="preserve">  (2018) DOI: 1155/2018/7560870 (M21)</w:t>
            </w:r>
          </w:p>
        </w:tc>
      </w:tr>
      <w:tr w:rsidR="00B06CCF" w:rsidRPr="00491993" w14:paraId="13EF4945" w14:textId="77777777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14:paraId="75D8A999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06CCF" w:rsidRPr="00491993" w14:paraId="375617C7" w14:textId="77777777" w:rsidTr="005F363D">
        <w:trPr>
          <w:trHeight w:val="264"/>
        </w:trPr>
        <w:tc>
          <w:tcPr>
            <w:tcW w:w="4439" w:type="dxa"/>
            <w:gridSpan w:val="6"/>
            <w:vAlign w:val="center"/>
          </w:tcPr>
          <w:p w14:paraId="5DDAAB1D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67" w:type="dxa"/>
            <w:gridSpan w:val="7"/>
            <w:vAlign w:val="center"/>
          </w:tcPr>
          <w:p w14:paraId="28E36994" w14:textId="504E6A75" w:rsidR="00B06CCF" w:rsidRPr="00E3746A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395 (269) SCOPUS</w:t>
            </w:r>
          </w:p>
        </w:tc>
      </w:tr>
      <w:tr w:rsidR="00B06CCF" w:rsidRPr="00491993" w14:paraId="30971A56" w14:textId="77777777" w:rsidTr="005F363D">
        <w:trPr>
          <w:trHeight w:val="255"/>
        </w:trPr>
        <w:tc>
          <w:tcPr>
            <w:tcW w:w="4439" w:type="dxa"/>
            <w:gridSpan w:val="6"/>
            <w:vAlign w:val="center"/>
          </w:tcPr>
          <w:p w14:paraId="7CDAEBEE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67" w:type="dxa"/>
            <w:gridSpan w:val="7"/>
            <w:vAlign w:val="center"/>
          </w:tcPr>
          <w:p w14:paraId="759A03F7" w14:textId="0D03D349" w:rsidR="00B06CCF" w:rsidRPr="00EC0927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32</w:t>
            </w:r>
          </w:p>
        </w:tc>
      </w:tr>
      <w:tr w:rsidR="00B06CCF" w:rsidRPr="00491993" w14:paraId="232D0A12" w14:textId="77777777" w:rsidTr="005F363D">
        <w:trPr>
          <w:trHeight w:val="278"/>
        </w:trPr>
        <w:tc>
          <w:tcPr>
            <w:tcW w:w="4439" w:type="dxa"/>
            <w:gridSpan w:val="6"/>
            <w:vAlign w:val="center"/>
          </w:tcPr>
          <w:p w14:paraId="2FDA159B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297" w:type="dxa"/>
            <w:gridSpan w:val="4"/>
            <w:vAlign w:val="center"/>
          </w:tcPr>
          <w:p w14:paraId="5C7BB645" w14:textId="2013D605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3470" w:type="dxa"/>
            <w:gridSpan w:val="3"/>
            <w:vAlign w:val="center"/>
          </w:tcPr>
          <w:p w14:paraId="110C628A" w14:textId="7146C63F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B06CCF" w:rsidRPr="00FC33A4" w14:paraId="58BC7CC8" w14:textId="77777777" w:rsidTr="005F363D">
        <w:trPr>
          <w:trHeight w:val="363"/>
        </w:trPr>
        <w:tc>
          <w:tcPr>
            <w:tcW w:w="2164" w:type="dxa"/>
            <w:gridSpan w:val="3"/>
            <w:vAlign w:val="center"/>
          </w:tcPr>
          <w:p w14:paraId="11E82863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042" w:type="dxa"/>
            <w:gridSpan w:val="10"/>
            <w:vAlign w:val="center"/>
          </w:tcPr>
          <w:p w14:paraId="12621B42" w14:textId="770319D2" w:rsidR="00B06CCF" w:rsidRPr="00491993" w:rsidRDefault="00FC33A4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Бечу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Аустр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ија;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Торину, Италија;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Векшо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Шведска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</w:p>
        </w:tc>
      </w:tr>
      <w:tr w:rsidR="00B06CCF" w:rsidRPr="00491993" w14:paraId="2BE7E55F" w14:textId="77777777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14:paraId="520BDB46" w14:textId="77777777" w:rsidR="00B06CCF" w:rsidRPr="00491993" w:rsidRDefault="00B06CCF" w:rsidP="00B06CC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14:paraId="3CE5E097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46B93" w14:textId="77777777" w:rsidR="00651CAC" w:rsidRDefault="00651CAC" w:rsidP="005A4C35">
      <w:r>
        <w:separator/>
      </w:r>
    </w:p>
  </w:endnote>
  <w:endnote w:type="continuationSeparator" w:id="0">
    <w:p w14:paraId="562A8109" w14:textId="77777777" w:rsidR="00651CAC" w:rsidRDefault="00651CAC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F45B" w14:textId="77777777" w:rsidR="00651CAC" w:rsidRDefault="00651CAC" w:rsidP="005A4C35">
      <w:r>
        <w:separator/>
      </w:r>
    </w:p>
  </w:footnote>
  <w:footnote w:type="continuationSeparator" w:id="0">
    <w:p w14:paraId="0FD86ABA" w14:textId="77777777" w:rsidR="00651CAC" w:rsidRDefault="00651CAC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63769"/>
    <w:multiLevelType w:val="multilevel"/>
    <w:tmpl w:val="CBE2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460093">
    <w:abstractNumId w:val="4"/>
  </w:num>
  <w:num w:numId="2" w16cid:durableId="745691926">
    <w:abstractNumId w:val="0"/>
  </w:num>
  <w:num w:numId="3" w16cid:durableId="1765491299">
    <w:abstractNumId w:val="10"/>
  </w:num>
  <w:num w:numId="4" w16cid:durableId="1188107664">
    <w:abstractNumId w:val="9"/>
  </w:num>
  <w:num w:numId="5" w16cid:durableId="1251693883">
    <w:abstractNumId w:val="7"/>
  </w:num>
  <w:num w:numId="6" w16cid:durableId="1870142423">
    <w:abstractNumId w:val="1"/>
  </w:num>
  <w:num w:numId="7" w16cid:durableId="358048664">
    <w:abstractNumId w:val="6"/>
  </w:num>
  <w:num w:numId="8" w16cid:durableId="1646005936">
    <w:abstractNumId w:val="3"/>
  </w:num>
  <w:num w:numId="9" w16cid:durableId="86850991">
    <w:abstractNumId w:val="2"/>
  </w:num>
  <w:num w:numId="10" w16cid:durableId="599609088">
    <w:abstractNumId w:val="5"/>
  </w:num>
  <w:num w:numId="11" w16cid:durableId="1112044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3E2"/>
    <w:rsid w:val="00032082"/>
    <w:rsid w:val="00081151"/>
    <w:rsid w:val="00085D06"/>
    <w:rsid w:val="00092214"/>
    <w:rsid w:val="000B3987"/>
    <w:rsid w:val="000B76BC"/>
    <w:rsid w:val="000D4C2C"/>
    <w:rsid w:val="000F2366"/>
    <w:rsid w:val="00217AA5"/>
    <w:rsid w:val="00245161"/>
    <w:rsid w:val="0037541D"/>
    <w:rsid w:val="00384A2A"/>
    <w:rsid w:val="0039134B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F363D"/>
    <w:rsid w:val="0063089B"/>
    <w:rsid w:val="00651CAC"/>
    <w:rsid w:val="00675394"/>
    <w:rsid w:val="0068134D"/>
    <w:rsid w:val="00695869"/>
    <w:rsid w:val="006A4922"/>
    <w:rsid w:val="006E4988"/>
    <w:rsid w:val="0071653D"/>
    <w:rsid w:val="0074215C"/>
    <w:rsid w:val="00771730"/>
    <w:rsid w:val="00785BFE"/>
    <w:rsid w:val="00786AE8"/>
    <w:rsid w:val="007E175A"/>
    <w:rsid w:val="007F50EF"/>
    <w:rsid w:val="007F5D13"/>
    <w:rsid w:val="00817D28"/>
    <w:rsid w:val="0084457E"/>
    <w:rsid w:val="00876D2E"/>
    <w:rsid w:val="008778FE"/>
    <w:rsid w:val="008930EB"/>
    <w:rsid w:val="009029EB"/>
    <w:rsid w:val="00911748"/>
    <w:rsid w:val="009210E4"/>
    <w:rsid w:val="00930297"/>
    <w:rsid w:val="0095393A"/>
    <w:rsid w:val="00990BB1"/>
    <w:rsid w:val="00A023E2"/>
    <w:rsid w:val="00A16D12"/>
    <w:rsid w:val="00A5004B"/>
    <w:rsid w:val="00A5284A"/>
    <w:rsid w:val="00A71BAC"/>
    <w:rsid w:val="00A93E9A"/>
    <w:rsid w:val="00AC0E94"/>
    <w:rsid w:val="00AE0D6A"/>
    <w:rsid w:val="00B034BD"/>
    <w:rsid w:val="00B06CCF"/>
    <w:rsid w:val="00B326A7"/>
    <w:rsid w:val="00B63774"/>
    <w:rsid w:val="00B96B87"/>
    <w:rsid w:val="00BE6424"/>
    <w:rsid w:val="00C139F9"/>
    <w:rsid w:val="00C240C0"/>
    <w:rsid w:val="00C351D2"/>
    <w:rsid w:val="00C42611"/>
    <w:rsid w:val="00C502E3"/>
    <w:rsid w:val="00C92B88"/>
    <w:rsid w:val="00CA784F"/>
    <w:rsid w:val="00D02921"/>
    <w:rsid w:val="00D50576"/>
    <w:rsid w:val="00D56D22"/>
    <w:rsid w:val="00D87D1F"/>
    <w:rsid w:val="00DB5296"/>
    <w:rsid w:val="00E2605B"/>
    <w:rsid w:val="00E3746A"/>
    <w:rsid w:val="00E96EB0"/>
    <w:rsid w:val="00EC0927"/>
    <w:rsid w:val="00EF1FF3"/>
    <w:rsid w:val="00F34AB5"/>
    <w:rsid w:val="00F34ABD"/>
    <w:rsid w:val="00F41627"/>
    <w:rsid w:val="00FC33A4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12D84"/>
  <w15:docId w15:val="{9FE4BDB8-61CE-4C0A-B02A-8A78451A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5A4C35"/>
    <w:rPr>
      <w:color w:val="0000FF"/>
      <w:u w:val="single"/>
    </w:rPr>
  </w:style>
  <w:style w:type="paragraph" w:styleId="Zaglavljestranice">
    <w:name w:val="header"/>
    <w:basedOn w:val="Normal"/>
    <w:link w:val="Zaglavljestranice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link w:val="Zaglavljestranice"/>
    <w:uiPriority w:val="99"/>
    <w:rsid w:val="005A4C35"/>
    <w:rPr>
      <w:sz w:val="22"/>
      <w:szCs w:val="22"/>
    </w:rPr>
  </w:style>
  <w:style w:type="paragraph" w:styleId="Podnojestranice">
    <w:name w:val="footer"/>
    <w:basedOn w:val="Normal"/>
    <w:link w:val="Podnojestranice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link w:val="Podnojestranice"/>
    <w:uiPriority w:val="99"/>
    <w:rsid w:val="005A4C35"/>
    <w:rPr>
      <w:sz w:val="22"/>
      <w:szCs w:val="22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link w:val="Tekstubaloniu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c-bibliographic-informationvalue">
    <w:name w:val="c-bibliographic-information__value"/>
    <w:basedOn w:val="Podrazumevanifontpasusa"/>
    <w:rsid w:val="0095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0021782422001271?v=s5" TargetMode="External"/><Relationship Id="rId13" Type="http://schemas.openxmlformats.org/officeDocument/2006/relationships/hyperlink" Target="https://mathscinet.ams.org/mathscinet/search/journaldoc.html?id=82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2/mana.202000223%20M22" TargetMode="External"/><Relationship Id="rId12" Type="http://schemas.openxmlformats.org/officeDocument/2006/relationships/hyperlink" Target="https://link.springer.com/article/10.1007/s11868-019-00298-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springer.com/article/10.1007/s13398-020-00789-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dpi.com/2075-1680/10/4/2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opscience.iop.org/article/10.1088/1751-8121/ac55eb" TargetMode="External"/><Relationship Id="rId14" Type="http://schemas.openxmlformats.org/officeDocument/2006/relationships/hyperlink" Target="https://www.hindawi.com/journals/jfs/2018/756087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542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ТАБЕЛЕ У ДОКУМЕНТАЦИЈИ ЗА АКРЕДИТАЦИЈУ СТУДИЈСКОГ ПРОГРАМА</vt:lpstr>
      <vt:lpstr>ТАБЕЛЕ У ДОКУМЕНТАЦИЈИ ЗА АКРЕДИТАЦИЈУ СТУДИЈСКОГ ПРОГРАМА</vt:lpstr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Nenad Teofanov</cp:lastModifiedBy>
  <cp:revision>5</cp:revision>
  <dcterms:created xsi:type="dcterms:W3CDTF">2023-04-11T08:50:00Z</dcterms:created>
  <dcterms:modified xsi:type="dcterms:W3CDTF">2023-04-12T08:43:00Z</dcterms:modified>
</cp:coreProperties>
</file>