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4.0" w:type="dxa"/>
        <w:jc w:val="left"/>
        <w:tblInd w:w="-54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327"/>
        <w:gridCol w:w="809"/>
        <w:gridCol w:w="421"/>
        <w:gridCol w:w="1134"/>
        <w:gridCol w:w="1102"/>
        <w:gridCol w:w="105"/>
        <w:gridCol w:w="214"/>
        <w:gridCol w:w="138"/>
        <w:gridCol w:w="1213"/>
        <w:gridCol w:w="917"/>
        <w:gridCol w:w="227"/>
        <w:gridCol w:w="2324"/>
        <w:gridCol w:w="1134"/>
        <w:tblGridChange w:id="0">
          <w:tblGrid>
            <w:gridCol w:w="709"/>
            <w:gridCol w:w="327"/>
            <w:gridCol w:w="809"/>
            <w:gridCol w:w="421"/>
            <w:gridCol w:w="1134"/>
            <w:gridCol w:w="1102"/>
            <w:gridCol w:w="105"/>
            <w:gridCol w:w="214"/>
            <w:gridCol w:w="138"/>
            <w:gridCol w:w="1213"/>
            <w:gridCol w:w="917"/>
            <w:gridCol w:w="227"/>
            <w:gridCol w:w="2324"/>
            <w:gridCol w:w="113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Наташа M. Крклец Јеринкић</w:t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УНС ПМФ, 2011.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УНС ПМФ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2014.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УНС ПМФ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21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2007.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УНС ПМФ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Математика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М520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ind w:left="2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Нумеричка анализа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професор математике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ИАС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МБ31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ind w:left="2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Временске серије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Примењена математика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М120, П402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ind w:left="2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Нумеричка анализа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Математика, Примењена математика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П600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ind w:left="2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Завршни рад-истраживање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СИР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Примењена математика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П504, ЦС252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ind w:left="2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Нумеричке методе и оптимизација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Примењена математика, 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П506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ind w:left="2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Увод у машинско учење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Примењена математика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МДС13, MW0105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Временске серије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Примењена математика – наука о подацима, Вештачка интелигенција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MW0006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Мастер рад - истраживање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MW0007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Мастер рад - израда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MW0011</w:t>
            </w:r>
          </w:p>
        </w:tc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Стручна пракса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Вештачка интелигенција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highlight w:val="white"/>
                <w:rtl w:val="0"/>
              </w:rPr>
              <w:t xml:space="preserve">Di Serafino, D., Krejić, N., Krklec Jerinkić, N., Viola, M., LSOS: Line-search Second-Order Stochastic optimization methods for nonconvex finite sums, Mathematics of Computation, 92(341), 2023, 1273-1299,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5282b"/>
                <w:sz w:val="18"/>
                <w:szCs w:val="18"/>
                <w:highlight w:val="white"/>
                <w:rtl w:val="0"/>
              </w:rPr>
              <w:t xml:space="preserve">https://doi.org/10.1090/mcom/3802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highlight w:val="white"/>
                <w:rtl w:val="0"/>
              </w:rPr>
              <w:t xml:space="preserve">   (M21)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8"/>
                <w:szCs w:val="18"/>
                <w:shd w:fill="fcfcfc" w:val="clear"/>
                <w:rtl w:val="0"/>
              </w:rPr>
              <w:t xml:space="preserve">Krejić, N., Krklec Jerinkić, N., Ostojić, T., Spectral projected subgradient method for nonsmooth convex optimization problems. Numerical Algorithms, 2022,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18"/>
                  <w:szCs w:val="18"/>
                  <w:u w:val="single"/>
                  <w:shd w:fill="fcfcfc" w:val="clear"/>
                  <w:rtl w:val="0"/>
                </w:rPr>
                <w:t xml:space="preserve">https://doi.org/10.1007/s11075-022-01419-3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8"/>
                <w:szCs w:val="18"/>
                <w:shd w:fill="fcfcfc" w:val="clear"/>
                <w:rtl w:val="0"/>
              </w:rPr>
              <w:t xml:space="preserve">  (M21a)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Jakovetić, D., Krejić, N., Krklec Jerinkić,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Malaspina, G., Micheletti, A., Distributed fixed point method for solving systems of linear algebraic equations, AUTOMATICA, vol. 134, 2021,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18"/>
                  <w:szCs w:val="18"/>
                  <w:u w:val="single"/>
                  <w:rtl w:val="0"/>
                </w:rPr>
                <w:t xml:space="preserve">https://doi.org/10.1016/j.automatica.2021.109924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(M21a)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Krklec Jerinkić, N., Rožnjik, A., Penalty variable sample size method for solving optimization problems with equality constraints in a form of mathematical expectation,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8"/>
                <w:szCs w:val="18"/>
                <w:shd w:fill="fcfcfc" w:val="clear"/>
                <w:rtl w:val="0"/>
              </w:rPr>
              <w:t xml:space="preserve">Numerical Algorithms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vol. 83(2), 2020, 701-718, 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18"/>
                  <w:szCs w:val="18"/>
                  <w:u w:val="single"/>
                  <w:shd w:fill="fcfcfc" w:val="clear"/>
                  <w:rtl w:val="0"/>
                </w:rPr>
                <w:t xml:space="preserve">https://doi.org/10.1007/s11075-019-00699-6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8"/>
                <w:szCs w:val="18"/>
                <w:shd w:fill="fcfcfc" w:val="clear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(M21a)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Bellavia, S.,Krejić, N., Krklec Jerinkić, N., Subsampled Inexact Newton Methods for minimizing large sums of convex functions, IMA J. Numer. Anal. 40(4), 2020, 2309-2341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06fb7"/>
                  <w:sz w:val="18"/>
                  <w:szCs w:val="18"/>
                  <w:highlight w:val="white"/>
                  <w:u w:val="single"/>
                  <w:rtl w:val="0"/>
                </w:rPr>
                <w:t xml:space="preserve">https://doi.org/10.1093/imanum/drz027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 (M21a)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1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125 (84), SCOPUS</w:t>
            </w:r>
          </w:p>
        </w:tc>
      </w:tr>
      <w:tr>
        <w:trPr>
          <w:cantSplit w:val="0"/>
          <w:trHeight w:val="21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Међународни: 4</w:t>
            </w:r>
          </w:p>
        </w:tc>
      </w:tr>
      <w:tr>
        <w:trPr>
          <w:cantSplit w:val="0"/>
          <w:trHeight w:val="6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Rule="auto"/>
              <w:ind w:left="720" w:firstLine="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D0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9" w:w="11907" w:orient="portrait"/>
      <w:pgMar w:bottom="864" w:top="864" w:left="1152" w:right="115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D2748"/>
    <w:rPr>
      <w:rFonts w:cs="Times New Roman"/>
    </w:rPr>
  </w:style>
  <w:style w:type="paragraph" w:styleId="Heading1">
    <w:name w:val="heading 1"/>
    <w:basedOn w:val="Normal"/>
    <w:next w:val="Normal"/>
    <w:uiPriority w:val="9"/>
    <w:qFormat w:val="1"/>
    <w:rsid w:val="00E2111E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rsid w:val="00E2111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rsid w:val="00E2111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rsid w:val="00E2111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rsid w:val="00E2111E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rsid w:val="00E2111E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rsid w:val="00E2111E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istParagraph">
    <w:name w:val="List Paragraph"/>
    <w:basedOn w:val="Normal"/>
    <w:uiPriority w:val="34"/>
    <w:qFormat w:val="1"/>
    <w:rsid w:val="00445689"/>
    <w:pPr>
      <w:ind w:left="720"/>
      <w:contextualSpacing w:val="1"/>
    </w:pPr>
  </w:style>
  <w:style w:type="character" w:styleId="fontstyle01" w:customStyle="1">
    <w:name w:val="fontstyle01"/>
    <w:basedOn w:val="DefaultParagraphFont"/>
    <w:rsid w:val="0056112E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styleId="Subtitle">
    <w:name w:val="Subtitle"/>
    <w:basedOn w:val="Normal"/>
    <w:next w:val="Normal"/>
    <w:uiPriority w:val="11"/>
    <w:qFormat w:val="1"/>
    <w:rsid w:val="00E2111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E2111E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BodyText">
    <w:name w:val="Body Text"/>
    <w:basedOn w:val="Normal"/>
    <w:link w:val="BodyTextChar"/>
    <w:rsid w:val="002C6B19"/>
    <w:pPr>
      <w:widowControl w:val="0"/>
      <w:suppressAutoHyphens w:val="1"/>
      <w:spacing w:after="140" w:line="288" w:lineRule="auto"/>
    </w:pPr>
    <w:rPr>
      <w:rFonts w:ascii="Liberation Serif" w:cs="Lohit Devanagari" w:eastAsia="Source Han Sans CN Regular" w:hAnsi="Liberation Serif"/>
      <w:kern w:val="2"/>
      <w:sz w:val="24"/>
      <w:szCs w:val="24"/>
      <w:lang w:bidi="en-US"/>
    </w:rPr>
  </w:style>
  <w:style w:type="character" w:styleId="BodyTextChar" w:customStyle="1">
    <w:name w:val="Body Text Char"/>
    <w:basedOn w:val="DefaultParagraphFont"/>
    <w:link w:val="BodyText"/>
    <w:rsid w:val="002C6B19"/>
    <w:rPr>
      <w:rFonts w:ascii="Liberation Serif" w:cs="Lohit Devanagari" w:eastAsia="Source Han Sans CN Regular" w:hAnsi="Liberation Serif"/>
      <w:kern w:val="2"/>
      <w:sz w:val="24"/>
      <w:szCs w:val="24"/>
      <w:lang w:bidi="en-US" w:eastAsia="en-US"/>
    </w:rPr>
  </w:style>
  <w:style w:type="character" w:styleId="Hyperlink">
    <w:name w:val="Hyperlink"/>
    <w:basedOn w:val="DefaultParagraphFont"/>
    <w:uiPriority w:val="99"/>
    <w:unhideWhenUsed w:val="1"/>
    <w:rsid w:val="00F02ACF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doi.org/10.1093/imanum/drz027" TargetMode="External"/><Relationship Id="rId9" Type="http://schemas.openxmlformats.org/officeDocument/2006/relationships/hyperlink" Target="https://doi.org/10.1007/s11075-019-00699-6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i.org/10.1007/s11075-022-01419-3" TargetMode="External"/><Relationship Id="rId8" Type="http://schemas.openxmlformats.org/officeDocument/2006/relationships/hyperlink" Target="https://doi.org/10.1016/j.automatica.2021.1099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YumuK76zOd3pbx9gkv4sAfeu+Q==">CgMxLjAyCGguZ2pkZ3hzOAByITF2UzQ4Z2VtVkVqVDhBanVPTUJmZlhWZmZVNjc1SmRzSA==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2023-03-27T20:02:00Z</dcterms:created>
  <dc:creator>Dora</dc:creator>
</cp:coreProperties>
</file>