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606"/>
        <w:gridCol w:w="1955"/>
        <w:tblGridChange w:id="0">
          <w:tblGrid>
            <w:gridCol w:w="567"/>
            <w:gridCol w:w="1346"/>
            <w:gridCol w:w="450"/>
            <w:gridCol w:w="126"/>
            <w:gridCol w:w="1051"/>
            <w:gridCol w:w="816"/>
            <w:gridCol w:w="277"/>
            <w:gridCol w:w="74"/>
            <w:gridCol w:w="1038"/>
            <w:gridCol w:w="410"/>
            <w:gridCol w:w="144"/>
            <w:gridCol w:w="1346"/>
            <w:gridCol w:w="606"/>
            <w:gridCol w:w="1955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Мирјана Микалачки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 (ПМФ УНС),  2009.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 УНС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 УНС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информатике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---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 УНС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ИОИ06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Аутомати и алгоритми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ИОИ08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Вероватноћа и статистика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M122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Програмирање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М3, М4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ind w:left="34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J. Forcan,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M. Mikalački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shd w:fill="f5f5f5" w:val="clear"/>
                <w:rtl w:val="0"/>
              </w:rPr>
              <w:t xml:space="preserve">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Maker-Breaker total domination games on cubic graphs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Discrete Mathematics and Theoretical Computer Science, 24(1) (2022) #20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u w:val="single"/>
                  <w:rtl w:val="0"/>
                </w:rPr>
                <w:t xml:space="preserve"> https://doi.org/10.46298/dmtcs.8529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J. Forcan,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single"/>
                <w:shd w:fill="auto" w:val="clear"/>
                <w:vertAlign w:val="baseline"/>
                <w:rtl w:val="0"/>
              </w:rPr>
              <w:t xml:space="preserve">M. Mikalački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Spanning structures in Walker–Breaker games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Fundamenta Informaticae 185 (1) (2022) 83-97. https://doi.org/10.3233/FI-222104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right" w:leader="none" w:pos="9214"/>
              </w:tabs>
              <w:ind w:left="34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J. Forcan,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M. Mikalački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On the WalkerMaker-WalkerBreaker games,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Discrete Applied Mathematics 279 (2020), 69-79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rtl w:val="0"/>
                </w:rPr>
                <w:t xml:space="preserve">https://doi.org/10.1016/j.dam.2019.10.003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D. Clemens, P. Gupta, F. Hamann, A. Haupt,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M. Mikalački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Y. Mogge,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Fast strategies in Waiter-Client games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The Electronic Journal of Combinatorics 27(3) (2020), #P3.57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u w:val="single"/>
                  <w:rtl w:val="0"/>
                </w:rPr>
                <w:t xml:space="preserve">https://doi.org/10.37236/9451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C. Dowden, M. Kang,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M. Mikalački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M. Stojaković,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The Toucher-Isolator game,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The Electronic Journal of Combinatorics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 26(4) (2019), #P4.6.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u w:val="single"/>
                  <w:rtl w:val="0"/>
                </w:rPr>
                <w:t xml:space="preserve">https://doi.org/10.37236/8617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M. Mikalački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M. Stojaković,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Fast strategies in biased Maker-Breaker games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, Discrete Mathematics and Theoretical Computer Science 20:2 (2018), P6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u w:val="single"/>
                  <w:rtl w:val="0"/>
                </w:rPr>
                <w:t xml:space="preserve">https://doi.org/10.23638/DMTCS-20-2-6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D. Clemens,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u w:val="single"/>
                <w:rtl w:val="0"/>
              </w:rPr>
              <w:t xml:space="preserve">M. Mikalački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How fast can Maker win in fair biased games?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Discrete Mathematics 341 (2018), 51-66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rtl w:val="0"/>
                </w:rPr>
                <w:t xml:space="preserve">https://doi.org/10.1016/j.disc.2017.06.023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D. Clemens,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u w:val="single"/>
                <w:rtl w:val="0"/>
              </w:rPr>
              <w:t xml:space="preserve">M. Mikalački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A remark on the tournament game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The Electronic Journal of Combinatorics 22(3) (2015), P3.42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u w:val="single"/>
                  <w:rtl w:val="0"/>
                </w:rPr>
                <w:t xml:space="preserve">https://doi.org/10.37236/5142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67 (google scholar); 30 (SCOPUS)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DAAD стипендија за истраживачки боравак од месец дана у Берлину, Немачка, 2013. године.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C2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 w:val="sr-Cyrl-RS"/>
    </w:rPr>
  </w:style>
  <w:style w:type="paragraph" w:styleId="ListParagraph">
    <w:name w:val="List Paragraph"/>
    <w:basedOn w:val="Normal"/>
    <w:uiPriority w:val="34"/>
    <w:qFormat w:val="1"/>
    <w:rsid w:val="00651EE7"/>
    <w:pPr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character" w:styleId="apple-converted-space" w:customStyle="1">
    <w:name w:val="apple-converted-space"/>
    <w:basedOn w:val="DefaultParagraphFont"/>
    <w:rsid w:val="00651EE7"/>
  </w:style>
  <w:style w:type="character" w:styleId="anchor-text" w:customStyle="1">
    <w:name w:val="anchor-text"/>
    <w:basedOn w:val="DefaultParagraphFont"/>
    <w:rsid w:val="0090061B"/>
  </w:style>
  <w:style w:type="character" w:styleId="FollowedHyperlink">
    <w:name w:val="FollowedHyperlink"/>
    <w:basedOn w:val="DefaultParagraphFont"/>
    <w:uiPriority w:val="99"/>
    <w:semiHidden w:val="1"/>
    <w:unhideWhenUsed w:val="1"/>
    <w:rsid w:val="0090061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90061B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90061B"/>
    <w:pPr>
      <w:spacing w:after="100" w:afterAutospacing="1" w:before="100" w:beforeAutospacing="1"/>
    </w:pPr>
    <w:rPr>
      <w:rFonts w:ascii="Times New Roman" w:eastAsia="Times New Roman" w:hAnsi="Times New Roman"/>
      <w:sz w:val="24"/>
      <w:szCs w:val="24"/>
      <w:lang w:eastAsia="en-GB" w:val="en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i.org/10.37236/8617" TargetMode="External"/><Relationship Id="rId10" Type="http://schemas.openxmlformats.org/officeDocument/2006/relationships/hyperlink" Target="http://www.combinatorics.org/" TargetMode="External"/><Relationship Id="rId13" Type="http://schemas.openxmlformats.org/officeDocument/2006/relationships/hyperlink" Target="https://doi.org/10.1016/j.disc.2017.06.023" TargetMode="External"/><Relationship Id="rId12" Type="http://schemas.openxmlformats.org/officeDocument/2006/relationships/hyperlink" Target="https://doi.org/10.23638/DMTCS-20-2-6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i.org/10.37236/9451" TargetMode="External"/><Relationship Id="rId14" Type="http://schemas.openxmlformats.org/officeDocument/2006/relationships/hyperlink" Target="https://doi.org/10.37236/5142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46298/dmtcs.8529" TargetMode="External"/><Relationship Id="rId8" Type="http://schemas.openxmlformats.org/officeDocument/2006/relationships/hyperlink" Target="https://doi.org/10.1016/j.dam.2019.10.0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lwDtYERDR9ggkG0NoEvREVUhA==">CgMxLjA4AHIhMU1XUWpiU0tSN2o2TVZvdUI4d1FVbzZjLU1GODJxZEhs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2023-02-10T10:40:00Z</dcterms:created>
  <dc:creator>mane</dc:creator>
</cp:coreProperties>
</file>