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30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0"/>
        <w:gridCol w:w="1695"/>
        <w:gridCol w:w="105"/>
        <w:gridCol w:w="120"/>
        <w:gridCol w:w="1050"/>
        <w:gridCol w:w="810"/>
        <w:gridCol w:w="270"/>
        <w:gridCol w:w="105"/>
        <w:gridCol w:w="1035"/>
        <w:gridCol w:w="405"/>
        <w:gridCol w:w="165"/>
        <w:gridCol w:w="1335"/>
        <w:gridCol w:w="450"/>
        <w:gridCol w:w="2115"/>
        <w:tblGridChange w:id="0">
          <w:tblGrid>
            <w:gridCol w:w="570"/>
            <w:gridCol w:w="1695"/>
            <w:gridCol w:w="105"/>
            <w:gridCol w:w="120"/>
            <w:gridCol w:w="1050"/>
            <w:gridCol w:w="810"/>
            <w:gridCol w:w="270"/>
            <w:gridCol w:w="105"/>
            <w:gridCol w:w="1035"/>
            <w:gridCol w:w="405"/>
            <w:gridCol w:w="165"/>
            <w:gridCol w:w="1335"/>
            <w:gridCol w:w="450"/>
            <w:gridCol w:w="2115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Мирјана К. Ивановић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Департман за математику и информатику, од 1988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/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/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/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1988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Диекретна математика и програмирање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Програмирање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/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Математика-информатика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CS102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науке, преглед и перспективе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CS302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Програмски језици и парадигме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CS602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рачунарских језика и превођење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701.0" w:type="dxa"/>
              <w:jc w:val="left"/>
              <w:tblLayout w:type="fixed"/>
              <w:tblLook w:val="0400"/>
            </w:tblPr>
            <w:tblGrid>
              <w:gridCol w:w="81"/>
              <w:gridCol w:w="620"/>
              <w:tblGridChange w:id="0">
                <w:tblGrid>
                  <w:gridCol w:w="81"/>
                  <w:gridCol w:w="6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0F2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0F3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ff0000"/>
                      <w:sz w:val="20"/>
                      <w:szCs w:val="20"/>
                      <w:rtl w:val="0"/>
                    </w:rPr>
                    <w:t xml:space="preserve">CS606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агентских технологија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CS711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Управљање софтверским пројектима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CS705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Конструкција компајлера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IT604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Програмске парадигме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645.0" w:type="dxa"/>
              <w:jc w:val="left"/>
              <w:tblLayout w:type="fixed"/>
              <w:tblLook w:val="0400"/>
            </w:tblPr>
            <w:tblGrid>
              <w:gridCol w:w="81"/>
              <w:gridCol w:w="564"/>
              <w:tblGridChange w:id="0">
                <w:tblGrid>
                  <w:gridCol w:w="81"/>
                  <w:gridCol w:w="56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12D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12E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00"/>
                      <w:sz w:val="20"/>
                      <w:szCs w:val="20"/>
                      <w:rtl w:val="0"/>
                    </w:rPr>
                    <w:t xml:space="preserve">IT610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Конструкција компајлера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IT623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Управљање софтверским пројектима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645.0" w:type="dxa"/>
              <w:jc w:val="left"/>
              <w:tblLayout w:type="fixed"/>
              <w:tblLook w:val="0400"/>
            </w:tblPr>
            <w:tblGrid>
              <w:gridCol w:w="81"/>
              <w:gridCol w:w="564"/>
              <w:tblGridChange w:id="0">
                <w:tblGrid>
                  <w:gridCol w:w="81"/>
                  <w:gridCol w:w="56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center"/>
                </w:tcPr>
                <w:p w:rsidR="00000000" w:rsidDel="00000000" w:rsidP="00000000" w:rsidRDefault="00000000" w:rsidRPr="00000000" w14:paraId="0000014C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vAlign w:val="center"/>
                </w:tcPr>
                <w:p w:rsidR="00000000" w:rsidDel="00000000" w:rsidP="00000000" w:rsidRDefault="00000000" w:rsidRPr="00000000" w14:paraId="0000014D">
                  <w:pPr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IT708</w:t>
                  </w:r>
                </w:p>
              </w:tc>
            </w:tr>
          </w:tbl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програмирања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IT709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информатике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CS791, IT702, 19.MW0103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Приватност, етика и друштвена одговорност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науке, Информационе технологије, Вештачка интелигенција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Будимац З., Ивановић М., Путник З.: Управљање софтверским пројектима, ПМФ, Нови Сад, 2007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Nevena Rankovic, Dragica Rankovic, Mirjana Ivanovic, Ljubomir Lazic: COSMIC FP method in software development estimation using artificial neural networks based on orthogonal arrays. Connect. Sci. 34(1): 185-204 (2022),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https://doi.org/10.1080/09540091.2021.1981824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Ivanović, M. et al. (2022). Current Trends in AI-Based Educational Processes—An Overview. In: Ivanović, M., Klašnja-Milićević, A., Jain, L.C. (eds) Handbook on Intelligent Techniques in the Educational Process. Learning and Analytics in Intelligent Systems, vol 29. Springer, Cham. https://doi.org/10.1007/978-3-031-04662-9_1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Milos Savic, Mirjana Ivanovic, Ivan Lukovic, Boris Delibasic, Jelica Protic, Dragan Jankovic: Students' preferences in selection of computer science and informatics studies: A comprehensive empirical case study. Comput. Sci. Inf. Syst. 18(1): 251-283 (2021),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https://doi.org/10.2298/CSIS200901054S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Jordan Barria-Pineda, Kamil Akhuseyinoglu, Stefan Zelem-Celap, Peter Brusilovsky, Aleksandra Klasnja-Milicevic, Mirjana Ivanovic: Explainable Recommendations in a Personalized Programming Practice System. AIED (1) 2021: 64-76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C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Sasa Pesic, Mirjana Ivanovic, Milos Radovanovic, Costin Badica: CAAVI-RICS model for observing the security of distributed IoT and edge computing systems. Simul. Model. Pract. Theory 105: 102125 (2020),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https://doi.org/10.1016/j.simpat.2020.102125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D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Brankica Bratic, Vasileios Triglianos, Vladimir Kurbalija, Cesare Pautasso, Mirjana Ivanovic: Role of interactive presentation platform ASQ in delivering web design course. Smart Learn. Environ. 7(1): 15 (2020), https://doi.org/10.1186/s40561-020-00123-w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E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Milos Savic, Mirjana Ivanovic, Lakhmi C. Jain: Complex Networks in Software, Knowledge, and Social Systems. Intelligent Systems Reference Library 148, Springer 2019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F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Vladimir Kurbalija, Mirjana Ivanovic, Milos Radovanovic, Zoltan Geler, Weihui Dai, Weidong Zhao: Emotion perception and recognition: An exploration of cultural differences and similarities. Cogn. Syst. Res. 52: 103-116 (2018),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https://doi.org/10.1016/j.cogsys.2018.06.009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0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20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Dejan Sredojevic, Milan Vidakovic, Mirjana Ivanovic: ALAS: agent-oriented domain-specific language for the development of intelligent distributed non-axiomatic reasoning agents. Enterp. Inf. Syst. 12(8-9): 1058-1082 (2018),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https://doi.org/10.1080/17517575.2018.1482567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2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21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7142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2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2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2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Преко 100 посета, (од 1 недеље до 2 месеца, на разним европским и светским универзитетима). Гостујући професор у Македонији, Албанији, Кини и Аустралији.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2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релевантним: Организатор бројних међународних конференција и земљи и иностранству у својству Главног председавајућег, Председавајућег програмским одбором. Члан програмских одбора преко 400 међународних конференција. Коаутор 2 монографије међународног значаја, едитор преко 20 зборника радова са међународних конференција. Главни уредник ComSIS часописа са ИФ. Коуредник низа специјалних издања значајних међународних часописа. </w:t>
            </w:r>
          </w:p>
        </w:tc>
      </w:tr>
    </w:tbl>
    <w:p w:rsidR="00000000" w:rsidDel="00000000" w:rsidP="00000000" w:rsidRDefault="00000000" w:rsidRPr="00000000" w14:paraId="00000265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oi.org/10.1080/17517575.2018.1482567" TargetMode="External"/><Relationship Id="rId10" Type="http://schemas.openxmlformats.org/officeDocument/2006/relationships/hyperlink" Target="https://doi.org/10.1016/j.cogsys.2018.06.009" TargetMode="External"/><Relationship Id="rId9" Type="http://schemas.openxmlformats.org/officeDocument/2006/relationships/hyperlink" Target="https://doi.org/10.1016/j.simpat.2020.102125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1080/09540091.2021.1981824" TargetMode="External"/><Relationship Id="rId8" Type="http://schemas.openxmlformats.org/officeDocument/2006/relationships/hyperlink" Target="https://doi.org/10.2298/CSIS200901054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lPdipYlxQN6rVXsVD5tvKYU0pg==">CgMxLjA4AHIhMTRHS3lrYW11MkVRMW5lRVpvMFViclVSam9uQk43SHRv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