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567" w:leader="none"/>
        </w:tabs>
        <w:spacing w:before="0" w:after="60"/>
        <w:jc w:val="both"/>
        <w:rPr>
          <w:rFonts w:ascii="Times New Roman" w:hAnsi="Times New Roman"/>
          <w:sz w:val="20"/>
          <w:szCs w:val="20"/>
        </w:rPr>
      </w:pPr>
      <w:r>
        <w:rPr>
          <w:rFonts w:ascii="Times New Roman" w:hAnsi="Times New Roman"/>
          <w:sz w:val="20"/>
          <w:szCs w:val="20"/>
        </w:rPr>
      </w:r>
    </w:p>
    <w:tbl>
      <w:tblPr>
        <w:tblW w:w="10206" w:type="dxa"/>
        <w:jc w:val="left"/>
        <w:tblInd w:w="109" w:type="dxa"/>
        <w:tblLayout w:type="fixed"/>
        <w:tblCellMar>
          <w:top w:w="0" w:type="dxa"/>
          <w:left w:w="108" w:type="dxa"/>
          <w:bottom w:w="0" w:type="dxa"/>
          <w:right w:w="108" w:type="dxa"/>
        </w:tblCellMar>
        <w:tblLook w:val="01e0" w:noHBand="0" w:noVBand="0" w:firstColumn="1" w:lastRow="1" w:lastColumn="1" w:firstRow="1"/>
      </w:tblPr>
      <w:tblGrid>
        <w:gridCol w:w="567"/>
        <w:gridCol w:w="1345"/>
        <w:gridCol w:w="450"/>
        <w:gridCol w:w="127"/>
        <w:gridCol w:w="1051"/>
        <w:gridCol w:w="815"/>
        <w:gridCol w:w="277"/>
        <w:gridCol w:w="75"/>
        <w:gridCol w:w="1037"/>
        <w:gridCol w:w="411"/>
        <w:gridCol w:w="144"/>
        <w:gridCol w:w="1346"/>
        <w:gridCol w:w="445"/>
        <w:gridCol w:w="2115"/>
      </w:tblGrid>
      <w:tr>
        <w:trPr>
          <w:trHeight w:val="25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Име и презиме</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val="sr-CS"/>
              </w:rPr>
            </w:pPr>
            <w:r>
              <w:rPr>
                <w:rFonts w:ascii="Times New Roman" w:hAnsi="Times New Roman"/>
                <w:lang w:val="sr-CS"/>
              </w:rPr>
              <w:t>Дони Працнер</w:t>
            </w:r>
          </w:p>
        </w:tc>
      </w:tr>
      <w:tr>
        <w:trPr>
          <w:trHeight w:val="24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Звање</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val="sr-CS"/>
              </w:rPr>
            </w:pPr>
            <w:r>
              <w:rPr>
                <w:rFonts w:ascii="Times New Roman" w:hAnsi="Times New Roman"/>
                <w:lang w:val="sr-CS"/>
              </w:rPr>
              <w:t>Доцент</w:t>
            </w:r>
          </w:p>
        </w:tc>
      </w:tr>
      <w:tr>
        <w:trPr>
          <w:trHeight w:val="427"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 xml:space="preserve">Назив институције у  којој наставник ради са пуним </w:t>
            </w:r>
            <w:r>
              <w:rPr>
                <w:rFonts w:ascii="Times New Roman" w:hAnsi="Times New Roman"/>
                <w:b/>
                <w:sz w:val="20"/>
                <w:szCs w:val="20"/>
              </w:rPr>
              <w:t xml:space="preserve"> или непуним </w:t>
            </w:r>
            <w:r>
              <w:rPr>
                <w:rFonts w:ascii="Times New Roman" w:hAnsi="Times New Roman"/>
                <w:b/>
                <w:sz w:val="20"/>
                <w:szCs w:val="20"/>
                <w:lang w:val="sr-CS"/>
              </w:rPr>
              <w:t>радним временом и од када</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lang w:val="sr-CS"/>
              </w:rPr>
            </w:pPr>
            <w:r>
              <w:rPr>
                <w:rFonts w:ascii="Times New Roman" w:hAnsi="Times New Roman"/>
                <w:sz w:val="20"/>
                <w:szCs w:val="20"/>
                <w:lang w:val="sr-CS"/>
              </w:rPr>
              <w:t>Природно-математички Факултет, Нови Сад</w:t>
            </w:r>
          </w:p>
        </w:tc>
      </w:tr>
      <w:tr>
        <w:trPr>
          <w:trHeight w:val="272" w:hRule="atLeast"/>
        </w:trPr>
        <w:tc>
          <w:tcPr>
            <w:tcW w:w="4632"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Ужа научна односно уметничка област</w:t>
            </w:r>
          </w:p>
        </w:tc>
        <w:tc>
          <w:tcPr>
            <w:tcW w:w="5573"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4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Академска каријера</w:t>
            </w:r>
          </w:p>
        </w:tc>
      </w:tr>
      <w:tr>
        <w:trPr>
          <w:trHeight w:val="42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Година</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Институција</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rPr>
              <w:t>Научна или уметничка о</w:t>
            </w:r>
            <w:r>
              <w:rPr>
                <w:rFonts w:ascii="Times New Roman" w:hAnsi="Times New Roman"/>
                <w:sz w:val="20"/>
                <w:szCs w:val="20"/>
                <w:lang w:val="sr-CS"/>
              </w:rPr>
              <w:t>бласт</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trPr>
          <w:trHeight w:val="274"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Избор у звање</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2019</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65"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Докторат</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2019</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206"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Мастер</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2010</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197" w:hRule="atLeast"/>
        </w:trPr>
        <w:tc>
          <w:tcPr>
            <w:tcW w:w="2489"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Диплома</w:t>
            </w:r>
          </w:p>
        </w:tc>
        <w:tc>
          <w:tcPr>
            <w:tcW w:w="10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2007</w:t>
            </w:r>
          </w:p>
        </w:tc>
        <w:tc>
          <w:tcPr>
            <w:tcW w:w="2204"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Природно-математички Факултет, Нови Сад</w:t>
            </w:r>
          </w:p>
        </w:tc>
        <w:tc>
          <w:tcPr>
            <w:tcW w:w="1901"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c>
          <w:tcPr>
            <w:tcW w:w="256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20"/>
                <w:szCs w:val="20"/>
                <w:lang w:val="sr-CS"/>
              </w:rPr>
            </w:pPr>
            <w:r>
              <w:rPr>
                <w:rFonts w:ascii="Times New Roman" w:hAnsi="Times New Roman"/>
                <w:sz w:val="20"/>
                <w:szCs w:val="20"/>
                <w:lang w:val="sr-CS"/>
              </w:rPr>
              <w:t>Рачунарске науке</w:t>
            </w:r>
          </w:p>
        </w:tc>
      </w:tr>
      <w:tr>
        <w:trPr>
          <w:trHeight w:val="314"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rPr>
            </w:pPr>
            <w:r>
              <w:rPr>
                <w:rFonts w:ascii="Times New Roman" w:hAnsi="Times New Roman"/>
                <w:b/>
                <w:sz w:val="20"/>
                <w:szCs w:val="20"/>
                <w:lang w:val="sr-CS"/>
              </w:rPr>
              <w:t xml:space="preserve">Списак предмета за које је наставник акредитован </w:t>
            </w:r>
            <w:r>
              <w:rPr>
                <w:rFonts w:ascii="Times New Roman" w:hAnsi="Times New Roman"/>
                <w:b/>
                <w:sz w:val="20"/>
                <w:szCs w:val="20"/>
              </w:rPr>
              <w:t>на првом или другом степену студија</w:t>
            </w:r>
          </w:p>
        </w:tc>
      </w:tr>
      <w:tr>
        <w:trPr>
          <w:trHeight w:val="702"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Р.Б.</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Ознака предмета</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Назив предмета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sz w:val="20"/>
                <w:szCs w:val="20"/>
              </w:rPr>
              <w:t>Вид наставе</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rPr>
            </w:pPr>
            <w:r>
              <w:rPr>
                <w:rFonts w:ascii="Times New Roman" w:hAnsi="Times New Roman"/>
                <w:iCs/>
                <w:sz w:val="20"/>
                <w:szCs w:val="20"/>
              </w:rPr>
              <w:t>Назив студијског програма</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iCs/>
                <w:sz w:val="20"/>
                <w:szCs w:val="20"/>
              </w:rPr>
              <w:t>В</w:t>
            </w:r>
            <w:r>
              <w:rPr>
                <w:rFonts w:ascii="Times New Roman" w:hAnsi="Times New Roman"/>
                <w:iCs/>
                <w:sz w:val="20"/>
                <w:szCs w:val="20"/>
                <w:lang w:val="sr-CS"/>
              </w:rPr>
              <w:t>рста студија (</w:t>
            </w:r>
            <w:r>
              <w:rPr>
                <w:rFonts w:ascii="Times New Roman" w:hAnsi="Times New Roman"/>
                <w:iCs/>
                <w:sz w:val="20"/>
                <w:szCs w:val="20"/>
              </w:rPr>
              <w:t>ОСС, ССС, ОАС, МСС, МАС, САС)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1.</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ИОУ28</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Оперативни системи 2</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Информационе технологије (ИТ), Рачунарске науке (РН)</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2.</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jc w:val="center"/>
              <w:rPr>
                <w:rFonts w:ascii="Times New Roman" w:hAnsi="Times New Roman"/>
                <w:sz w:val="20"/>
                <w:szCs w:val="20"/>
                <w:lang w:val="sr-CS"/>
              </w:rPr>
            </w:pPr>
            <w:r>
              <w:rPr>
                <w:rFonts w:ascii="Times New Roman" w:hAnsi="Times New Roman"/>
                <w:sz w:val="20"/>
                <w:szCs w:val="20"/>
                <w:lang w:val="sr-CS"/>
              </w:rPr>
              <w:t>ИОИ30</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jc w:val="left"/>
              <w:rPr>
                <w:rFonts w:ascii="Times New Roman" w:hAnsi="Times New Roman"/>
                <w:sz w:val="20"/>
                <w:szCs w:val="20"/>
                <w:lang w:val="sr-CS"/>
              </w:rPr>
            </w:pPr>
            <w:r>
              <w:rPr>
                <w:rFonts w:ascii="Times New Roman" w:hAnsi="Times New Roman"/>
                <w:sz w:val="20"/>
                <w:szCs w:val="20"/>
                <w:lang w:val="sr-CS"/>
              </w:rPr>
              <w:t>Тестирање софтвера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3.</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ИОУ02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Софтверски практикум 1</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РН, 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4.</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ИОУ08</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Софтверски практикум 2</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РН, ИТ</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ОАС</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5.</w:t>
            </w:r>
          </w:p>
        </w:tc>
        <w:tc>
          <w:tcPr>
            <w:tcW w:w="13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ИМИ02</w:t>
            </w:r>
          </w:p>
        </w:tc>
        <w:tc>
          <w:tcPr>
            <w:tcW w:w="279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Еволуција софтвера</w:t>
            </w:r>
          </w:p>
        </w:tc>
        <w:tc>
          <w:tcPr>
            <w:tcW w:w="1592"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Информационе технологије</w:t>
            </w:r>
          </w:p>
        </w:tc>
        <w:tc>
          <w:tcPr>
            <w:tcW w:w="211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w:t>
            </w:r>
          </w:p>
        </w:tc>
      </w:tr>
      <w:tr>
        <w:trPr>
          <w:trHeight w:val="427" w:hRule="atLeast"/>
        </w:trPr>
        <w:tc>
          <w:tcPr>
            <w:tcW w:w="567" w:type="dxa"/>
            <w:tcBorders>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en-US"/>
              </w:rPr>
            </w:pPr>
            <w:r>
              <w:rPr>
                <w:rFonts w:ascii="Times New Roman" w:hAnsi="Times New Roman"/>
                <w:sz w:val="20"/>
                <w:szCs w:val="20"/>
                <w:lang w:val="en-US"/>
              </w:rPr>
              <w:t>6.</w:t>
            </w:r>
          </w:p>
        </w:tc>
        <w:tc>
          <w:tcPr>
            <w:tcW w:w="1345" w:type="dxa"/>
            <w:tcBorders>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Times New Roman" w:hAnsi="Times New Roman"/>
                <w:color w:val="000000"/>
                <w:sz w:val="20"/>
                <w:szCs w:val="20"/>
              </w:rPr>
            </w:pPr>
            <w:r>
              <w:rPr>
                <w:rFonts w:ascii="Times New Roman" w:hAnsi="Times New Roman"/>
                <w:color w:val="000000"/>
                <w:sz w:val="20"/>
                <w:szCs w:val="20"/>
              </w:rPr>
              <w:t>ИМИ06</w:t>
            </w:r>
          </w:p>
        </w:tc>
        <w:tc>
          <w:tcPr>
            <w:tcW w:w="2795" w:type="dxa"/>
            <w:gridSpan w:val="6"/>
            <w:tcBorders>
              <w:left w:val="single" w:sz="4" w:space="0" w:color="000000"/>
              <w:bottom w:val="single" w:sz="4" w:space="0" w:color="000000"/>
              <w:right w:val="single" w:sz="4" w:space="0" w:color="000000"/>
            </w:tcBorders>
            <w:shd w:color="auto" w:fill="auto" w:val="clear"/>
            <w:vAlign w:val="center"/>
          </w:tcPr>
          <w:p>
            <w:pPr>
              <w:pStyle w:val="TableContents"/>
              <w:widowControl w:val="false"/>
              <w:jc w:val="left"/>
              <w:rPr>
                <w:rFonts w:ascii="Times New Roman" w:hAnsi="Times New Roman"/>
                <w:color w:val="000000"/>
                <w:sz w:val="20"/>
                <w:szCs w:val="20"/>
              </w:rPr>
            </w:pPr>
            <w:r>
              <w:rPr>
                <w:rFonts w:ascii="Times New Roman" w:hAnsi="Times New Roman"/>
                <w:color w:val="000000"/>
                <w:sz w:val="20"/>
                <w:szCs w:val="20"/>
              </w:rPr>
              <w:t>Историја информатике</w:t>
            </w:r>
          </w:p>
        </w:tc>
        <w:tc>
          <w:tcPr>
            <w:tcW w:w="1592" w:type="dxa"/>
            <w:gridSpan w:val="3"/>
            <w:tcBorders>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Предавања</w:t>
            </w:r>
          </w:p>
        </w:tc>
        <w:tc>
          <w:tcPr>
            <w:tcW w:w="1791" w:type="dxa"/>
            <w:gridSpan w:val="2"/>
            <w:tcBorders>
              <w:left w:val="single" w:sz="4" w:space="0" w:color="000000"/>
              <w:bottom w:val="single" w:sz="4" w:space="0" w:color="000000"/>
              <w:right w:val="single" w:sz="4" w:space="0" w:color="000000"/>
            </w:tcBorders>
            <w:shd w:color="auto" w:fill="auto" w:val="clear"/>
            <w:vAlign w:val="center"/>
          </w:tcPr>
          <w:p>
            <w:pPr>
              <w:pStyle w:val="LOnormal"/>
              <w:widowControl w:val="false"/>
              <w:tabs>
                <w:tab w:val="clear" w:pos="720"/>
                <w:tab w:val="left" w:pos="567" w:leader="none"/>
              </w:tabs>
              <w:spacing w:lineRule="auto" w:line="240" w:before="0" w:after="60"/>
              <w:rPr>
                <w:rFonts w:ascii="Times New Roman" w:hAnsi="Times New Roman" w:eastAsia="Times New Roman" w:cs="Times New Roman"/>
                <w:sz w:val="20"/>
                <w:szCs w:val="20"/>
              </w:rPr>
            </w:pPr>
            <w:r>
              <w:rPr>
                <w:rFonts w:eastAsia="Times New Roman" w:cs="Times New Roman" w:ascii="Times New Roman" w:hAnsi="Times New Roman"/>
                <w:sz w:val="20"/>
                <w:szCs w:val="20"/>
              </w:rPr>
              <w:t>Информационе технологије</w:t>
            </w:r>
          </w:p>
        </w:tc>
        <w:tc>
          <w:tcPr>
            <w:tcW w:w="2115" w:type="dxa"/>
            <w:tcBorders>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МАС</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Репрезентативне референце (минимално 5 не више од 10)</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16"/>
                <w:szCs w:val="16"/>
                <w:lang w:val="sr-CS"/>
              </w:rPr>
              <w:t xml:space="preserve">Štrbac L, </w:t>
            </w:r>
            <w:r>
              <w:rPr>
                <w:rFonts w:ascii="Times New Roman" w:hAnsi="Times New Roman"/>
                <w:b/>
                <w:bCs/>
                <w:sz w:val="16"/>
                <w:szCs w:val="16"/>
                <w:lang w:val="sr-CS"/>
              </w:rPr>
              <w:t>Pracner D,</w:t>
            </w:r>
            <w:r>
              <w:rPr>
                <w:rFonts w:ascii="Times New Roman" w:hAnsi="Times New Roman"/>
                <w:sz w:val="16"/>
                <w:szCs w:val="16"/>
                <w:lang w:val="sr-CS"/>
              </w:rPr>
              <w:t xml:space="preserve"> Šaran M, Janković D, Trivunović S, Ivković M, Tarjan L, Dedović N. Mathematical Modeling and Software Tools for Breeding Value Estimation Based on Phenotypic, Pedigree and Genomic Information of Holstein Friesian Cattle in Serbia. </w:t>
            </w:r>
            <w:r>
              <w:rPr>
                <w:rStyle w:val="Emphasis"/>
                <w:rFonts w:ascii="Times New Roman" w:hAnsi="Times New Roman"/>
                <w:sz w:val="16"/>
                <w:szCs w:val="16"/>
                <w:lang w:val="sr-CS"/>
              </w:rPr>
              <w:t>Animals</w:t>
            </w:r>
            <w:r>
              <w:rPr>
                <w:rFonts w:ascii="Times New Roman" w:hAnsi="Times New Roman"/>
                <w:sz w:val="16"/>
                <w:szCs w:val="16"/>
                <w:lang w:val="sr-CS"/>
              </w:rPr>
              <w:t>. 2023; 13(4):597. https://doi.org/10.3390/ani13040597</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Budimac Z., (2017) Enabling code transformations with FermaT on simplified bytecode, J SOFTW-EVOL PROC (ISSN: 2047-7473), Vol 29, No 5, 2017, pp. e1857-n/a. doi: 10.1002/smr.1857. (IF 1.305)</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567" w:leader="none"/>
              </w:tabs>
              <w:spacing w:before="0" w:after="60"/>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xml:space="preserve"> and Sukur N. “Transforming Low-Level Variants of Greatest Common Divisor Algorithm: A Case Study”. In: SQAMIA 2022, 9th Workshop of Software Quality, Analysis, Monitoring, Improvement, and Applications. Ed. by Zoran Budimac. CEUR-WS.org, 2022, 14:01–14:12. url:https://ceur-ws.org/Vol-3237</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pPr>
            <w:r>
              <w:rPr>
                <w:rFonts w:ascii="Times New Roman" w:hAnsi="Times New Roman"/>
                <w:sz w:val="16"/>
                <w:szCs w:val="16"/>
                <w:lang w:val="sr-CS"/>
              </w:rPr>
              <w:t xml:space="preserve">Sukur N., </w:t>
            </w:r>
            <w:r>
              <w:rPr>
                <w:rFonts w:ascii="Times New Roman" w:hAnsi="Times New Roman"/>
                <w:b/>
                <w:bCs/>
                <w:sz w:val="16"/>
                <w:szCs w:val="16"/>
                <w:lang w:val="sr-CS"/>
              </w:rPr>
              <w:t>Pracner D.</w:t>
            </w:r>
            <w:r>
              <w:rPr>
                <w:rFonts w:ascii="Times New Roman" w:hAnsi="Times New Roman"/>
                <w:sz w:val="16"/>
                <w:szCs w:val="16"/>
                <w:lang w:val="sr-CS"/>
              </w:rPr>
              <w:t xml:space="preserve"> (2018) “Evaluating Fitness Functions for Automated Code Transformations”. In: SQAMIA 2018, 7th Workshop of Software Quality, Analysis, Monitoring, Improvement, and Applications. Ed. by Budimac Z. Department of Mathematics and Informatics, Faculty of Sciences, University of Novi Sad, Serbia, 2018, 18:01–18:08. url: </w:t>
            </w:r>
            <w:hyperlink r:id="rId2">
              <w:r>
                <w:rPr>
                  <w:rStyle w:val="InternetLink"/>
                  <w:rFonts w:ascii="Times New Roman" w:hAnsi="Times New Roman"/>
                  <w:sz w:val="16"/>
                  <w:szCs w:val="16"/>
                  <w:lang w:val="sr-CS"/>
                </w:rPr>
                <w:t>http://ceur-ws.org/Vol-2217/</w:t>
              </w:r>
            </w:hyperlink>
            <w:r>
              <w:rPr>
                <w:rFonts w:ascii="Times New Roman" w:hAnsi="Times New Roman"/>
                <w:sz w:val="16"/>
                <w:szCs w:val="16"/>
                <w:lang w:val="sr-CS"/>
              </w:rPr>
              <w:t>.</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b/>
                <w:bCs/>
                <w:sz w:val="16"/>
                <w:szCs w:val="16"/>
                <w:lang w:val="sr-CS"/>
              </w:rPr>
              <w:t>Pracner D.</w:t>
            </w:r>
            <w:r>
              <w:rPr>
                <w:rFonts w:ascii="Times New Roman" w:hAnsi="Times New Roman"/>
                <w:sz w:val="16"/>
                <w:szCs w:val="16"/>
                <w:lang w:val="sr-CS"/>
              </w:rPr>
              <w:t>, Tomašev N., Radovanović M., Ivanović M. (2007) “Categorizing Evolved CoreWar Warriors Using EM and Attribute Evaluation”. In: Machine Learning and Data Mining in Pattern Recognition: MLDM 2007. Ed. by Petra Perner. Vol. 4571. Lecture Notes in Computer Science. Berlin, Heidelberg: Springer-Verlag, 2007, pp. 681–693. isbn: 978-3-540-73498-7. doi: http://dx.doi.org/10.1007/978-3-540-73499-4_51. (IF 0.402)</w:t>
            </w:r>
          </w:p>
        </w:tc>
      </w:tr>
      <w:tr>
        <w:trPr>
          <w:trHeight w:val="427" w:hRule="atLeast"/>
        </w:trPr>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1"/>
              </w:numPr>
              <w:tabs>
                <w:tab w:val="clear" w:pos="720"/>
                <w:tab w:val="left" w:pos="567" w:leader="none"/>
              </w:tabs>
              <w:spacing w:before="0" w:after="60"/>
              <w:ind w:left="720" w:hanging="686"/>
              <w:rPr>
                <w:rFonts w:ascii="Times New Roman" w:hAnsi="Times New Roman"/>
                <w:sz w:val="20"/>
                <w:szCs w:val="20"/>
                <w:lang w:val="sr-CS"/>
              </w:rPr>
            </w:pPr>
            <w:r>
              <w:rPr>
                <w:rFonts w:ascii="Times New Roman" w:hAnsi="Times New Roman"/>
                <w:sz w:val="20"/>
                <w:szCs w:val="20"/>
                <w:lang w:val="sr-CS"/>
              </w:rPr>
            </w:r>
          </w:p>
        </w:tc>
        <w:tc>
          <w:tcPr>
            <w:tcW w:w="9638" w:type="dxa"/>
            <w:gridSpan w:val="1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rFonts w:ascii="Times New Roman" w:hAnsi="Times New Roman"/>
                <w:sz w:val="16"/>
                <w:szCs w:val="16"/>
                <w:lang w:val="sr-CS"/>
              </w:rPr>
            </w:pPr>
            <w:r>
              <w:rPr>
                <w:rFonts w:ascii="Times New Roman" w:hAnsi="Times New Roman"/>
                <w:sz w:val="16"/>
                <w:szCs w:val="16"/>
                <w:lang w:val="sr-CS"/>
              </w:rPr>
              <w:t xml:space="preserve">Tomašev N., </w:t>
            </w:r>
            <w:r>
              <w:rPr>
                <w:rFonts w:ascii="Times New Roman" w:hAnsi="Times New Roman"/>
                <w:b/>
                <w:bCs/>
                <w:sz w:val="16"/>
                <w:szCs w:val="16"/>
                <w:lang w:val="sr-CS"/>
              </w:rPr>
              <w:t>Pracner D.</w:t>
            </w:r>
            <w:r>
              <w:rPr>
                <w:rFonts w:ascii="Times New Roman" w:hAnsi="Times New Roman"/>
                <w:sz w:val="16"/>
                <w:szCs w:val="16"/>
                <w:lang w:val="sr-CS"/>
              </w:rPr>
              <w:t>, Radovanović M.,, Ivanović M. (2007) “Automatic Categorization of Human-Coded and Evolved CoreWar Warriors”. In: Knowledge Discovery in Databases: PKDD 2007. Ed. by Joost Kok, Jacek Koronacki, Ramon Lopez de Mantaras, Stan Matwin, Dunja Mladenic, and Andrzej Skowron. Vol. 4702. Lecture Notes in Computer Science. Berlin, Heidelberg: SpringerVerlag, 2007, pp. 589–596. isbn: 978-3-540-74975-2. doi: http://dx.doi.org/10.1007/9783-540-74976-9_62. (IF 0.402)</w:t>
            </w:r>
          </w:p>
        </w:tc>
      </w:tr>
      <w:tr>
        <w:trPr>
          <w:trHeight w:val="31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b/>
                <w:b/>
                <w:sz w:val="20"/>
                <w:szCs w:val="20"/>
                <w:lang w:val="sr-CS"/>
              </w:rPr>
            </w:pPr>
            <w:r>
              <w:rPr>
                <w:rFonts w:ascii="Times New Roman" w:hAnsi="Times New Roman"/>
                <w:b/>
                <w:sz w:val="20"/>
                <w:szCs w:val="20"/>
                <w:lang w:val="sr-CS"/>
              </w:rPr>
              <w:t>Збирни подаци научне, односно уметничке и стручне активности наставника</w:t>
            </w:r>
          </w:p>
        </w:tc>
      </w:tr>
      <w:tr>
        <w:trPr>
          <w:trHeight w:val="264"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цитата</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47</w:t>
            </w:r>
          </w:p>
        </w:tc>
      </w:tr>
      <w:tr>
        <w:trPr>
          <w:trHeight w:val="255"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Укупан број радова са SCI (SSCI) листе</w:t>
            </w:r>
          </w:p>
        </w:tc>
        <w:tc>
          <w:tcPr>
            <w:tcW w:w="5850"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4</w:t>
            </w:r>
          </w:p>
        </w:tc>
      </w:tr>
      <w:tr>
        <w:trPr>
          <w:trHeight w:val="278" w:hRule="atLeast"/>
        </w:trPr>
        <w:tc>
          <w:tcPr>
            <w:tcW w:w="4355"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Тренутно учешће на пројектима</w:t>
            </w:r>
          </w:p>
        </w:tc>
        <w:tc>
          <w:tcPr>
            <w:tcW w:w="180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Домаћи 3</w:t>
            </w:r>
          </w:p>
        </w:tc>
        <w:tc>
          <w:tcPr>
            <w:tcW w:w="4050"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Међународни 0</w:t>
            </w:r>
          </w:p>
        </w:tc>
      </w:tr>
      <w:tr>
        <w:trPr>
          <w:trHeight w:val="363" w:hRule="atLeast"/>
        </w:trPr>
        <w:tc>
          <w:tcPr>
            <w:tcW w:w="2362"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Усавршавања</w:t>
            </w:r>
          </w:p>
        </w:tc>
        <w:tc>
          <w:tcPr>
            <w:tcW w:w="7843"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lang w:val="sr-CS"/>
              </w:rPr>
            </w:pPr>
            <w:r>
              <w:rPr>
                <w:rFonts w:ascii="Times New Roman" w:hAnsi="Times New Roman"/>
                <w:sz w:val="20"/>
                <w:szCs w:val="20"/>
                <w:lang w:val="sr-CS"/>
              </w:rPr>
              <w:t>Хумболт Универзитет, Берлин, Немачка, 2010, две недеље</w:t>
            </w:r>
          </w:p>
        </w:tc>
      </w:tr>
      <w:tr>
        <w:trPr>
          <w:trHeight w:val="269"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Други подаци које сматрате релевантним</w:t>
            </w:r>
          </w:p>
        </w:tc>
      </w:tr>
      <w:tr>
        <w:trPr>
          <w:trHeight w:val="427" w:hRule="atLeast"/>
        </w:trPr>
        <w:tc>
          <w:tcPr>
            <w:tcW w:w="10205" w:type="dxa"/>
            <w:gridSpan w:val="14"/>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567" w:leader="none"/>
              </w:tabs>
              <w:spacing w:before="0" w:after="60"/>
              <w:rPr>
                <w:rFonts w:ascii="Times New Roman" w:hAnsi="Times New Roman"/>
                <w:sz w:val="20"/>
                <w:szCs w:val="20"/>
                <w:lang w:val="sr-CS"/>
              </w:rPr>
            </w:pPr>
            <w:r>
              <w:rPr>
                <w:rFonts w:ascii="Times New Roman" w:hAnsi="Times New Roman"/>
                <w:sz w:val="20"/>
                <w:szCs w:val="20"/>
                <w:lang w:val="sr-CS"/>
              </w:rPr>
              <w:t xml:space="preserve">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w:t>
            </w:r>
            <w:r>
              <w:rPr>
                <w:rFonts w:ascii="Times New Roman" w:hAnsi="Times New Roman"/>
                <w:b/>
                <w:bCs/>
                <w:sz w:val="20"/>
                <w:szCs w:val="20"/>
                <w:u w:val="single"/>
                <w:lang w:val="sr-CS"/>
              </w:rPr>
              <w:t>Ова табела не</w:t>
            </w:r>
            <w:r>
              <w:rPr>
                <w:rFonts w:ascii="Times New Roman" w:hAnsi="Times New Roman"/>
                <w:b/>
                <w:bCs/>
                <w:sz w:val="20"/>
                <w:szCs w:val="20"/>
                <w:u w:val="single"/>
                <w:lang w:val="en-US"/>
              </w:rPr>
              <w:t xml:space="preserve"> </w:t>
            </w:r>
            <w:r>
              <w:rPr>
                <w:rFonts w:ascii="Times New Roman" w:hAnsi="Times New Roman"/>
                <w:b/>
                <w:bCs/>
                <w:sz w:val="20"/>
                <w:szCs w:val="20"/>
                <w:u w:val="single"/>
                <w:lang w:val="sr-CS"/>
              </w:rPr>
              <w:t>сме прећи једну А4 страну.</w:t>
            </w:r>
          </w:p>
        </w:tc>
      </w:tr>
    </w:tbl>
    <w:p>
      <w:pPr>
        <w:pStyle w:val="Normal"/>
        <w:tabs>
          <w:tab w:val="clear" w:pos="720"/>
          <w:tab w:val="left" w:pos="567" w:leader="none"/>
        </w:tabs>
        <w:spacing w:before="0" w:after="60"/>
        <w:jc w:val="both"/>
        <w:rPr>
          <w:rFonts w:ascii="Times New Roman" w:hAnsi="Times New Roman"/>
          <w:sz w:val="20"/>
          <w:szCs w:val="20"/>
          <w:lang w:val="en-US"/>
        </w:rPr>
      </w:pPr>
      <w:r>
        <w:rPr/>
      </w:r>
    </w:p>
    <w:sectPr>
      <w:type w:val="nextPage"/>
      <w:pgSz w:w="11906" w:h="16838"/>
      <w:pgMar w:left="851" w:right="1276" w:header="0" w:top="426" w:footer="0" w:bottom="70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Times New Roman"/>
      <w:color w:val="auto"/>
      <w:kern w:val="0"/>
      <w:sz w:val="22"/>
      <w:szCs w:val="22"/>
      <w:lang w:val="sr-RS" w:eastAsia="en-US" w:bidi="ar-SA"/>
    </w:rPr>
  </w:style>
  <w:style w:type="character" w:styleId="DefaultParagraphFont" w:default="1">
    <w:name w:val="Default Paragraph Font"/>
    <w:uiPriority w:val="1"/>
    <w:unhideWhenUsed/>
    <w:qFormat/>
    <w:rPr/>
  </w:style>
  <w:style w:type="character" w:styleId="InternetLink">
    <w:name w:val="Hyperlink"/>
    <w:uiPriority w:val="99"/>
    <w:unhideWhenUsed/>
    <w:rsid w:val="005a4c35"/>
    <w:rPr>
      <w:color w:val="0000FF"/>
      <w:u w:val="single"/>
    </w:rPr>
  </w:style>
  <w:style w:type="character" w:styleId="HeaderChar" w:customStyle="1">
    <w:name w:val="Header Char"/>
    <w:link w:val="Header"/>
    <w:uiPriority w:val="99"/>
    <w:qFormat/>
    <w:rsid w:val="005a4c35"/>
    <w:rPr>
      <w:sz w:val="22"/>
      <w:szCs w:val="22"/>
      <w:lang w:val="sr-RS"/>
    </w:rPr>
  </w:style>
  <w:style w:type="character" w:styleId="FooterChar" w:customStyle="1">
    <w:name w:val="Footer Char"/>
    <w:link w:val="Footer"/>
    <w:uiPriority w:val="99"/>
    <w:qFormat/>
    <w:rsid w:val="005a4c35"/>
    <w:rPr>
      <w:sz w:val="22"/>
      <w:szCs w:val="22"/>
      <w:lang w:val="sr-RS"/>
    </w:rPr>
  </w:style>
  <w:style w:type="character" w:styleId="BalloonTextChar" w:customStyle="1">
    <w:name w:val="Balloon Text Char"/>
    <w:link w:val="BalloonText"/>
    <w:uiPriority w:val="99"/>
    <w:semiHidden/>
    <w:qFormat/>
    <w:rsid w:val="00876d2e"/>
    <w:rPr>
      <w:rFonts w:ascii="Tahoma" w:hAnsi="Tahoma" w:cs="Tahoma"/>
      <w:sz w:val="16"/>
      <w:szCs w:val="16"/>
      <w:lang w:val="sr-RS"/>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Bitstream Vera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andFooter">
    <w:name w:val="Header and Footer"/>
    <w:basedOn w:val="Normal"/>
    <w:qFormat/>
    <w:pPr/>
    <w:rPr/>
  </w:style>
  <w:style w:type="paragraph" w:styleId="Header">
    <w:name w:val="Header"/>
    <w:basedOn w:val="Normal"/>
    <w:link w:val="HeaderChar"/>
    <w:uiPriority w:val="99"/>
    <w:unhideWhenUsed/>
    <w:rsid w:val="005a4c35"/>
    <w:pPr>
      <w:tabs>
        <w:tab w:val="clear" w:pos="720"/>
        <w:tab w:val="center" w:pos="4680" w:leader="none"/>
        <w:tab w:val="right" w:pos="9360" w:leader="none"/>
      </w:tabs>
    </w:pPr>
    <w:rPr>
      <w:lang w:eastAsia="x-none"/>
    </w:rPr>
  </w:style>
  <w:style w:type="paragraph" w:styleId="Footer">
    <w:name w:val="Footer"/>
    <w:basedOn w:val="Normal"/>
    <w:link w:val="FooterChar"/>
    <w:uiPriority w:val="99"/>
    <w:unhideWhenUsed/>
    <w:rsid w:val="005a4c35"/>
    <w:pPr>
      <w:tabs>
        <w:tab w:val="clear" w:pos="720"/>
        <w:tab w:val="center" w:pos="4680" w:leader="none"/>
        <w:tab w:val="right" w:pos="9360" w:leader="none"/>
      </w:tabs>
    </w:pPr>
    <w:rPr>
      <w:lang w:eastAsia="x-none"/>
    </w:rPr>
  </w:style>
  <w:style w:type="paragraph" w:styleId="BalloonText">
    <w:name w:val="Balloon Text"/>
    <w:basedOn w:val="Normal"/>
    <w:link w:val="BalloonTextChar"/>
    <w:uiPriority w:val="99"/>
    <w:semiHidden/>
    <w:unhideWhenUsed/>
    <w:qFormat/>
    <w:rsid w:val="00876d2e"/>
    <w:pPr/>
    <w:rPr>
      <w:rFonts w:ascii="Tahoma" w:hAnsi="Tahoma" w:cs="Tahoma"/>
      <w:sz w:val="16"/>
      <w:szCs w:val="1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LOnormal">
    <w:name w:val="LO-normal"/>
    <w:qFormat/>
    <w:pPr>
      <w:widowControl/>
      <w:suppressAutoHyphens w:val="true"/>
      <w:bidi w:val="0"/>
      <w:spacing w:before="0" w:after="0"/>
      <w:jc w:val="left"/>
    </w:pPr>
    <w:rPr>
      <w:rFonts w:ascii="Calibri" w:hAnsi="Calibri" w:eastAsia="Calibri" w:cs="Times New Roman"/>
      <w:color w:val="auto"/>
      <w:kern w:val="0"/>
      <w:sz w:val="20"/>
      <w:szCs w:val="20"/>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ceur-ws.org/Vol-2217/"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Application>LibreOffice/7.0.4.2$Linux_X86_64 LibreOffice_project/00$Build-2</Application>
  <AppVersion>15.0000</AppVersion>
  <Pages>2</Pages>
  <Words>533</Words>
  <Characters>3389</Characters>
  <CharactersWithSpaces>3819</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2023-02-07T15:57:00Z</dcterms:created>
  <dc:creator>mane</dc:creator>
  <dc:description/>
  <dc:language>en-GB</dc:language>
  <cp:lastModifiedBy/>
  <dcterms:modified xsi:type="dcterms:W3CDTF">2023-02-20T16:01:50Z</dcterms:modified>
  <cp:revision>9</cp:revision>
  <dc:subject/>
  <dc:title>ТАБЕЛЕ У ДОКУМЕНТАЦИЈИ ЗА АКРЕДИТАЦИЈУ СТУДИЈСКОГ ПРОГРАМА</dc:title>
</cp:coreProperties>
</file>

<file path=docProps/custom.xml><?xml version="1.0" encoding="utf-8"?>
<Properties xmlns="http://schemas.openxmlformats.org/officeDocument/2006/custom-properties" xmlns:vt="http://schemas.openxmlformats.org/officeDocument/2006/docPropsVTypes"/>
</file>