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053"/>
        <w:gridCol w:w="743"/>
        <w:gridCol w:w="126"/>
        <w:gridCol w:w="1051"/>
        <w:gridCol w:w="816"/>
        <w:gridCol w:w="277"/>
        <w:gridCol w:w="1112"/>
        <w:gridCol w:w="410"/>
        <w:gridCol w:w="144"/>
        <w:gridCol w:w="1346"/>
        <w:gridCol w:w="725"/>
        <w:gridCol w:w="1836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E6143C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Горан Радојев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E6143C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491993" w:rsidRPr="000B41A8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491993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 w:rsidR="00A430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(УНС ПМФ)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Сад, од 2003. године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4A278C" w:rsidRDefault="00E6143C" w:rsidP="004A27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Нумеричка </w:t>
            </w:r>
            <w:r w:rsidR="004A27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B41A8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E6143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143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D3FEA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(професор)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B15590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B41A8">
              <w:rPr>
                <w:rFonts w:ascii="Times New Roman" w:hAnsi="Times New Roman"/>
                <w:sz w:val="20"/>
                <w:szCs w:val="20"/>
                <w:lang w:val="sr-Cyrl-CS"/>
              </w:rPr>
              <w:t>M149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sz w:val="18"/>
                <w:szCs w:val="18"/>
                <w:lang/>
              </w:rPr>
              <w:t>Финансијска математика 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0B41A8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>
              <w:rPr>
                <w:rFonts w:ascii="Roboto" w:hAnsi="Roboto"/>
                <w:color w:val="333333"/>
                <w:sz w:val="19"/>
                <w:szCs w:val="19"/>
                <w:shd w:val="clear" w:color="auto" w:fill="FFFFFF"/>
              </w:rPr>
              <w:t>Ф18НМП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hyperlink r:id="rId7" w:tgtFrame="_blank" w:history="1">
              <w:r w:rsidRPr="000B41A8">
                <w:rPr>
                  <w:rFonts w:ascii="Times New Roman" w:hAnsi="Times New Roman"/>
                  <w:sz w:val="18"/>
                  <w:szCs w:val="18"/>
                  <w:lang/>
                </w:rPr>
                <w:t>Нумеричке методе и програмирање у физици</w:t>
              </w:r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М531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hyperlink r:id="rId8" w:tgtFrame="_blank" w:history="1">
              <w:r w:rsidRPr="000B41A8">
                <w:rPr>
                  <w:rFonts w:ascii="Times New Roman" w:hAnsi="Times New Roman"/>
                  <w:sz w:val="18"/>
                  <w:szCs w:val="18"/>
                  <w:lang/>
                </w:rPr>
                <w:t>Нумеричко решавање диференцијалних једначина</w:t>
              </w:r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B41A8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0B41A8" w:rsidP="000B41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9" w:tgtFrame="_blank" w:history="1">
              <w:r>
                <w:rPr>
                  <w:rFonts w:ascii="Times New Roman" w:hAnsi="Times New Roman"/>
                  <w:sz w:val="18"/>
                  <w:szCs w:val="18"/>
                  <w:lang w:val="sr-Cyrl-CS"/>
                </w:rPr>
                <w:t>ЦС252</w:t>
              </w:r>
            </w:hyperlink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10" w:tgtFrame="_blank" w:history="1">
              <w:proofErr w:type="spellStart"/>
              <w:r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>Нумеричке</w:t>
              </w:r>
              <w:proofErr w:type="spellEnd"/>
              <w:r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 xml:space="preserve"> </w:t>
              </w:r>
              <w:proofErr w:type="spellStart"/>
              <w:r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>методе</w:t>
              </w:r>
              <w:proofErr w:type="spellEnd"/>
              <w:r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 xml:space="preserve"> и </w:t>
              </w:r>
              <w:proofErr w:type="spellStart"/>
              <w:r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>оптимизација</w:t>
              </w:r>
              <w:proofErr w:type="spellEnd"/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15590" w:rsidRDefault="004A278C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Brdar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M., </w:t>
            </w:r>
            <w:proofErr w:type="spellStart"/>
            <w:r w:rsidRPr="004A278C">
              <w:rPr>
                <w:rStyle w:val="title"/>
                <w:rFonts w:ascii="Times New Roman" w:hAnsi="Times New Roman"/>
                <w:b/>
                <w:bCs/>
                <w:color w:val="111111"/>
                <w:sz w:val="20"/>
                <w:szCs w:val="20"/>
              </w:rPr>
              <w:t>Radojev</w:t>
            </w:r>
            <w:proofErr w:type="spellEnd"/>
            <w:r w:rsidRPr="004A278C">
              <w:rPr>
                <w:rStyle w:val="title"/>
                <w:rFonts w:ascii="Times New Roman" w:hAnsi="Times New Roman"/>
                <w:b/>
                <w:bCs/>
                <w:color w:val="111111"/>
                <w:sz w:val="20"/>
                <w:szCs w:val="20"/>
              </w:rPr>
              <w:t xml:space="preserve"> G.,</w:t>
            </w:r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Roos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H.G., </w:t>
            </w: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Teofanov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L. “</w:t>
            </w:r>
            <w:proofErr w:type="spellStart"/>
            <w:r w:rsidR="007A2A2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begin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instrText xml:space="preserve"> HYPERLINK "javascript:void(0)" </w:instrText>
            </w:r>
            <w:r w:rsidR="007A2A2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separate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Superconvergence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analysis of FEM and SDFEM on graded meshes for a problem with characteristic layers</w:t>
            </w:r>
            <w:r w:rsidR="007A2A2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end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”, Computers &amp;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Mathemtics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with Applications, 93: 50-57 (2021)</w:t>
            </w:r>
          </w:p>
          <w:p w:rsidR="00491993" w:rsidRPr="00B15590" w:rsidRDefault="00B15590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/>
              </w:rPr>
            </w:pPr>
            <w:hyperlink r:id="rId11" w:history="1"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://</w:t>
              </w:r>
              <w:proofErr w:type="spellStart"/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doi</w:t>
              </w:r>
              <w:proofErr w:type="spellEnd"/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.</w:t>
              </w:r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org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/10.1016/</w:t>
              </w:r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j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.</w:t>
              </w:r>
              <w:proofErr w:type="spellStart"/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camwa</w:t>
              </w:r>
              <w:proofErr w:type="spellEnd"/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.2021.04.009</w:t>
              </w:r>
            </w:hyperlink>
            <w:r>
              <w:rPr>
                <w:rStyle w:val="title"/>
                <w:rFonts w:ascii="Times New Roman" w:hAnsi="Times New Roman"/>
                <w:sz w:val="20"/>
                <w:szCs w:val="20"/>
                <w:lang/>
              </w:rPr>
              <w:t xml:space="preserve"> (М21а)</w:t>
            </w:r>
            <w:r w:rsidR="004A278C" w:rsidRPr="00B15590">
              <w:rPr>
                <w:rStyle w:val="title"/>
                <w:rFonts w:ascii="Times New Roman" w:hAnsi="Times New Roman"/>
                <w:sz w:val="20"/>
                <w:szCs w:val="20"/>
                <w:lang/>
              </w:rPr>
              <w:t xml:space="preserve">  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7A2A2C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  <w:lang/>
              </w:rPr>
            </w:pPr>
            <w:hyperlink r:id="rId12" w:history="1">
              <w:proofErr w:type="spellStart"/>
              <w:r w:rsidR="004A278C" w:rsidRPr="004A278C">
                <w:rPr>
                  <w:rStyle w:val="Hyperlink"/>
                  <w:rFonts w:ascii="Times New Roman" w:hAnsi="Times New Roman"/>
                  <w:b/>
                  <w:bCs/>
                  <w:color w:val="auto"/>
                  <w:sz w:val="20"/>
                  <w:szCs w:val="20"/>
                  <w:u w:val="none"/>
                </w:rPr>
                <w:t>Radojev</w:t>
              </w:r>
              <w:proofErr w:type="spellEnd"/>
            </w:hyperlink>
            <w:r w:rsidR="004A278C"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T. “Maximum‐norm a posteriori error bounds for a collocation method applied to a singularly perturbed reaction–diffusion problem in three dimensions”, Numerical Methods for Partial Differential Equations, 35(6): 2305- 2327 (2019)</w:t>
            </w:r>
          </w:p>
          <w:p w:rsidR="00B15590" w:rsidRPr="00B15590" w:rsidRDefault="00B15590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/>
              </w:rPr>
            </w:pPr>
            <w:hyperlink r:id="rId13" w:history="1">
              <w:r w:rsidRPr="00523660">
                <w:rPr>
                  <w:rStyle w:val="Hyperlink"/>
                  <w:rFonts w:ascii="Times New Roman" w:hAnsi="Times New Roman"/>
                  <w:lang/>
                </w:rPr>
                <w:t>https://doi.org/10.1002/num.22414</w:t>
              </w:r>
            </w:hyperlink>
            <w:r>
              <w:rPr>
                <w:rFonts w:ascii="Times New Roman" w:hAnsi="Times New Roman"/>
                <w:lang/>
              </w:rPr>
              <w:t xml:space="preserve"> (М21)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4A278C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>Radojev</w:t>
            </w:r>
            <w:proofErr w:type="spellEnd"/>
            <w:r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Brdar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M., “A collocation method on a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Gartland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-type mesh for a singularly perturbed reaction-diffusion problem”, Mathematical Communications, 24(1): 19-37 (2019)</w:t>
            </w:r>
          </w:p>
          <w:p w:rsidR="00B15590" w:rsidRPr="00B15590" w:rsidRDefault="00B15590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hyperlink r:id="rId14" w:history="1">
              <w:r w:rsidRPr="0052366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https://www.mathos.unios.hr/mc/index.php/mc/article/view/2369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(М22)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4A278C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A278C">
              <w:rPr>
                <w:rFonts w:ascii="Times New Roman" w:hAnsi="Times New Roman"/>
                <w:b/>
                <w:bCs/>
                <w:sz w:val="20"/>
                <w:szCs w:val="20"/>
              </w:rPr>
              <w:t>Radojev</w:t>
            </w:r>
            <w:proofErr w:type="spellEnd"/>
            <w:r w:rsidRPr="004A27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Pr="004A27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T., “A posteriori maximum-norm error bounds for the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biquadratic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spline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collocation method applied to reaction-diffusion problems”, Computational and Applied Mathematics, 37(4): 4730-4742 (2018)</w:t>
            </w:r>
          </w:p>
          <w:p w:rsidR="00B15590" w:rsidRPr="00B15590" w:rsidRDefault="00B15590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/>
              </w:rPr>
            </w:pPr>
            <w:hyperlink r:id="rId15" w:history="1"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https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  <w:lang/>
                </w:rPr>
                <w:t>://</w:t>
              </w:r>
              <w:proofErr w:type="spellStart"/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doi</w:t>
              </w:r>
              <w:proofErr w:type="spellEnd"/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  <w:lang/>
                </w:rPr>
                <w:t>.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org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  <w:lang/>
                </w:rPr>
                <w:t>/10.1007/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s</w:t>
              </w:r>
              <w:r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  <w:lang/>
                </w:rPr>
                <w:t>40314-018-0599-1</w:t>
              </w:r>
            </w:hyperlink>
            <w:r>
              <w:rPr>
                <w:rFonts w:ascii="Segoe UI" w:hAnsi="Segoe UI" w:cs="Segoe UI"/>
                <w:color w:val="333333"/>
                <w:sz w:val="19"/>
                <w:szCs w:val="19"/>
                <w:shd w:val="clear" w:color="auto" w:fill="FCFCFC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(М22)</w:t>
            </w:r>
          </w:p>
        </w:tc>
      </w:tr>
      <w:tr w:rsidR="00491993" w:rsidRPr="00D3614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D36140" w:rsidRDefault="004A278C" w:rsidP="00D3614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T., </w:t>
            </w:r>
            <w:hyperlink r:id="rId16" w:history="1">
              <w:r w:rsidRPr="004A278C">
                <w:rPr>
                  <w:rStyle w:val="Hyperlink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A278C">
                <w:rPr>
                  <w:rStyle w:val="Hyperlink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>Radojev</w:t>
              </w:r>
              <w:proofErr w:type="spellEnd"/>
            </w:hyperlink>
            <w:r w:rsidRPr="004A278C">
              <w:rPr>
                <w:rStyle w:val="title"/>
                <w:rFonts w:ascii="Times New Roman" w:hAnsi="Times New Roman"/>
                <w:b/>
                <w:sz w:val="20"/>
                <w:szCs w:val="20"/>
              </w:rPr>
              <w:t xml:space="preserve"> G.</w:t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“Robust a posteriori error bounds </w:t>
            </w:r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for </w:t>
            </w:r>
            <w:proofErr w:type="spellStart"/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>spline</w:t>
            </w:r>
            <w:proofErr w:type="spellEnd"/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collocation applied to singularly perturbed reaction-diffusion problems”, Electronic Transactions on Numerical Analysis 45: 342-353 (2016)</w:t>
            </w:r>
          </w:p>
          <w:p w:rsidR="00B15590" w:rsidRPr="00B15590" w:rsidRDefault="00D36140" w:rsidP="00D361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/>
              </w:rPr>
            </w:pPr>
            <w:hyperlink r:id="rId17" w:history="1">
              <w:r w:rsidRPr="00D36140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https://etna.math.kent.edu/volumes/2011-2020/vol45/abstract.php?vol=45&amp;pages=342-353</w:t>
              </w:r>
            </w:hyperlink>
            <w:r>
              <w:rPr>
                <w:rFonts w:ascii="Times New Roman" w:hAnsi="Times New Roman"/>
                <w:lang/>
              </w:rPr>
              <w:t xml:space="preserve"> (М22)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7052B1" w:rsidRDefault="007052B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E9330D">
              <w:rPr>
                <w:rFonts w:ascii="Times New Roman" w:hAnsi="Times New Roman"/>
                <w:sz w:val="20"/>
                <w:szCs w:val="20"/>
              </w:rPr>
              <w:t xml:space="preserve"> (27)</w:t>
            </w:r>
            <w:r>
              <w:rPr>
                <w:rFonts w:ascii="Times New Roman" w:hAnsi="Times New Roman"/>
                <w:sz w:val="20"/>
                <w:szCs w:val="20"/>
              </w:rPr>
              <w:t>, 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7052B1" w:rsidRDefault="007052B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3"/>
            <w:vAlign w:val="center"/>
          </w:tcPr>
          <w:p w:rsidR="00491993" w:rsidRPr="007052B1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7052B1">
              <w:rPr>
                <w:rFonts w:ascii="Times New Roman" w:hAnsi="Times New Roman"/>
                <w:sz w:val="20"/>
                <w:szCs w:val="20"/>
              </w:rPr>
              <w:t xml:space="preserve">   0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7052B1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7052B1">
              <w:rPr>
                <w:rFonts w:ascii="Times New Roman" w:hAnsi="Times New Roman"/>
                <w:sz w:val="20"/>
                <w:szCs w:val="20"/>
              </w:rPr>
              <w:t xml:space="preserve">   0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35" w:rsidRDefault="00F06735" w:rsidP="005A4C35">
      <w:r>
        <w:separator/>
      </w:r>
    </w:p>
  </w:endnote>
  <w:endnote w:type="continuationSeparator" w:id="0">
    <w:p w:rsidR="00F06735" w:rsidRDefault="00F06735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35" w:rsidRDefault="00F06735" w:rsidP="005A4C35">
      <w:r>
        <w:separator/>
      </w:r>
    </w:p>
  </w:footnote>
  <w:footnote w:type="continuationSeparator" w:id="0">
    <w:p w:rsidR="00F06735" w:rsidRDefault="00F06735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6FB"/>
    <w:multiLevelType w:val="hybridMultilevel"/>
    <w:tmpl w:val="E43C8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B3987"/>
    <w:rsid w:val="000B41A8"/>
    <w:rsid w:val="000B76BC"/>
    <w:rsid w:val="000D4C2C"/>
    <w:rsid w:val="001D30A6"/>
    <w:rsid w:val="00217AA5"/>
    <w:rsid w:val="00245161"/>
    <w:rsid w:val="0037541D"/>
    <w:rsid w:val="003D7D7E"/>
    <w:rsid w:val="003F2C55"/>
    <w:rsid w:val="00422881"/>
    <w:rsid w:val="00473DA4"/>
    <w:rsid w:val="00491993"/>
    <w:rsid w:val="004A0BD0"/>
    <w:rsid w:val="004A278C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D3FEA"/>
    <w:rsid w:val="00675394"/>
    <w:rsid w:val="0068134D"/>
    <w:rsid w:val="00695869"/>
    <w:rsid w:val="006A4922"/>
    <w:rsid w:val="006E4988"/>
    <w:rsid w:val="007052B1"/>
    <w:rsid w:val="0071653D"/>
    <w:rsid w:val="0074215C"/>
    <w:rsid w:val="00771730"/>
    <w:rsid w:val="00785BFE"/>
    <w:rsid w:val="00786AE8"/>
    <w:rsid w:val="007A2A2C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34029"/>
    <w:rsid w:val="00A430C7"/>
    <w:rsid w:val="00A5004B"/>
    <w:rsid w:val="00A5284A"/>
    <w:rsid w:val="00A71BAC"/>
    <w:rsid w:val="00A93E9A"/>
    <w:rsid w:val="00AC0E94"/>
    <w:rsid w:val="00AE0D6A"/>
    <w:rsid w:val="00B15590"/>
    <w:rsid w:val="00B401D6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6140"/>
    <w:rsid w:val="00D50576"/>
    <w:rsid w:val="00D56D22"/>
    <w:rsid w:val="00D87D1F"/>
    <w:rsid w:val="00DB5296"/>
    <w:rsid w:val="00E2605B"/>
    <w:rsid w:val="00E6143C"/>
    <w:rsid w:val="00E9330D"/>
    <w:rsid w:val="00E96EB0"/>
    <w:rsid w:val="00EF1FF3"/>
    <w:rsid w:val="00F06735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0B41A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title">
    <w:name w:val="title"/>
    <w:basedOn w:val="DefaultParagraphFont"/>
    <w:rsid w:val="004A278C"/>
  </w:style>
  <w:style w:type="character" w:customStyle="1" w:styleId="this-person">
    <w:name w:val="this-person"/>
    <w:basedOn w:val="DefaultParagraphFont"/>
    <w:rsid w:val="004A278C"/>
  </w:style>
  <w:style w:type="character" w:customStyle="1" w:styleId="Heading1Char">
    <w:name w:val="Heading 1 Char"/>
    <w:basedOn w:val="DefaultParagraphFont"/>
    <w:link w:val="Heading1"/>
    <w:uiPriority w:val="9"/>
    <w:rsid w:val="000B41A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mf.uns.ac.rs/wp-content/uploads/2018/DMI/M5/M531.pdf" TargetMode="External"/><Relationship Id="rId13" Type="http://schemas.openxmlformats.org/officeDocument/2006/relationships/hyperlink" Target="https://doi.org/10.1002/num.2241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mf.uns.ac.rs/wp-content/uploads/2018/DF/osnovne/F18NMP.pdf" TargetMode="External"/><Relationship Id="rId12" Type="http://schemas.openxmlformats.org/officeDocument/2006/relationships/hyperlink" Target="http://www.informatik.uni-trier.de/~ley/pers/hd/r/Radojev:Goran.html" TargetMode="External"/><Relationship Id="rId17" Type="http://schemas.openxmlformats.org/officeDocument/2006/relationships/hyperlink" Target="https://etna.math.kent.edu/volumes/2011-2020/vol45/abstract.php?vol=45&amp;pages=342-35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rmatik.uni-trier.de/%7Eley/pers/hd/r/Radojev:Gora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camwa.2021.04.0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07/s40314-018-0599-1" TargetMode="External"/><Relationship Id="rId10" Type="http://schemas.openxmlformats.org/officeDocument/2006/relationships/hyperlink" Target="https://www.pmf.uns.ac.rs/wp-content/uploads/2017/07/CS252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pmf.uns.ac.rs/wp-content/uploads/2017/07/CS252.pdf" TargetMode="External"/><Relationship Id="rId14" Type="http://schemas.openxmlformats.org/officeDocument/2006/relationships/hyperlink" Target="https://www.mathos.unios.hr/mc/index.php/mc/article/view/23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Microsoft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Goran</cp:lastModifiedBy>
  <cp:revision>10</cp:revision>
  <dcterms:created xsi:type="dcterms:W3CDTF">2023-04-02T22:29:00Z</dcterms:created>
  <dcterms:modified xsi:type="dcterms:W3CDTF">2023-04-04T08:50:00Z</dcterms:modified>
</cp:coreProperties>
</file>