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2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  <w:tblGridChange w:id="0">
          <w:tblGrid>
            <w:gridCol w:w="540"/>
            <w:gridCol w:w="26"/>
            <w:gridCol w:w="852"/>
            <w:gridCol w:w="283"/>
            <w:gridCol w:w="567"/>
            <w:gridCol w:w="2108"/>
            <w:gridCol w:w="276"/>
            <w:gridCol w:w="451"/>
            <w:gridCol w:w="851"/>
            <w:gridCol w:w="214"/>
            <w:gridCol w:w="69"/>
            <w:gridCol w:w="1560"/>
            <w:gridCol w:w="850"/>
            <w:gridCol w:w="1559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Ивана Штајнер-Папуга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ПМФ, 1996.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Aнализа и вероватноћа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Aнализа и вероватноћа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Aнализа и вероватноћа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1999.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Aнализа и вероватноћа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1996.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Aнализа и вероватноћа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ОР0001, ИОР02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Математичка анализа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ОР0006, ИОР05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Математичка анализа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МР0030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Непрекидна и мултиваријантна вероватноћа и статистика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МН009, МБ45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Теорија одлучивања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Математика, Примењена математика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ОП1002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Семинарски рад из моделирања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ОТ0008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Пословна статистика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D. Jočić, P. Drygaś Paweł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none"/>
                  <w:rtl w:val="0"/>
                </w:rPr>
                <w:t xml:space="preserve">Left and right distributivity equations in the class of semi-t-operators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color w:val="000000"/>
                  <w:sz w:val="18"/>
                  <w:szCs w:val="18"/>
                  <w:u w:val="none"/>
                  <w:rtl w:val="0"/>
                </w:rPr>
                <w:t xml:space="preserve">Fuzzy Sets and Systems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372, 62-80, 2019, DOI: 10.1016/j.fss.2018.10.016 (M21a)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ind w:left="34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M. Vujičić, J. Kenell, A. Morrison, V. Filimonau,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U. Stankov and Đ. Vasiljević, Fuzzy Modelling of Tourist Motivation: An Age-Related Model for Sustainable, Multi-Attraction, Urban Destinations,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(20), 2020, 8698, DOI: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10.3390/su12208698 (M22)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pStyle w:val="Heading2"/>
              <w:spacing w:after="0" w:lineRule="auto"/>
              <w:jc w:val="both"/>
              <w:rPr/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D. Jočić and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I. Štajner-Papuga, </w:t>
            </w: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Conditional distributivity of continuous semi-t-operators over disjunctive uninorms with continuous underlying t-norms and t-conorms,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b w:val="0"/>
                  <w:i w:val="1"/>
                  <w:color w:val="000000"/>
                  <w:sz w:val="18"/>
                  <w:szCs w:val="18"/>
                  <w:u w:val="none"/>
                  <w:rtl w:val="0"/>
                </w:rPr>
                <w:t xml:space="preserve">Fuzzy Sets and Systems</w:t>
              </w:r>
            </w:hyperlink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 423, 2021,89-106, DOI: 10.1016/j.fss.2020.10.012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D. Jočić 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Distributivity between 2-uninorms and Mayor’s aggregation operators.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Iranian Journal of Fuzzy Systems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(6), 2022, 13-27, DOI:10.22111/ijfs.2022.7207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D. Jočić, P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Distributivity laws for quasi-linear means.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Iranian Journal of Fuzzy Systems 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(1), 2022, 1-11,  DOI:10.22111/ijfs.2022.6547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S. Gvozdenac, Ž Milovac, S. Vidal, Z. Lozanov-Crvenković, I. Papuga,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F. Franeta, F.,J. Ovuka and S. Cvejić, Comparison of chemical and biological wireworm control options in serbian sunflower fields and a proposition for a refined wireworm damage assessment.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Agronomy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(4), 2022, DOI:10.3390/agronomy12040758 (M21)</w:t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M. Vujičić, U. Stankov, V. Pavluković,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S. Kovačić, J. Čikić, N. Milenković and T. Zelenović Vasiljević, Prepare for impact! A methodological approach for comprehensive impact evaluation of european capital of culture: The case of novi sad 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Social Indicators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165(2), 2023,715-736, DOI:10.1007/s11205-022-03041-1  (M21)</w:t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686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D. Jočić, P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I. Štajner-Papuga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Strengthened conditional distributivity of semi-t-operators over uninorms,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Soft Computing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27(1), 2023, 187-200, DOI:10.1007/s00500-022-07570-2 (M22)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362 (243), SCOPUS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0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боравци: </w:t>
            </w:r>
          </w:p>
          <w:p w:rsidR="00000000" w:rsidDel="00000000" w:rsidP="00000000" w:rsidRDefault="00000000" w:rsidRPr="00000000" w14:paraId="000001BA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Johannes Kepler Universität у Линцу, Аустрија, четири пута по месец дана у периоду од 2001. до 2004. године; </w:t>
            </w:r>
          </w:p>
          <w:p w:rsidR="00000000" w:rsidDel="00000000" w:rsidP="00000000" w:rsidRDefault="00000000" w:rsidRPr="00000000" w14:paraId="000001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Sapienza-Universita di Roma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 Риму маја 2007 у трајању од месец дана.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D2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7489E"/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 w:val="1"/>
    <w:rsid w:val="005F464C"/>
    <w:pPr>
      <w:spacing w:after="100" w:afterAutospacing="1" w:before="100" w:beforeAutospacing="1"/>
      <w:outlineLvl w:val="1"/>
    </w:pPr>
    <w:rPr>
      <w:rFonts w:ascii="Times New Roman" w:eastAsia="Times New Roman" w:hAnsi="Times New Roman"/>
      <w:b w:val="1"/>
      <w:bCs w:val="1"/>
      <w:sz w:val="36"/>
      <w:szCs w:val="3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7A38B0"/>
    <w:pPr>
      <w:autoSpaceDE w:val="0"/>
      <w:autoSpaceDN w:val="0"/>
      <w:adjustRightInd w:val="0"/>
      <w:ind w:left="720"/>
      <w:contextualSpacing w:val="1"/>
    </w:pPr>
    <w:rPr>
      <w:rFonts w:ascii="Times New Roman" w:eastAsia="Times New Roman" w:hAnsi="Times New Roman"/>
      <w:sz w:val="20"/>
      <w:szCs w:val="20"/>
    </w:rPr>
  </w:style>
  <w:style w:type="character" w:styleId="Emphasis">
    <w:name w:val="Emphasis"/>
    <w:basedOn w:val="DefaultParagraphFont"/>
    <w:uiPriority w:val="20"/>
    <w:qFormat w:val="1"/>
    <w:rsid w:val="003A2127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5F464C"/>
    <w:rPr>
      <w:rFonts w:ascii="Times New Roman" w:eastAsia="Times New Roman" w:hAnsi="Times New Roman"/>
      <w:b w:val="1"/>
      <w:bCs w:val="1"/>
      <w:sz w:val="36"/>
      <w:szCs w:val="36"/>
    </w:rPr>
  </w:style>
  <w:style w:type="character" w:styleId="highlight-module1p2so" w:customStyle="1">
    <w:name w:val="highlight-module__1p2so"/>
    <w:basedOn w:val="DefaultParagraphFont"/>
    <w:rsid w:val="005F464C"/>
  </w:style>
  <w:style w:type="paragraph" w:styleId="NormalWeb">
    <w:name w:val="Normal (Web)"/>
    <w:basedOn w:val="Normal"/>
    <w:uiPriority w:val="99"/>
    <w:semiHidden w:val="1"/>
    <w:unhideWhenUsed w:val="1"/>
    <w:rsid w:val="007E53A5"/>
    <w:pPr>
      <w:spacing w:after="100" w:afterAutospacing="1" w:before="100" w:beforeAutospacing="1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iencedirect.com/science/journal/0165011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ciencedirect.com/science/article/pii/S0165011418303658" TargetMode="External"/><Relationship Id="rId8" Type="http://schemas.openxmlformats.org/officeDocument/2006/relationships/hyperlink" Target="https://www.sciencedirect.com/science/journal/016501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9ifLYhNPC/yRiqa6+HGuMX9K0g==">CgMxLjA4AHIhMXd6X1JVLVp4d0lJQmRZUVVob3d6ZnlfUlFkZ3FCZnUz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2023-03-30T19:04:00Z</dcterms:created>
  <dc:creator>mane</dc:creator>
</cp:coreProperties>
</file>