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tabs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jc w:val="left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1345"/>
        <w:gridCol w:w="451"/>
        <w:gridCol w:w="126"/>
        <w:gridCol w:w="1050"/>
        <w:gridCol w:w="816"/>
        <w:gridCol w:w="278"/>
        <w:gridCol w:w="73"/>
        <w:gridCol w:w="1037"/>
        <w:gridCol w:w="412"/>
        <w:gridCol w:w="143"/>
        <w:gridCol w:w="1345"/>
        <w:gridCol w:w="444"/>
        <w:gridCol w:w="2119"/>
      </w:tblGrid>
      <w:tr>
        <w:trPr>
          <w:trHeight w:val="257" w:hRule="atLeast"/>
          <w:cantSplit w:val="false"/>
        </w:trPr>
        <w:tc>
          <w:tcPr>
            <w:tcW w:w="463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Јелена Алексић</w:t>
            </w:r>
          </w:p>
        </w:tc>
      </w:tr>
      <w:tr>
        <w:trPr>
          <w:trHeight w:val="247" w:hRule="atLeast"/>
          <w:cantSplit w:val="false"/>
        </w:trPr>
        <w:tc>
          <w:tcPr>
            <w:tcW w:w="463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Редовни професор</w:t>
            </w:r>
          </w:p>
        </w:tc>
      </w:tr>
      <w:tr>
        <w:trPr>
          <w:trHeight w:val="427" w:hRule="atLeast"/>
          <w:cantSplit w:val="false"/>
        </w:trPr>
        <w:tc>
          <w:tcPr>
            <w:tcW w:w="463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Универзитет у Новом Саду, Природно-математички факултет, од 2002.</w:t>
            </w:r>
          </w:p>
        </w:tc>
      </w:tr>
      <w:tr>
        <w:trPr>
          <w:trHeight w:val="272" w:hRule="atLeast"/>
          <w:cantSplit w:val="false"/>
        </w:trPr>
        <w:tc>
          <w:tcPr>
            <w:tcW w:w="463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iCs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Анализа и вероватноћа</w:t>
            </w:r>
          </w:p>
        </w:tc>
      </w:tr>
      <w:tr>
        <w:trPr>
          <w:trHeight w:val="249" w:hRule="atLeast"/>
          <w:cantSplit w:val="false"/>
        </w:trPr>
        <w:tc>
          <w:tcPr>
            <w:tcW w:w="1020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Академска каријера</w:t>
            </w:r>
          </w:p>
        </w:tc>
      </w:tr>
      <w:tr>
        <w:trPr>
          <w:trHeight w:val="427" w:hRule="atLeast"/>
          <w:cantSplit w:val="false"/>
        </w:trPr>
        <w:tc>
          <w:tcPr>
            <w:tcW w:w="24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Година </w:t>
            </w:r>
          </w:p>
        </w:tc>
        <w:tc>
          <w:tcPr>
            <w:tcW w:w="22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бласт </w:t>
            </w:r>
          </w:p>
        </w:tc>
        <w:tc>
          <w:tcPr>
            <w:tcW w:w="25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  <w:cantSplit w:val="false"/>
        </w:trPr>
        <w:tc>
          <w:tcPr>
            <w:tcW w:w="24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Избор у звање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22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Департман за математику и информатику, П</w:t>
            </w: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Ф</w:t>
            </w:r>
          </w:p>
        </w:tc>
        <w:tc>
          <w:tcPr>
            <w:tcW w:w="19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Анализа и вероватноћа</w:t>
            </w:r>
          </w:p>
        </w:tc>
      </w:tr>
      <w:tr>
        <w:trPr>
          <w:trHeight w:val="265" w:hRule="atLeast"/>
          <w:cantSplit w:val="false"/>
        </w:trPr>
        <w:tc>
          <w:tcPr>
            <w:tcW w:w="24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Докторат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09</w:t>
            </w:r>
          </w:p>
        </w:tc>
        <w:tc>
          <w:tcPr>
            <w:tcW w:w="22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ДМИ, П</w:t>
            </w: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Ф</w:t>
            </w:r>
          </w:p>
        </w:tc>
        <w:tc>
          <w:tcPr>
            <w:tcW w:w="19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Анализа и вероватноћа</w:t>
            </w:r>
          </w:p>
        </w:tc>
      </w:tr>
      <w:tr>
        <w:trPr>
          <w:trHeight w:val="231" w:hRule="atLeast"/>
          <w:cantSplit w:val="false"/>
        </w:trPr>
        <w:tc>
          <w:tcPr>
            <w:tcW w:w="24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Магистратура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2006</w:t>
            </w:r>
          </w:p>
        </w:tc>
        <w:tc>
          <w:tcPr>
            <w:tcW w:w="22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ДМИ, П</w:t>
            </w: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Ф</w:t>
            </w:r>
          </w:p>
        </w:tc>
        <w:tc>
          <w:tcPr>
            <w:tcW w:w="19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Анализа и вероватноћа</w:t>
            </w:r>
          </w:p>
        </w:tc>
      </w:tr>
      <w:tr>
        <w:trPr>
          <w:trHeight w:val="197" w:hRule="atLeast"/>
          <w:cantSplit w:val="false"/>
        </w:trPr>
        <w:tc>
          <w:tcPr>
            <w:tcW w:w="24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Диплома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2002</w:t>
            </w:r>
          </w:p>
        </w:tc>
        <w:tc>
          <w:tcPr>
            <w:tcW w:w="22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ДМИ, П</w:t>
            </w: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Ф</w:t>
            </w:r>
          </w:p>
        </w:tc>
        <w:tc>
          <w:tcPr>
            <w:tcW w:w="19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Анализа и вероватноћа</w:t>
            </w:r>
          </w:p>
        </w:tc>
      </w:tr>
      <w:tr>
        <w:trPr>
          <w:trHeight w:val="314" w:hRule="atLeast"/>
          <w:cantSplit w:val="false"/>
        </w:trPr>
        <w:tc>
          <w:tcPr>
            <w:tcW w:w="1020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Списак предмета за које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>
        <w:trPr>
          <w:trHeight w:val="702" w:hRule="atLeast"/>
          <w:cantSplit w:val="false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iCs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 xml:space="preserve">     </w:t>
            </w:r>
          </w:p>
        </w:tc>
        <w:tc>
          <w:tcPr>
            <w:tcW w:w="15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>
        <w:trPr>
          <w:trHeight w:val="427" w:hRule="atLeast"/>
          <w:cantSplit w:val="false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lineRule="atLeast" w:line="100"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</w:t>
            </w:r>
            <w:r>
              <w:rPr>
                <w:rFonts w:ascii="Times New Roman" w:hAnsi="Times New Roman"/>
                <w:sz w:val="20"/>
                <w:szCs w:val="20"/>
              </w:rPr>
              <w:t>0008</w:t>
            </w:r>
          </w:p>
        </w:tc>
        <w:tc>
          <w:tcPr>
            <w:tcW w:w="279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lineRule="atLeast" w:line="100" w:before="0" w:after="60"/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Анализа 2</w:t>
            </w:r>
          </w:p>
          <w:p>
            <w:pPr>
              <w:pStyle w:val="Normal"/>
              <w:tabs>
                <w:tab w:val="left" w:pos="567" w:leader="none"/>
              </w:tabs>
              <w:spacing w:lineRule="atLeast" w:line="100"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lineRule="atLeast" w:line="100"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17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lineRule="atLeast" w:line="100"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М5, М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iCs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  <w:cantSplit w:val="false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lineRule="atLeast" w:line="100" w:before="0" w:after="60"/>
              <w:rPr>
                <w:rFonts w:ascii="Verdana" w:hAnsi="Verdana"/>
                <w:b w:val="false"/>
                <w:i w:val="false"/>
                <w:strike w:val="false"/>
                <w:dstrike w:val="false"/>
                <w:outline w:val="false"/>
                <w:shadow w:val="false"/>
                <w:sz w:val="18"/>
                <w:szCs w:val="20"/>
                <w:u w:val="none"/>
                <w:em w:val="none"/>
              </w:rPr>
            </w:pPr>
            <w:r>
              <w:rPr>
                <w:rFonts w:ascii="Verdana" w:hAnsi="Verdana"/>
                <w:b w:val="false"/>
                <w:i w:val="false"/>
                <w:strike w:val="false"/>
                <w:dstrike w:val="false"/>
                <w:outline w:val="false"/>
                <w:shadow w:val="false"/>
                <w:sz w:val="18"/>
                <w:szCs w:val="20"/>
                <w:u w:val="none"/>
                <w:em w:val="none"/>
              </w:rPr>
              <w:t>ИМ</w:t>
            </w:r>
            <w:r>
              <w:rPr>
                <w:rFonts w:ascii="Verdana" w:hAnsi="Verdana"/>
                <w:b w:val="false"/>
                <w:i w:val="false"/>
                <w:strike w:val="false"/>
                <w:dstrike w:val="false"/>
                <w:outline w:val="false"/>
                <w:shadow w:val="false"/>
                <w:sz w:val="18"/>
                <w:szCs w:val="20"/>
                <w:u w:val="none"/>
                <w:em w:val="none"/>
              </w:rPr>
              <w:t>0011</w:t>
            </w:r>
          </w:p>
        </w:tc>
        <w:tc>
          <w:tcPr>
            <w:tcW w:w="279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lineRule="atLeast" w:line="100" w:before="0" w:after="60"/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Анализа 3</w:t>
            </w:r>
          </w:p>
          <w:p>
            <w:pPr>
              <w:pStyle w:val="Normal"/>
              <w:tabs>
                <w:tab w:val="left" w:pos="567" w:leader="none"/>
              </w:tabs>
              <w:spacing w:lineRule="atLeast" w:line="100"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lineRule="atLeast" w:line="100"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Предавања </w:t>
            </w:r>
          </w:p>
        </w:tc>
        <w:tc>
          <w:tcPr>
            <w:tcW w:w="17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lineRule="atLeast" w:line="100"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М5, М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iCs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  <w:cantSplit w:val="false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lineRule="atLeast" w:line="100" w:before="0" w:after="60"/>
              <w:rPr>
                <w:rFonts w:ascii="Verdana" w:hAnsi="Verdana"/>
                <w:b w:val="false"/>
                <w:i w:val="false"/>
                <w:strike w:val="false"/>
                <w:dstrike w:val="false"/>
                <w:outline w:val="false"/>
                <w:shadow w:val="false"/>
                <w:sz w:val="18"/>
                <w:szCs w:val="20"/>
                <w:u w:val="none"/>
                <w:em w:val="none"/>
              </w:rPr>
            </w:pPr>
            <w:r>
              <w:rPr>
                <w:rFonts w:ascii="Verdana" w:hAnsi="Verdana"/>
                <w:b w:val="false"/>
                <w:i w:val="false"/>
                <w:strike w:val="false"/>
                <w:dstrike w:val="false"/>
                <w:outline w:val="false"/>
                <w:shadow w:val="false"/>
                <w:sz w:val="18"/>
                <w:szCs w:val="20"/>
                <w:u w:val="none"/>
                <w:em w:val="none"/>
              </w:rPr>
              <w:t>ИМ</w:t>
            </w:r>
            <w:r>
              <w:rPr>
                <w:rFonts w:ascii="Verdana" w:hAnsi="Verdana"/>
                <w:b w:val="false"/>
                <w:i w:val="false"/>
                <w:strike w:val="false"/>
                <w:dstrike w:val="false"/>
                <w:outline w:val="false"/>
                <w:shadow w:val="false"/>
                <w:sz w:val="18"/>
                <w:szCs w:val="20"/>
                <w:u w:val="none"/>
                <w:em w:val="none"/>
              </w:rPr>
              <w:t>0051</w:t>
            </w:r>
          </w:p>
        </w:tc>
        <w:tc>
          <w:tcPr>
            <w:tcW w:w="279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lineRule="atLeast" w:line="100"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Моделирање динамичких система</w:t>
            </w:r>
          </w:p>
        </w:tc>
        <w:tc>
          <w:tcPr>
            <w:tcW w:w="15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lineRule="atLeast" w:line="100"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17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lineRule="atLeast" w:line="100"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iCs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  <w:cantSplit w:val="false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lineRule="atLeast" w:line="100" w:before="0" w:after="60"/>
              <w:rPr>
                <w:rFonts w:ascii="Verdana" w:hAnsi="Verdana"/>
                <w:b w:val="false"/>
                <w:i w:val="false"/>
                <w:strike w:val="false"/>
                <w:dstrike w:val="false"/>
                <w:outline w:val="false"/>
                <w:shadow w:val="false"/>
                <w:sz w:val="18"/>
                <w:szCs w:val="20"/>
                <w:u w:val="none"/>
                <w:em w:val="none"/>
              </w:rPr>
            </w:pPr>
            <w:r>
              <w:rPr>
                <w:rFonts w:ascii="Verdana" w:hAnsi="Verdana"/>
                <w:b w:val="false"/>
                <w:i w:val="false"/>
                <w:strike w:val="false"/>
                <w:dstrike w:val="false"/>
                <w:outline w:val="false"/>
                <w:shadow w:val="false"/>
                <w:sz w:val="18"/>
                <w:szCs w:val="20"/>
                <w:u w:val="none"/>
                <w:em w:val="none"/>
              </w:rPr>
              <w:t>ИМ</w:t>
            </w:r>
            <w:r>
              <w:rPr>
                <w:rFonts w:ascii="Verdana" w:hAnsi="Verdana"/>
                <w:b w:val="false"/>
                <w:i w:val="false"/>
                <w:strike w:val="false"/>
                <w:dstrike w:val="false"/>
                <w:outline w:val="false"/>
                <w:shadow w:val="false"/>
                <w:sz w:val="18"/>
                <w:szCs w:val="20"/>
                <w:u w:val="none"/>
                <w:em w:val="none"/>
              </w:rPr>
              <w:t>0018</w:t>
            </w:r>
          </w:p>
        </w:tc>
        <w:tc>
          <w:tcPr>
            <w:tcW w:w="279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lineRule="atLeast" w:line="100" w:before="0" w:after="60"/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Обичне диференцијалне једначине</w:t>
            </w:r>
          </w:p>
          <w:p>
            <w:pPr>
              <w:pStyle w:val="Normal"/>
              <w:tabs>
                <w:tab w:val="left" w:pos="567" w:leader="none"/>
              </w:tabs>
              <w:spacing w:lineRule="atLeast" w:line="100"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lineRule="atLeast" w:line="100"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Предавања </w:t>
            </w:r>
          </w:p>
        </w:tc>
        <w:tc>
          <w:tcPr>
            <w:tcW w:w="17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lineRule="atLeast" w:line="100"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М5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iCs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  <w:cantSplit w:val="false"/>
        </w:trPr>
        <w:tc>
          <w:tcPr>
            <w:tcW w:w="1020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  <w:cantSplit w:val="false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left" w:pos="567" w:leader="none"/>
              </w:tabs>
              <w:spacing w:before="0" w:after="60"/>
              <w:ind w:left="0" w:right="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1.</w:t>
            </w:r>
          </w:p>
        </w:tc>
        <w:tc>
          <w:tcPr>
            <w:tcW w:w="963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i w:val="false"/>
                <w:color w:val="000000"/>
                <w:sz w:val="20"/>
                <w:szCs w:val="20"/>
                <w:u w:val="none"/>
                <w:lang w:val="sr-C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u w:val="none"/>
                <w:lang w:val="sr-CS"/>
              </w:rPr>
              <w:t>Ј. Aleksić</w:t>
            </w:r>
            <w:r>
              <w:rPr>
                <w:rFonts w:ascii="Times New Roman" w:hAnsi="Times New Roman"/>
                <w:color w:val="000000"/>
                <w:sz w:val="20"/>
                <w:szCs w:val="20"/>
                <w:u w:val="none"/>
              </w:rPr>
              <w:t>; S. Pilipović; I. Vojnović Defect distributions related to weakly convergent sequences in Bessel-type spaces</w:t>
            </w:r>
            <w:r>
              <w:rPr>
                <w:rFonts w:ascii="Times New Roman" w:hAnsi="Times New Roman"/>
                <w:i w:val="false"/>
                <w:color w:val="000000"/>
                <w:sz w:val="20"/>
                <w:szCs w:val="20"/>
                <w:u w:val="none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  <w:u w:val="none"/>
              </w:rPr>
              <w:t>Mediterr. J. Math.</w:t>
            </w:r>
            <w:r>
              <w:rPr>
                <w:rFonts w:ascii="Times New Roman" w:hAnsi="Times New Roman"/>
                <w:i w:val="false"/>
                <w:color w:val="000000"/>
                <w:sz w:val="20"/>
                <w:szCs w:val="20"/>
                <w:u w:val="none"/>
              </w:rPr>
              <w:t xml:space="preserve"> 15 (2018), no. 3, Art. 142, 17 pp. https://doi.org/10.1007/s00009-018-1185-x, ISSN 1660-5446; IF2018 1.181, </w:t>
            </w:r>
            <w:r>
              <w:rPr>
                <w:rFonts w:ascii="Times New Roman" w:hAnsi="Times New Roman"/>
                <w:i w:val="false"/>
                <w:color w:val="000000"/>
                <w:sz w:val="20"/>
                <w:szCs w:val="20"/>
                <w:u w:val="none"/>
                <w:lang w:val="sr-CS"/>
              </w:rPr>
              <w:t>(</w:t>
            </w:r>
            <w:r>
              <w:rPr>
                <w:rFonts w:ascii="Times New Roman" w:hAnsi="Times New Roman"/>
                <w:i w:val="false"/>
                <w:color w:val="000000"/>
                <w:sz w:val="20"/>
                <w:szCs w:val="20"/>
                <w:u w:val="none"/>
                <w:lang w:val="sr-CS"/>
              </w:rPr>
              <w:t>M2</w:t>
            </w:r>
            <w:r>
              <w:rPr>
                <w:rFonts w:ascii="Times New Roman" w:hAnsi="Times New Roman"/>
                <w:i w:val="false"/>
                <w:color w:val="000000"/>
                <w:sz w:val="20"/>
                <w:szCs w:val="20"/>
                <w:u w:val="none"/>
                <w:lang w:val="sr-CS"/>
              </w:rPr>
              <w:t>1)</w:t>
            </w:r>
          </w:p>
        </w:tc>
      </w:tr>
      <w:tr>
        <w:trPr>
          <w:trHeight w:val="427" w:hRule="atLeast"/>
          <w:cantSplit w:val="false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left" w:pos="567" w:leader="none"/>
              </w:tabs>
              <w:spacing w:before="0" w:after="60"/>
              <w:ind w:left="0" w:right="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2.</w:t>
            </w:r>
          </w:p>
        </w:tc>
        <w:tc>
          <w:tcPr>
            <w:tcW w:w="963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i w:val="false"/>
                <w:color w:val="000000"/>
                <w:sz w:val="20"/>
                <w:szCs w:val="20"/>
                <w:u w:val="none"/>
                <w:lang w:val="sr-C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u w:val="none"/>
                <w:lang w:val="sr-CS"/>
              </w:rPr>
              <w:t xml:space="preserve">Ј. Aleksić; S. Pilipović; I. Vojnović H-distributions via Sobolev spaces.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  <w:u w:val="none"/>
                <w:lang w:val="sr-CS"/>
              </w:rPr>
              <w:t>Mediterr. J. Math.</w:t>
            </w:r>
            <w:r>
              <w:rPr>
                <w:rFonts w:ascii="Times New Roman" w:hAnsi="Times New Roman"/>
                <w:i w:val="false"/>
                <w:color w:val="000000"/>
                <w:sz w:val="20"/>
                <w:szCs w:val="20"/>
                <w:u w:val="none"/>
                <w:lang w:val="sr-CS"/>
              </w:rPr>
              <w:t xml:space="preserve"> 13 (2016), no. 5, 3499–3512. https://doi.org/10.1007/s00009-016-0699-3, ISSN 1660-5446; IF2018 1.181, </w:t>
            </w:r>
            <w:r>
              <w:rPr>
                <w:rFonts w:ascii="Times New Roman" w:hAnsi="Times New Roman"/>
                <w:i w:val="false"/>
                <w:color w:val="000000"/>
                <w:sz w:val="20"/>
                <w:szCs w:val="20"/>
                <w:u w:val="none"/>
                <w:lang w:val="sr-CS"/>
              </w:rPr>
              <w:t>(</w:t>
            </w:r>
            <w:r>
              <w:rPr>
                <w:rFonts w:ascii="Times New Roman" w:hAnsi="Times New Roman"/>
                <w:i w:val="false"/>
                <w:color w:val="000000"/>
                <w:sz w:val="20"/>
                <w:szCs w:val="20"/>
                <w:u w:val="none"/>
                <w:lang w:val="sr-CS"/>
              </w:rPr>
              <w:t>M2</w:t>
            </w:r>
            <w:r>
              <w:rPr>
                <w:rFonts w:ascii="Times New Roman" w:hAnsi="Times New Roman"/>
                <w:i w:val="false"/>
                <w:color w:val="000000"/>
                <w:sz w:val="20"/>
                <w:szCs w:val="20"/>
                <w:u w:val="none"/>
                <w:lang w:val="sr-CS"/>
              </w:rPr>
              <w:t>1)</w:t>
            </w:r>
          </w:p>
        </w:tc>
      </w:tr>
      <w:tr>
        <w:trPr>
          <w:trHeight w:val="427" w:hRule="atLeast"/>
          <w:cantSplit w:val="false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left" w:pos="567" w:leader="none"/>
              </w:tabs>
              <w:spacing w:before="0" w:after="60"/>
              <w:ind w:left="0" w:right="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3.</w:t>
            </w:r>
          </w:p>
        </w:tc>
        <w:tc>
          <w:tcPr>
            <w:tcW w:w="963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i w:val="false"/>
                <w:color w:val="000000"/>
                <w:sz w:val="20"/>
                <w:szCs w:val="20"/>
                <w:u w:val="none"/>
                <w:lang w:val="sr-C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u w:val="none"/>
                <w:lang w:val="sr-CS"/>
              </w:rPr>
              <w:t xml:space="preserve">Ј. Aleksić; S. Pilipović Two scale defect measure and linear equations with oscillating coefficients,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Filomat 33:9 (2019), 2867–2873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https:// doi.org/ 10.2298/ FIL1909867A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u w:val="none"/>
                <w:lang w:val="sr-CS"/>
              </w:rPr>
              <w:t xml:space="preserve">ISSN 0354-5180; IF2018 0.789, </w:t>
            </w:r>
            <w:r>
              <w:rPr>
                <w:rFonts w:ascii="Times New Roman" w:hAnsi="Times New Roman"/>
                <w:i w:val="false"/>
                <w:color w:val="000000"/>
                <w:sz w:val="20"/>
                <w:szCs w:val="20"/>
                <w:u w:val="none"/>
                <w:lang w:val="sr-CS"/>
              </w:rPr>
              <w:t>(</w:t>
            </w:r>
            <w:r>
              <w:rPr>
                <w:rFonts w:ascii="Times New Roman" w:hAnsi="Times New Roman"/>
                <w:i w:val="false"/>
                <w:color w:val="000000"/>
                <w:sz w:val="20"/>
                <w:szCs w:val="20"/>
                <w:u w:val="none"/>
                <w:lang w:val="sr-CS"/>
              </w:rPr>
              <w:t>M22</w:t>
            </w:r>
            <w:r>
              <w:rPr>
                <w:rFonts w:ascii="Times New Roman" w:hAnsi="Times New Roman"/>
                <w:i w:val="false"/>
                <w:color w:val="000000"/>
                <w:sz w:val="20"/>
                <w:szCs w:val="20"/>
                <w:u w:val="none"/>
                <w:lang w:val="sr-CS"/>
              </w:rPr>
              <w:t>)</w:t>
            </w:r>
          </w:p>
        </w:tc>
      </w:tr>
      <w:tr>
        <w:trPr>
          <w:trHeight w:val="427" w:hRule="atLeast"/>
          <w:cantSplit w:val="false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left" w:pos="567" w:leader="none"/>
              </w:tabs>
              <w:spacing w:before="0" w:after="60"/>
              <w:ind w:left="0" w:right="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4.</w:t>
            </w:r>
          </w:p>
        </w:tc>
        <w:tc>
          <w:tcPr>
            <w:tcW w:w="963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i w:val="false"/>
                <w:color w:val="000000"/>
                <w:sz w:val="20"/>
                <w:szCs w:val="20"/>
                <w:u w:val="none"/>
                <w:lang w:val="sr-C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u w:val="none"/>
                <w:lang w:val="sr-CS"/>
              </w:rPr>
              <w:t xml:space="preserve">Ј. Aleksić; S. Pilipović; I. Vojnović H-distributions with unbounded multipliers.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  <w:u w:val="none"/>
                <w:lang w:val="sr-CS"/>
              </w:rPr>
              <w:t xml:space="preserve">J. Pseudo-Differ. Oper. Appl. 9 </w:t>
            </w:r>
            <w:r>
              <w:rPr>
                <w:rFonts w:ascii="Times New Roman" w:hAnsi="Times New Roman"/>
                <w:i w:val="false"/>
                <w:color w:val="000000"/>
                <w:sz w:val="20"/>
                <w:szCs w:val="20"/>
                <w:u w:val="none"/>
                <w:lang w:val="sr-CS"/>
              </w:rPr>
              <w:t xml:space="preserve">(2018), no. 3, 615–641. https://doi.org/10.1007/s11868-017-0200-5, ISSN 1662-998; IF2017 0.649, </w:t>
            </w:r>
            <w:bookmarkStart w:id="0" w:name="__DdeLink__793_1239926968"/>
            <w:r>
              <w:rPr>
                <w:rFonts w:ascii="Times New Roman" w:hAnsi="Times New Roman"/>
                <w:i w:val="false"/>
                <w:color w:val="000000"/>
                <w:sz w:val="20"/>
                <w:szCs w:val="20"/>
                <w:u w:val="none"/>
                <w:lang w:val="sr-CS"/>
              </w:rPr>
              <w:t>(</w:t>
            </w:r>
            <w:r>
              <w:rPr>
                <w:rFonts w:ascii="Times New Roman" w:hAnsi="Times New Roman"/>
                <w:i w:val="false"/>
                <w:color w:val="000000"/>
                <w:sz w:val="20"/>
                <w:szCs w:val="20"/>
                <w:u w:val="none"/>
                <w:lang w:val="sr-CS"/>
              </w:rPr>
              <w:t>M22</w:t>
            </w:r>
            <w:bookmarkEnd w:id="0"/>
            <w:r>
              <w:rPr>
                <w:rFonts w:ascii="Times New Roman" w:hAnsi="Times New Roman"/>
                <w:i w:val="false"/>
                <w:color w:val="000000"/>
                <w:sz w:val="20"/>
                <w:szCs w:val="20"/>
                <w:u w:val="none"/>
                <w:lang w:val="sr-CS"/>
              </w:rPr>
              <w:t>)</w:t>
            </w:r>
          </w:p>
        </w:tc>
      </w:tr>
      <w:tr>
        <w:trPr>
          <w:trHeight w:val="427" w:hRule="atLeast"/>
          <w:cantSplit w:val="false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left" w:pos="567" w:leader="none"/>
              </w:tabs>
              <w:spacing w:before="0" w:after="60"/>
              <w:ind w:left="0" w:right="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5.</w:t>
            </w:r>
          </w:p>
        </w:tc>
        <w:tc>
          <w:tcPr>
            <w:tcW w:w="963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u w:val="none"/>
                <w:lang w:val="sr-CS"/>
              </w:rPr>
              <w:t xml:space="preserve">Ј. Aleksić;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u w:val="none"/>
                <w:lang w:val="sr-CS"/>
              </w:rPr>
              <w:t xml:space="preserve">V.Kostic; M.Zigic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Spectrum localizations for matrix operators on </w:t>
            </w:r>
            <w:bookmarkStart w:id="1" w:name="MathJax-Element-4-Frame"/>
            <w:bookmarkStart w:id="2" w:name="MathJax-Span-22"/>
            <w:bookmarkStart w:id="3" w:name="MathJax-Span-23"/>
            <w:bookmarkStart w:id="4" w:name="MathJax-Span-24"/>
            <w:bookmarkStart w:id="5" w:name="MathJax-Span-25"/>
            <w:bookmarkEnd w:id="1"/>
            <w:bookmarkEnd w:id="2"/>
            <w:bookmarkEnd w:id="3"/>
            <w:bookmarkEnd w:id="4"/>
            <w:bookmarkEnd w:id="5"/>
            <w:r>
              <w:rPr>
                <w:rFonts w:ascii="Times New Roman" w:hAnsi="Times New Roman"/>
                <w:i/>
                <w:sz w:val="20"/>
                <w:szCs w:val="20"/>
                <w:lang w:val="sr-CS"/>
              </w:rPr>
              <w:t>l</w:t>
            </w:r>
            <w:bookmarkStart w:id="6" w:name="MathJax-Span-26"/>
            <w:bookmarkEnd w:id="6"/>
            <w:r>
              <w:rPr>
                <w:rFonts w:ascii="Times New Roman" w:hAnsi="Times New Roman"/>
                <w:i/>
                <w:sz w:val="20"/>
                <w:szCs w:val="20"/>
                <w:lang w:val="sr-CS"/>
              </w:rPr>
              <w:t>p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spaces. </w:t>
            </w:r>
            <w:r>
              <w:rPr>
                <w:rStyle w:val="Emphasis"/>
                <w:rFonts w:ascii="Times New Roman" w:hAnsi="Times New Roman"/>
                <w:sz w:val="20"/>
                <w:szCs w:val="20"/>
                <w:lang w:val="sr-CS"/>
              </w:rPr>
              <w:t>Appl. Math. Comput.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249 (2014), 541–553.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https://doi.org/10.1016/j.amc.2014.10.07 </w:t>
            </w:r>
            <w:r>
              <w:rPr>
                <w:rFonts w:ascii="Times New Roman" w:hAnsi="Times New Roman"/>
                <w:sz w:val="20"/>
                <w:szCs w:val="20"/>
              </w:rPr>
              <w:t>(M21)</w:t>
            </w:r>
          </w:p>
        </w:tc>
      </w:tr>
      <w:tr>
        <w:trPr>
          <w:trHeight w:val="317" w:hRule="atLeast"/>
          <w:cantSplit w:val="false"/>
        </w:trPr>
        <w:tc>
          <w:tcPr>
            <w:tcW w:w="1020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trHeight w:val="264" w:hRule="atLeast"/>
          <w:cantSplit w:val="false"/>
        </w:trPr>
        <w:tc>
          <w:tcPr>
            <w:tcW w:w="435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цитата</w:t>
            </w:r>
          </w:p>
        </w:tc>
        <w:tc>
          <w:tcPr>
            <w:tcW w:w="585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59(49)</w:t>
            </w:r>
          </w:p>
        </w:tc>
      </w:tr>
      <w:tr>
        <w:trPr>
          <w:trHeight w:val="255" w:hRule="atLeast"/>
          <w:cantSplit w:val="false"/>
        </w:trPr>
        <w:tc>
          <w:tcPr>
            <w:tcW w:w="435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радова са SCI (SSCI) листе</w:t>
            </w:r>
          </w:p>
        </w:tc>
        <w:tc>
          <w:tcPr>
            <w:tcW w:w="585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13</w:t>
            </w:r>
          </w:p>
        </w:tc>
      </w:tr>
      <w:tr>
        <w:trPr>
          <w:trHeight w:val="278" w:hRule="atLeast"/>
          <w:cantSplit w:val="false"/>
        </w:trPr>
        <w:tc>
          <w:tcPr>
            <w:tcW w:w="435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Тренутно учешће на пројектима</w:t>
            </w:r>
          </w:p>
        </w:tc>
        <w:tc>
          <w:tcPr>
            <w:tcW w:w="180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Домаћи </w:t>
            </w:r>
          </w:p>
        </w:tc>
        <w:tc>
          <w:tcPr>
            <w:tcW w:w="405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Међународни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EUGLOH 2.0 WP5</w:t>
            </w:r>
          </w:p>
        </w:tc>
      </w:tr>
      <w:tr>
        <w:trPr>
          <w:trHeight w:val="363" w:hRule="atLeast"/>
          <w:cantSplit w:val="false"/>
        </w:trPr>
        <w:tc>
          <w:tcPr>
            <w:tcW w:w="23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lineRule="atLeast" w:line="100" w:before="0" w:after="60"/>
              <w:rPr>
                <w:rFonts w:ascii="Times New Roman" w:hAnsi="Times New Roman"/>
                <w:sz w:val="22"/>
                <w:szCs w:val="22"/>
                <w:lang w:val="de-DE"/>
              </w:rPr>
            </w:pPr>
            <w:r>
              <w:rPr>
                <w:rFonts w:ascii="Times New Roman" w:hAnsi="Times New Roman"/>
                <w:sz w:val="22"/>
                <w:szCs w:val="22"/>
                <w:lang w:val="de-DE"/>
              </w:rPr>
              <w:t>Institut für Technische Mathematik, Geometrie und Bauinformatik, Innsbruck, Austria, 200</w:t>
            </w:r>
            <w:r>
              <w:rPr>
                <w:rFonts w:ascii="Times New Roman" w:hAnsi="Times New Roman"/>
                <w:sz w:val="22"/>
                <w:szCs w:val="22"/>
                <w:lang w:val="sr-CS"/>
              </w:rPr>
              <w:t>4</w:t>
            </w:r>
            <w:r>
              <w:rPr>
                <w:rFonts w:ascii="Times New Roman" w:hAnsi="Times New Roman"/>
                <w:sz w:val="22"/>
                <w:szCs w:val="22"/>
                <w:lang w:val="de-DE"/>
              </w:rPr>
              <w:t xml:space="preserve"> </w:t>
            </w:r>
          </w:p>
        </w:tc>
      </w:tr>
      <w:tr>
        <w:trPr>
          <w:trHeight w:val="269" w:hRule="atLeast"/>
          <w:cantSplit w:val="false"/>
        </w:trPr>
        <w:tc>
          <w:tcPr>
            <w:tcW w:w="1020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bCs/>
                <w:position w:val="0"/>
                <w:sz w:val="24"/>
                <w:sz w:val="24"/>
                <w:szCs w:val="20"/>
                <w:vertAlign w:val="baseline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Други подаци које сматрате релевантним </w:t>
            </w:r>
            <w:r>
              <w:rPr>
                <w:rFonts w:ascii="Times New Roman" w:hAnsi="Times New Roman"/>
                <w:position w:val="0"/>
                <w:sz w:val="22"/>
                <w:sz w:val="22"/>
                <w:szCs w:val="22"/>
                <w:vertAlign w:val="baseline"/>
                <w:lang w:val="sr-CS"/>
              </w:rPr>
              <w:t xml:space="preserve">Члан центра изврсности </w:t>
            </w:r>
            <w:r>
              <w:rPr>
                <w:rFonts w:ascii="Times New Roman" w:hAnsi="Times New Roman"/>
                <w:bCs/>
                <w:i/>
                <w:position w:val="0"/>
                <w:sz w:val="22"/>
                <w:sz w:val="22"/>
                <w:szCs w:val="22"/>
                <w:vertAlign w:val="baseline"/>
                <w:lang w:val="sr-CS"/>
              </w:rPr>
              <w:t xml:space="preserve">Centre for Mathematical Research of Nonlinear Phenomena (CMRNP) </w:t>
            </w:r>
            <w:r>
              <w:rPr>
                <w:rFonts w:ascii="Times New Roman" w:hAnsi="Times New Roman"/>
                <w:position w:val="0"/>
                <w:sz w:val="22"/>
                <w:sz w:val="22"/>
                <w:szCs w:val="22"/>
                <w:vertAlign w:val="baseline"/>
                <w:lang w:val="sr-CS"/>
              </w:rPr>
              <w:t xml:space="preserve"> у Новом Саду. Регионални координатор удружења </w:t>
            </w:r>
            <w:r>
              <w:rPr>
                <w:rFonts w:ascii="Times New Roman" w:hAnsi="Times New Roman"/>
                <w:position w:val="0"/>
                <w:sz w:val="22"/>
                <w:sz w:val="22"/>
                <w:szCs w:val="22"/>
                <w:vertAlign w:val="baseline"/>
                <w:lang w:val="sr-Latn-RS"/>
              </w:rPr>
              <w:t>“</w:t>
            </w:r>
            <w:r>
              <w:rPr>
                <w:rFonts w:ascii="Times New Roman" w:hAnsi="Times New Roman"/>
                <w:position w:val="0"/>
                <w:sz w:val="22"/>
                <w:sz w:val="22"/>
                <w:szCs w:val="22"/>
                <w:vertAlign w:val="baseline"/>
                <w:lang w:val="sr-CS"/>
              </w:rPr>
              <w:t xml:space="preserve">Europian </w:t>
            </w:r>
            <w:r>
              <w:rPr>
                <w:rFonts w:ascii="Times New Roman" w:hAnsi="Times New Roman"/>
                <w:position w:val="0"/>
                <w:sz w:val="22"/>
                <w:sz w:val="22"/>
                <w:szCs w:val="22"/>
                <w:vertAlign w:val="baseline"/>
                <w:lang w:val="sr-Latn-RS"/>
              </w:rPr>
              <w:t>Women in Mathematics“.</w:t>
            </w:r>
            <w:r>
              <w:rPr>
                <w:rFonts w:ascii="Times New Roman" w:hAnsi="Times New Roman"/>
                <w:position w:val="0"/>
                <w:sz w:val="22"/>
                <w:sz w:val="22"/>
                <w:szCs w:val="22"/>
                <w:vertAlign w:val="baseline"/>
                <w:lang w:val="sr-Cyrl-RS"/>
              </w:rPr>
              <w:t xml:space="preserve"> </w:t>
            </w:r>
            <w:r>
              <w:rPr>
                <w:rFonts w:ascii="Times New Roman" w:hAnsi="Times New Roman"/>
                <w:position w:val="0"/>
                <w:sz w:val="22"/>
                <w:sz w:val="22"/>
                <w:szCs w:val="22"/>
                <w:vertAlign w:val="baseline"/>
                <w:lang w:val="sr-Latn-RS"/>
              </w:rPr>
              <w:t xml:space="preserve">Reviewer za Mathematical Reviews </w:t>
            </w:r>
            <w:r>
              <w:rPr>
                <w:rFonts w:ascii="Times New Roman" w:hAnsi="Times New Roman"/>
                <w:position w:val="0"/>
                <w:sz w:val="24"/>
                <w:sz w:val="24"/>
                <w:szCs w:val="20"/>
                <w:vertAlign w:val="baseline"/>
                <w:lang w:val="sr-CS"/>
              </w:rPr>
              <w:t xml:space="preserve">MR Author ID: </w:t>
            </w:r>
            <w:r>
              <w:rPr>
                <w:rFonts w:ascii="Times New Roman" w:hAnsi="Times New Roman"/>
                <w:bCs/>
                <w:position w:val="0"/>
                <w:sz w:val="24"/>
                <w:sz w:val="24"/>
                <w:szCs w:val="20"/>
                <w:vertAlign w:val="baseline"/>
                <w:lang w:val="sr-CS"/>
              </w:rPr>
              <w:t>866427.</w:t>
            </w:r>
          </w:p>
        </w:tc>
      </w:tr>
      <w:tr>
        <w:trPr>
          <w:trHeight w:val="427" w:hRule="atLeast"/>
          <w:cantSplit w:val="false"/>
        </w:trPr>
        <w:tc>
          <w:tcPr>
            <w:tcW w:w="1020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S"/>
              </w:rPr>
              <w:t>Ова табела не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S"/>
              </w:rPr>
              <w:t>сме прећи једну А4 страну.</w:t>
            </w:r>
          </w:p>
        </w:tc>
      </w:tr>
    </w:tbl>
    <w:p>
      <w:pPr>
        <w:pStyle w:val="Normal"/>
        <w:tabs>
          <w:tab w:val="left" w:pos="567" w:leader="none"/>
        </w:tabs>
        <w:spacing w:before="0" w:after="60"/>
        <w:jc w:val="both"/>
        <w:rPr/>
      </w:pPr>
      <w:r>
        <w:rPr/>
      </w:r>
    </w:p>
    <w:sectPr>
      <w:type w:val="nextPage"/>
      <w:pgSz w:w="11906" w:h="16838"/>
      <w:pgMar w:left="851" w:right="1276" w:header="0" w:top="426" w:footer="0" w:bottom="709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Verdana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71653d"/>
    <w:pPr>
      <w:widowControl/>
      <w:suppressAutoHyphens w:val="true"/>
      <w:bidi w:val="0"/>
      <w:jc w:val="left"/>
    </w:pPr>
    <w:rPr>
      <w:rFonts w:ascii="Calibri" w:hAnsi="Calibri" w:eastAsia="Calibri" w:cs="Times New Roman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InternetLink">
    <w:name w:val="Internet Link"/>
    <w:uiPriority w:val="99"/>
    <w:unhideWhenUsed/>
    <w:rsid w:val="005a4c35"/>
    <w:rPr>
      <w:color w:val="0000FF"/>
      <w:u w:val="single"/>
      <w:lang w:val="zxx" w:eastAsia="zxx" w:bidi="zxx"/>
    </w:rPr>
  </w:style>
  <w:style w:type="character" w:styleId="HeaderChar" w:customStyle="1">
    <w:name w:val="Header Char"/>
    <w:uiPriority w:val="99"/>
    <w:link w:val="Header"/>
    <w:rsid w:val="005a4c35"/>
    <w:rPr>
      <w:sz w:val="22"/>
      <w:szCs w:val="22"/>
    </w:rPr>
  </w:style>
  <w:style w:type="character" w:styleId="FooterChar" w:customStyle="1">
    <w:name w:val="Footer Char"/>
    <w:uiPriority w:val="99"/>
    <w:link w:val="Footer"/>
    <w:rsid w:val="005a4c35"/>
    <w:rPr>
      <w:sz w:val="22"/>
      <w:szCs w:val="22"/>
    </w:rPr>
  </w:style>
  <w:style w:type="character" w:styleId="BalloonTextChar" w:customStyle="1">
    <w:name w:val="Balloon Text Char"/>
    <w:uiPriority w:val="99"/>
    <w:semiHidden/>
    <w:link w:val="BalloonText"/>
    <w:rsid w:val="00876d2e"/>
    <w:rPr>
      <w:rFonts w:ascii="Tahoma" w:hAnsi="Tahoma" w:cs="Tahoma"/>
      <w:sz w:val="16"/>
      <w:szCs w:val="16"/>
    </w:rPr>
  </w:style>
  <w:style w:type="character" w:styleId="ListLabel1">
    <w:name w:val="ListLabel 1"/>
    <w:rPr>
      <w:rFonts w:cs="Times New Roman"/>
    </w:rPr>
  </w:style>
  <w:style w:type="character" w:styleId="ListLabel2">
    <w:name w:val="ListLabel 2"/>
    <w:rPr>
      <w:color w:val="00000A"/>
    </w:rPr>
  </w:style>
  <w:style w:type="character" w:styleId="ListLabel3">
    <w:name w:val="ListLabel 3"/>
    <w:rPr>
      <w:rFonts w:cs="Courier New"/>
    </w:rPr>
  </w:style>
  <w:style w:type="character" w:styleId="ListLabel4">
    <w:name w:val="ListLabel 4"/>
    <w:rPr>
      <w:sz w:val="22"/>
      <w:szCs w:val="24"/>
    </w:rPr>
  </w:style>
  <w:style w:type="character" w:styleId="Emphasis">
    <w:name w:val="Emphasis"/>
    <w:rPr>
      <w:i/>
      <w:iCs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/>
  </w:style>
  <w:style w:type="paragraph" w:styleId="Header">
    <w:name w:val="Header"/>
    <w:uiPriority w:val="99"/>
    <w:unhideWhenUsed/>
    <w:link w:val="HeaderChar"/>
    <w:rsid w:val="005a4c35"/>
    <w:basedOn w:val="Normal"/>
    <w:pPr>
      <w:tabs>
        <w:tab w:val="center" w:pos="4680" w:leader="none"/>
        <w:tab w:val="right" w:pos="9360" w:leader="none"/>
      </w:tabs>
    </w:pPr>
    <w:rPr/>
  </w:style>
  <w:style w:type="paragraph" w:styleId="Footer">
    <w:name w:val="Footer"/>
    <w:uiPriority w:val="99"/>
    <w:unhideWhenUsed/>
    <w:link w:val="FooterChar"/>
    <w:rsid w:val="005a4c35"/>
    <w:basedOn w:val="Normal"/>
    <w:pPr>
      <w:tabs>
        <w:tab w:val="center" w:pos="4680" w:leader="none"/>
        <w:tab w:val="right" w:pos="9360" w:leader="none"/>
      </w:tabs>
    </w:pPr>
    <w:rPr/>
  </w:style>
  <w:style w:type="paragraph" w:styleId="BalloonText">
    <w:name w:val="Balloon Text"/>
    <w:uiPriority w:val="99"/>
    <w:semiHidden/>
    <w:unhideWhenUsed/>
    <w:link w:val="BalloonTextChar"/>
    <w:rsid w:val="00876d2e"/>
    <w:basedOn w:val="Normal"/>
    <w:pPr/>
    <w:rPr>
      <w:rFonts w:ascii="Tahoma" w:hAnsi="Tahoma" w:cs="Tahoma"/>
      <w:sz w:val="16"/>
      <w:szCs w:val="16"/>
    </w:rPr>
  </w:style>
  <w:style w:type="paragraph" w:styleId="TableContents">
    <w:name w:val="Table Contents"/>
    <w:basedOn w:val="Normal"/>
    <w:pPr/>
    <w:rPr/>
  </w:style>
  <w:style w:type="paragraph" w:styleId="TableHeading">
    <w:name w:val="Table Heading"/>
    <w:basedOn w:val="TableContents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LibreOffice/4.2.5.2$MacOSX_x86 LibreOffice_project/61cb170a04bb1f12e77c884eab9192be736ec5f5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2023-03-08T16:36:00Z</dcterms:created>
  <dc:creator>mane</dc:creator>
  <dc:language>en-US</dc:language>
  <cp:lastModifiedBy>SanjaR</cp:lastModifiedBy>
  <dcterms:modified xsi:type="dcterms:W3CDTF">2023-03-24T07:59:00Z</dcterms:modified>
  <cp:revision>8</cp:revision>
  <dc:title>ТАБЕЛЕ У ДОКУМЕНТАЦИЈИ ЗА АКРЕДИТАЦИЈУ СТУДИЈСКОГ ПРОГРАМА</dc:title>
</cp:coreProperties>
</file>