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134"/>
        <w:gridCol w:w="662"/>
        <w:gridCol w:w="126"/>
        <w:gridCol w:w="1051"/>
        <w:gridCol w:w="429"/>
        <w:gridCol w:w="664"/>
        <w:gridCol w:w="1112"/>
        <w:gridCol w:w="209"/>
        <w:gridCol w:w="1691"/>
        <w:gridCol w:w="152"/>
        <w:gridCol w:w="2409"/>
        <w:tblGridChange w:id="0">
          <w:tblGrid>
            <w:gridCol w:w="567"/>
            <w:gridCol w:w="1134"/>
            <w:gridCol w:w="662"/>
            <w:gridCol w:w="126"/>
            <w:gridCol w:w="1051"/>
            <w:gridCol w:w="429"/>
            <w:gridCol w:w="664"/>
            <w:gridCol w:w="1112"/>
            <w:gridCol w:w="209"/>
            <w:gridCol w:w="1691"/>
            <w:gridCol w:w="152"/>
            <w:gridCol w:w="2409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Лидија Фодор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 01.03.2014.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2023.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2013.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ИТ303, ЦС203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Моделирање информационих система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Практичне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технологије, 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ИТ305, ЦС615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 информационих система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Практичне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технологије, 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ИТ605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NoSql базе података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Практичне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ИТ401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 заснован на компонентама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Практичне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ЦС708, МДС29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Рачунарство високих перформанси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Практичне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науке, Примењена математика-наука о подацима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МДС27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Базе података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Практичне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Примењена математика-наука о подацима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МДС30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Напредно програмирање за математичаре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Практичне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Примењена математика-наука о подацима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Fodor, L., Jakovetić, D., Boberić Krstićev, D. et al. A parallel ADMM-based convex clustering method. EURASIP J. Adv. Signal Process. 2022, 108 (2022). https://doi.org/10.1186/s13634-022-00942-8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Fodor, L., Jakovetić, D., Krejić, N. et al. Performance evaluation and analysis of distributed multi-agent optimization algorithms with sparsified directed communication. EURASIP J. Adv. Signal Process. 2021, 25 (2021). https://doi.org/10.1186/s13634-021-00736-4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A. Alexopoulos et al. Big Data Analytics in the Banking Sector: Guidelines and Lessons Learned from the CaixaBank Case. In: Curry, E., Auer, S., Berre, A.J., Metzger, A., Perez, M.S., Zillner, S. (eds) Technologies and Applications for Big Data Value . Springer, Cham. (2022) https://doi.org/10.1007/978-3-030-78307-5_13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I. Arapakis et al, “Towards Specification of a Software Architecture for Cross-Sectoral Big Data Applications”, 2019 IEEE SERVICES Symposium on Services Computing, Milan, Italy, pp. 392-393, (2019) https://doi.org/10.1109/SERVICES. 2019.0012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Fodor, L., Jakovetić, D., Krejić, N., Malaspina, G. A Distributed Inexact Levenberg Marquartd Method for Nonlinear Least Squares. ECMI 2023 minisymposia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Lidija Fodor, Srđan Škrbić, Danijela Tešendić, Vladimir Kurbalija, Performing hierarchical clustering on distance matrices in OptiML, In Proceedings of the World Congress on Еngineering 2017 (WCE 2017), July 5-7, 2017, London, U.K.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Lidija Fodor, Srđan Škrbić, A performance analysis of the R language and an assessment of the capabilities for its improvement, In </w:t>
              <w:tab/>
              <w:t xml:space="preserve">Proceedings of the 5th International conference on Information Society and Technology, pp. 449-454, 2015, Kopaonik, Serbia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Vladimir Kurbalija, Charlotte von Bernstorff, Hans-Dieter Burkhard, Jens Nachtwei, Mirjana Ivanović, Time Series mining in a psychological </w:t>
              <w:tab/>
              <w:t xml:space="preserve">domain, In proceedings of the Fifth Balkan Conference in Informatics, pp. 58-63, 2012, Novi Sad, DOI=10.1145/2371316.2371328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 (Google Scholar)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3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Ова табела не сме прећи једну А4 страну.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F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2"/>
      <w:szCs w:val="22"/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z1K3UVgz/diQ88RmPZqPnN7y+Q==">CgMxLjA4AHIhMTFqb3hmYXEyQmRHZkhRRmxZdGdhN0VIaGJXOXVYdkkw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</cp:coreProperties>
</file>