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567" w:leader="none"/>
        </w:tabs>
        <w:spacing w:before="0" w:after="60"/>
        <w:jc w:val="both"/>
        <w:rPr>
          <w:rFonts w:ascii="Times New Roman" w:hAnsi="Times New Roman"/>
          <w:sz w:val="20"/>
          <w:szCs w:val="20"/>
        </w:rPr>
      </w:pPr>
      <w:r>
        <w:rPr>
          <w:rFonts w:ascii="Times New Roman" w:hAnsi="Times New Roman"/>
          <w:sz w:val="20"/>
          <w:szCs w:val="20"/>
        </w:rPr>
      </w:r>
    </w:p>
    <w:tbl>
      <w:tblPr>
        <w:tblW w:w="10206"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567"/>
        <w:gridCol w:w="850"/>
        <w:gridCol w:w="285"/>
        <w:gridCol w:w="565"/>
        <w:gridCol w:w="2110"/>
        <w:gridCol w:w="274"/>
        <w:gridCol w:w="453"/>
        <w:gridCol w:w="851"/>
        <w:gridCol w:w="213"/>
        <w:gridCol w:w="68"/>
        <w:gridCol w:w="1562"/>
        <w:gridCol w:w="848"/>
        <w:gridCol w:w="1559"/>
      </w:tblGrid>
      <w:tr>
        <w:trPr>
          <w:trHeight w:val="257" w:hRule="atLeast"/>
        </w:trPr>
        <w:tc>
          <w:tcPr>
            <w:tcW w:w="4651"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Име и презиме</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Душанка Перишић</w:t>
            </w:r>
          </w:p>
        </w:tc>
      </w:tr>
      <w:tr>
        <w:trPr>
          <w:trHeight w:val="247" w:hRule="atLeast"/>
        </w:trPr>
        <w:tc>
          <w:tcPr>
            <w:tcW w:w="4651"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Звање</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Редовни професор</w:t>
            </w:r>
          </w:p>
        </w:tc>
      </w:tr>
      <w:tr>
        <w:trPr>
          <w:trHeight w:val="427" w:hRule="atLeast"/>
        </w:trPr>
        <w:tc>
          <w:tcPr>
            <w:tcW w:w="4651"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Назив институције у  којој наставник ради са пуним  или непуним радним временом и од када</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eastAsia="Times New Roman" w:ascii="Times New Roman" w:hAnsi="Times New Roman"/>
                <w:sz w:val="20"/>
                <w:szCs w:val="20"/>
              </w:rPr>
              <w:t>Природно-математички факултет, Нови Сад</w:t>
            </w:r>
          </w:p>
        </w:tc>
      </w:tr>
      <w:tr>
        <w:trPr>
          <w:trHeight w:val="272" w:hRule="atLeast"/>
        </w:trPr>
        <w:tc>
          <w:tcPr>
            <w:tcW w:w="4651"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Ужа научна односно уметничка област</w:t>
            </w:r>
          </w:p>
        </w:tc>
        <w:tc>
          <w:tcPr>
            <w:tcW w:w="5554"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eastAsia="Times New Roman" w:ascii="Times New Roman" w:hAnsi="Times New Roman"/>
                <w:sz w:val="20"/>
                <w:szCs w:val="20"/>
              </w:rPr>
              <w:t>Математика</w:t>
            </w:r>
          </w:p>
        </w:tc>
      </w:tr>
      <w:tr>
        <w:trPr>
          <w:trHeight w:val="249" w:hRule="atLeast"/>
        </w:trPr>
        <w:tc>
          <w:tcPr>
            <w:tcW w:w="10205"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Академска каријера</w:t>
            </w:r>
          </w:p>
        </w:tc>
      </w:tr>
      <w:tr>
        <w:trPr>
          <w:trHeight w:val="427" w:hRule="atLeast"/>
        </w:trPr>
        <w:tc>
          <w:tcPr>
            <w:tcW w:w="14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Година</w:t>
            </w:r>
          </w:p>
        </w:tc>
        <w:tc>
          <w:tcPr>
            <w:tcW w:w="3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Институција</w:t>
            </w:r>
          </w:p>
        </w:tc>
        <w:tc>
          <w:tcPr>
            <w:tcW w:w="184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Научна или уметничка област</w:t>
            </w:r>
          </w:p>
        </w:tc>
        <w:tc>
          <w:tcPr>
            <w:tcW w:w="240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274" w:hRule="atLeast"/>
        </w:trPr>
        <w:tc>
          <w:tcPr>
            <w:tcW w:w="14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Избор у звање</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2003.</w:t>
            </w:r>
          </w:p>
        </w:tc>
        <w:tc>
          <w:tcPr>
            <w:tcW w:w="3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Математика</w:t>
            </w:r>
          </w:p>
        </w:tc>
        <w:tc>
          <w:tcPr>
            <w:tcW w:w="240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Математичка анализа, вероватноћа и статистика</w:t>
            </w:r>
          </w:p>
        </w:tc>
      </w:tr>
      <w:tr>
        <w:trPr>
          <w:trHeight w:val="265" w:hRule="atLeast"/>
        </w:trPr>
        <w:tc>
          <w:tcPr>
            <w:tcW w:w="14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Докторат</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1992.</w:t>
            </w:r>
          </w:p>
        </w:tc>
        <w:tc>
          <w:tcPr>
            <w:tcW w:w="3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Математика</w:t>
            </w:r>
          </w:p>
        </w:tc>
        <w:tc>
          <w:tcPr>
            <w:tcW w:w="240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Математичка анализа, вероватноћа и статистика</w:t>
            </w:r>
          </w:p>
        </w:tc>
      </w:tr>
      <w:tr>
        <w:trPr>
          <w:trHeight w:val="240" w:hRule="atLeast"/>
        </w:trPr>
        <w:tc>
          <w:tcPr>
            <w:tcW w:w="14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Магистратура</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1991.</w:t>
            </w:r>
          </w:p>
        </w:tc>
        <w:tc>
          <w:tcPr>
            <w:tcW w:w="3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Математика</w:t>
            </w:r>
          </w:p>
        </w:tc>
        <w:tc>
          <w:tcPr>
            <w:tcW w:w="240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Математичка анализа, вероватноћа и статистика</w:t>
            </w:r>
          </w:p>
        </w:tc>
      </w:tr>
      <w:tr>
        <w:trPr>
          <w:trHeight w:val="231" w:hRule="atLeast"/>
        </w:trPr>
        <w:tc>
          <w:tcPr>
            <w:tcW w:w="14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Диплома</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1986</w:t>
            </w:r>
          </w:p>
        </w:tc>
        <w:tc>
          <w:tcPr>
            <w:tcW w:w="3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Природно-математички факултет, Нови Сад</w:t>
            </w:r>
          </w:p>
        </w:tc>
        <w:tc>
          <w:tcPr>
            <w:tcW w:w="1843"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Математика</w:t>
            </w:r>
          </w:p>
        </w:tc>
        <w:tc>
          <w:tcPr>
            <w:tcW w:w="240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8"/>
                <w:szCs w:val="18"/>
              </w:rPr>
            </w:pPr>
            <w:r>
              <w:rPr>
                <w:rFonts w:eastAsia="Times New Roman" w:ascii="Times New Roman" w:hAnsi="Times New Roman"/>
                <w:sz w:val="18"/>
                <w:szCs w:val="18"/>
              </w:rPr>
              <w:t>Математичка анализа, вероватноћа и статистика</w:t>
            </w:r>
          </w:p>
        </w:tc>
      </w:tr>
      <w:tr>
        <w:trPr>
          <w:trHeight w:val="314" w:hRule="atLeast"/>
        </w:trPr>
        <w:tc>
          <w:tcPr>
            <w:tcW w:w="10205"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Списак предмета за које је наставник акредитован на првом или другом степену студија</w:t>
            </w:r>
          </w:p>
        </w:tc>
      </w:tr>
      <w:tr>
        <w:trPr>
          <w:trHeight w:val="702"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Р.Б.</w:t>
            </w:r>
          </w:p>
        </w:tc>
        <w:tc>
          <w:tcPr>
            <w:tcW w:w="11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340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Назив предмета</w:t>
            </w:r>
          </w:p>
        </w:tc>
        <w:tc>
          <w:tcPr>
            <w:tcW w:w="11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24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Назив студијског програма</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Врста студија (ОСС, ССС, ОАС, МСС, МАС, САС)</w:t>
            </w:r>
          </w:p>
        </w:tc>
      </w:tr>
      <w:tr>
        <w:trPr>
          <w:trHeight w:val="253"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lang w:val="en-US"/>
              </w:rPr>
            </w:pPr>
            <w:r>
              <w:rPr>
                <w:rFonts w:eastAsia="Times New Roman" w:ascii="Times New Roman" w:hAnsi="Times New Roman"/>
                <w:sz w:val="20"/>
                <w:szCs w:val="20"/>
              </w:rPr>
              <w:t>1.</w:t>
            </w:r>
          </w:p>
        </w:tc>
        <w:tc>
          <w:tcPr>
            <w:tcW w:w="11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b w:val="false"/>
                <w:i w:val="false"/>
                <w:caps w:val="false"/>
                <w:smallCaps w:val="false"/>
                <w:color w:val="16253D"/>
                <w:spacing w:val="0"/>
                <w:sz w:val="20"/>
                <w:szCs w:val="20"/>
              </w:rPr>
              <w:t>IT151</w:t>
            </w:r>
          </w:p>
        </w:tc>
        <w:tc>
          <w:tcPr>
            <w:tcW w:w="340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Анализа за информатичаре</w:t>
            </w:r>
          </w:p>
        </w:tc>
        <w:tc>
          <w:tcPr>
            <w:tcW w:w="11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Предавања</w:t>
            </w:r>
          </w:p>
        </w:tc>
        <w:tc>
          <w:tcPr>
            <w:tcW w:w="24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Информационе  технологије</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ОАС</w:t>
            </w:r>
          </w:p>
        </w:tc>
      </w:tr>
      <w:tr>
        <w:trPr>
          <w:trHeight w:val="271"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lang w:val="en-US"/>
              </w:rPr>
            </w:pPr>
            <w:r>
              <w:rPr>
                <w:rFonts w:eastAsia="Times New Roman" w:ascii="Times New Roman" w:hAnsi="Times New Roman"/>
                <w:sz w:val="20"/>
                <w:szCs w:val="20"/>
              </w:rPr>
              <w:t>2.</w:t>
            </w:r>
          </w:p>
        </w:tc>
        <w:tc>
          <w:tcPr>
            <w:tcW w:w="11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MР0031</w:t>
            </w:r>
          </w:p>
        </w:tc>
        <w:tc>
          <w:tcPr>
            <w:tcW w:w="340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Диференцијалне једначине</w:t>
            </w:r>
          </w:p>
        </w:tc>
        <w:tc>
          <w:tcPr>
            <w:tcW w:w="11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Предавања</w:t>
            </w:r>
            <w:r>
              <w:rPr>
                <w:rFonts w:eastAsia="Times New Roman" w:ascii="Times New Roman" w:hAnsi="Times New Roman"/>
                <w:sz w:val="20"/>
                <w:szCs w:val="20"/>
              </w:rPr>
              <w:t xml:space="preserve"> и вежбе</w:t>
            </w:r>
          </w:p>
        </w:tc>
        <w:tc>
          <w:tcPr>
            <w:tcW w:w="24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Информационе  технологије и Рачунарске науке</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МАС</w:t>
            </w:r>
          </w:p>
        </w:tc>
      </w:tr>
      <w:tr>
        <w:trPr>
          <w:trHeight w:val="274"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lang w:val="en-US"/>
              </w:rPr>
            </w:pPr>
            <w:r>
              <w:rPr>
                <w:rFonts w:eastAsia="Times New Roman" w:ascii="Times New Roman" w:hAnsi="Times New Roman"/>
                <w:sz w:val="20"/>
                <w:szCs w:val="20"/>
              </w:rPr>
              <w:t>3.</w:t>
            </w:r>
          </w:p>
        </w:tc>
        <w:tc>
          <w:tcPr>
            <w:tcW w:w="11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ИХ001</w:t>
            </w:r>
          </w:p>
        </w:tc>
        <w:tc>
          <w:tcPr>
            <w:tcW w:w="340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Општа математика</w:t>
            </w:r>
          </w:p>
        </w:tc>
        <w:tc>
          <w:tcPr>
            <w:tcW w:w="11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Предавања</w:t>
            </w:r>
          </w:p>
        </w:tc>
        <w:tc>
          <w:tcPr>
            <w:tcW w:w="24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Хемија</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ОАС</w:t>
            </w:r>
          </w:p>
        </w:tc>
      </w:tr>
      <w:tr>
        <w:trPr>
          <w:trHeight w:val="123"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lang w:val="en-US"/>
              </w:rPr>
            </w:pPr>
            <w:r>
              <w:rPr>
                <w:rFonts w:eastAsia="Times New Roman" w:ascii="Times New Roman" w:hAnsi="Times New Roman"/>
                <w:sz w:val="20"/>
                <w:szCs w:val="20"/>
              </w:rPr>
              <w:t>4.</w:t>
            </w:r>
          </w:p>
        </w:tc>
        <w:tc>
          <w:tcPr>
            <w:tcW w:w="1135"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П604</w:t>
            </w:r>
          </w:p>
        </w:tc>
        <w:tc>
          <w:tcPr>
            <w:tcW w:w="3402"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Пројекат из аналитике податка</w:t>
            </w:r>
          </w:p>
        </w:tc>
        <w:tc>
          <w:tcPr>
            <w:tcW w:w="11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Предавања</w:t>
            </w:r>
            <w:r>
              <w:rPr>
                <w:rFonts w:eastAsia="Times New Roman" w:ascii="Times New Roman" w:hAnsi="Times New Roman"/>
                <w:sz w:val="20"/>
                <w:szCs w:val="20"/>
              </w:rPr>
              <w:t xml:space="preserve"> и вежбе</w:t>
            </w:r>
          </w:p>
        </w:tc>
        <w:tc>
          <w:tcPr>
            <w:tcW w:w="24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Примењена матаматика</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rPr>
                <w:rFonts w:ascii="Times New Roman" w:hAnsi="Times New Roman"/>
                <w:sz w:val="20"/>
                <w:szCs w:val="20"/>
              </w:rPr>
            </w:pPr>
            <w:r>
              <w:rPr>
                <w:rFonts w:eastAsia="Times New Roman" w:ascii="Times New Roman" w:hAnsi="Times New Roman"/>
                <w:sz w:val="18"/>
                <w:szCs w:val="18"/>
              </w:rPr>
              <w:t>ОАС</w:t>
            </w:r>
          </w:p>
        </w:tc>
      </w:tr>
      <w:tr>
        <w:trPr>
          <w:trHeight w:val="427" w:hRule="atLeast"/>
        </w:trPr>
        <w:tc>
          <w:tcPr>
            <w:tcW w:w="10205"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Репрезентативне референце (минимално 5 не више од 10)</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rPr>
            </w:pPr>
            <w:r>
              <w:rPr>
                <w:rFonts w:eastAsia="Times New Roman" w:ascii="Times New Roman" w:hAnsi="Times New Roman"/>
                <w:sz w:val="20"/>
                <w:szCs w:val="20"/>
              </w:rPr>
              <w:t>1.</w:t>
            </w:r>
          </w:p>
        </w:tc>
        <w:tc>
          <w:tcPr>
            <w:tcW w:w="9638"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eastAsia="Times New Roman" w:ascii="Times New Roman" w:hAnsi="Times New Roman"/>
                <w:sz w:val="20"/>
                <w:szCs w:val="20"/>
                <w:lang w:val="en-US"/>
              </w:rPr>
              <w:t>Mihailović Dragutin, Budinčević Mirko, Perišić Dušanka, Balaž Igor, Maps Serving the Combined Coupling for use in Environmental Models and their Behavior in the Presence of Dynamical Noise, Chaos Solitons and Fractals , 45, 156-165, 2011 https://doi.org/10.1016/j.chaos.2011.11.005  (M21)</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rPr>
            </w:pPr>
            <w:r>
              <w:rPr>
                <w:rFonts w:eastAsia="Times New Roman" w:ascii="Times New Roman" w:hAnsi="Times New Roman"/>
                <w:sz w:val="20"/>
                <w:szCs w:val="20"/>
              </w:rPr>
              <w:t>2.</w:t>
            </w:r>
          </w:p>
        </w:tc>
        <w:tc>
          <w:tcPr>
            <w:tcW w:w="9638"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eastAsia="Times New Roman" w:ascii="Times New Roman" w:hAnsi="Times New Roman"/>
                <w:sz w:val="18"/>
                <w:szCs w:val="18"/>
                <w:lang w:val="en-US"/>
              </w:rPr>
              <w:t>Игор Балаж, Мирко Будинчевић, Драгутин Михаиловић, Душанка Перишић, Maps serving the combined coupling for use in environmental models and their behaviour in the presence of dynamical noise, Chaos Solitons &amp; Fractals, Pergamon, 45, 2, pp. 156 - 165, 0960-0779, /, 10.1016/j.chaos.2011.11.005, 2012. (M14)</w:t>
            </w:r>
          </w:p>
        </w:tc>
      </w:tr>
      <w:tr>
        <w:trPr>
          <w:trHeight w:val="638"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rPr>
            </w:pPr>
            <w:r>
              <w:rPr>
                <w:rFonts w:eastAsia="Times New Roman" w:ascii="Times New Roman" w:hAnsi="Times New Roman"/>
                <w:sz w:val="20"/>
                <w:szCs w:val="20"/>
              </w:rPr>
              <w:t>3.</w:t>
            </w:r>
          </w:p>
        </w:tc>
        <w:tc>
          <w:tcPr>
            <w:tcW w:w="9638"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eastAsia="Times New Roman" w:ascii="Times New Roman" w:hAnsi="Times New Roman"/>
                <w:sz w:val="20"/>
                <w:szCs w:val="20"/>
                <w:lang w:val="en-US"/>
              </w:rPr>
              <w:t>Игор Балаж, Мирко Будинчевић, Драгутин Михаиловић, Душанка Перишић, Emergence of Chaos and Synchronization in Coupled Interactions in Environmental Interfaces Regarded as Biophysical Complex Systems, Advances in Environmental Modeling and Measurements, Nova Science Publishers, Inc. New York, pp. 89 - 100, 978-1-60876-599-7, 2010. (M33)</w:t>
            </w:r>
          </w:p>
        </w:tc>
      </w:tr>
      <w:tr>
        <w:trPr>
          <w:trHeight w:val="638"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eastAsia="Times New Roman"/>
                <w:sz w:val="20"/>
                <w:szCs w:val="20"/>
              </w:rPr>
            </w:pPr>
            <w:r>
              <w:rPr>
                <w:rFonts w:eastAsia="Times New Roman" w:ascii="Times New Roman" w:hAnsi="Times New Roman"/>
                <w:sz w:val="20"/>
                <w:szCs w:val="20"/>
              </w:rPr>
            </w:r>
          </w:p>
        </w:tc>
        <w:tc>
          <w:tcPr>
            <w:tcW w:w="9638"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eastAsia="Times New Roman"/>
                <w:sz w:val="20"/>
                <w:szCs w:val="20"/>
                <w:lang w:val="en-US"/>
              </w:rPr>
            </w:pPr>
            <w:r>
              <w:rPr>
                <w:rFonts w:eastAsia="Times New Roman" w:ascii="Times New Roman" w:hAnsi="Times New Roman"/>
                <w:sz w:val="20"/>
                <w:szCs w:val="20"/>
                <w:lang w:val="en-US"/>
              </w:rPr>
              <w:t>Б. Лалић, А. Фирањ Сремац, Љ. Декић, J. Eitzinger, Д. Перишић, Seasonal forecasting of green water components and crop yields of winter wheat in Serbia and Austria, The Journal of Agricultural Science, pp. 1 - 17, 0021-8596 (Print), 1469-5146 (Online), 10.1017/S0021859617000788, Dec2017. (M21)</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rPr>
            </w:pPr>
            <w:r>
              <w:rPr>
                <w:rFonts w:eastAsia="Times New Roman" w:ascii="Times New Roman" w:hAnsi="Times New Roman"/>
                <w:sz w:val="20"/>
                <w:szCs w:val="20"/>
              </w:rPr>
              <w:t>5.</w:t>
            </w:r>
          </w:p>
        </w:tc>
        <w:tc>
          <w:tcPr>
            <w:tcW w:w="9638" w:type="dxa"/>
            <w:gridSpan w:val="1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eastAsia="Times New Roman" w:ascii="Times New Roman" w:hAnsi="Times New Roman"/>
                <w:sz w:val="18"/>
                <w:szCs w:val="18"/>
                <w:lang w:val="en-US"/>
              </w:rPr>
              <w:t>А. Фирањ Сремац, Б. Лалић, Д. Перишић, J. Eitzinger, Р. Стричевић, S. Thaler, И. Максимовић, М. Даничић, Љ. Декић, Probabilistic forecast of major arable crops in Serbia and Austria, EMS Annual Meeting Abstracts, EMS, 14, EMS2017-485, Dublin, Ireland, 4. - 9. Sep, 2017 (M34)</w:t>
            </w:r>
          </w:p>
        </w:tc>
      </w:tr>
      <w:tr>
        <w:trPr>
          <w:trHeight w:val="317" w:hRule="atLeast"/>
        </w:trPr>
        <w:tc>
          <w:tcPr>
            <w:tcW w:w="10205"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rPr>
              <w:t>Збирни подаци научне, односно уметничке и стручне активности наставника</w:t>
            </w:r>
          </w:p>
        </w:tc>
      </w:tr>
      <w:tr>
        <w:trPr>
          <w:trHeight w:val="264" w:hRule="atLeast"/>
        </w:trPr>
        <w:tc>
          <w:tcPr>
            <w:tcW w:w="4377"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Укупан број цитата</w:t>
            </w:r>
          </w:p>
        </w:tc>
        <w:tc>
          <w:tcPr>
            <w:tcW w:w="582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eastAsia="Times New Roman" w:ascii="Times New Roman" w:hAnsi="Times New Roman"/>
                <w:sz w:val="20"/>
                <w:szCs w:val="20"/>
                <w:lang w:val="en-US"/>
              </w:rPr>
              <w:t>45</w:t>
            </w:r>
          </w:p>
        </w:tc>
      </w:tr>
      <w:tr>
        <w:trPr>
          <w:trHeight w:val="255" w:hRule="atLeast"/>
        </w:trPr>
        <w:tc>
          <w:tcPr>
            <w:tcW w:w="4377"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Укупан број радова са SCI (SSCI) листе</w:t>
            </w:r>
          </w:p>
        </w:tc>
        <w:tc>
          <w:tcPr>
            <w:tcW w:w="5828"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lang w:val="en-US"/>
              </w:rPr>
            </w:pPr>
            <w:r>
              <w:rPr>
                <w:rFonts w:ascii="Times New Roman" w:hAnsi="Times New Roman"/>
                <w:sz w:val="20"/>
                <w:szCs w:val="20"/>
              </w:rPr>
              <w:t>18</w:t>
            </w:r>
          </w:p>
        </w:tc>
      </w:tr>
      <w:tr>
        <w:trPr>
          <w:trHeight w:val="278" w:hRule="atLeast"/>
        </w:trPr>
        <w:tc>
          <w:tcPr>
            <w:tcW w:w="4377"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Тренутно учешће на пројектима</w:t>
            </w:r>
          </w:p>
        </w:tc>
        <w:tc>
          <w:tcPr>
            <w:tcW w:w="1791"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Домаћи</w:t>
            </w:r>
          </w:p>
        </w:tc>
        <w:tc>
          <w:tcPr>
            <w:tcW w:w="403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Међународни 1</w:t>
            </w:r>
          </w:p>
        </w:tc>
      </w:tr>
      <w:tr>
        <w:trPr>
          <w:trHeight w:val="363" w:hRule="atLeast"/>
        </w:trPr>
        <w:tc>
          <w:tcPr>
            <w:tcW w:w="2267"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Усавршавања</w:t>
            </w:r>
          </w:p>
        </w:tc>
        <w:tc>
          <w:tcPr>
            <w:tcW w:w="7938"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r>
          </w:p>
        </w:tc>
      </w:tr>
      <w:tr>
        <w:trPr>
          <w:trHeight w:val="269" w:hRule="atLeast"/>
        </w:trPr>
        <w:tc>
          <w:tcPr>
            <w:tcW w:w="10205" w:type="dxa"/>
            <w:gridSpan w:val="1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Други подаци које сматрате релевантним</w:t>
            </w:r>
          </w:p>
        </w:tc>
      </w:tr>
    </w:tbl>
    <w:p>
      <w:pPr>
        <w:pStyle w:val="Normal"/>
        <w:tabs>
          <w:tab w:val="clear" w:pos="720"/>
          <w:tab w:val="left" w:pos="567" w:leader="none"/>
        </w:tabs>
        <w:spacing w:before="0" w:after="60"/>
        <w:jc w:val="both"/>
        <w:rPr>
          <w:rFonts w:ascii="Times New Roman" w:hAnsi="Times New Roman"/>
          <w:sz w:val="20"/>
          <w:szCs w:val="20"/>
          <w:lang w:val="en-US"/>
        </w:rPr>
      </w:pPr>
      <w:r>
        <w:rPr/>
      </w:r>
    </w:p>
    <w:sectPr>
      <w:type w:val="nextPage"/>
      <w:pgSz w:w="11906" w:h="16838"/>
      <w:pgMar w:left="851" w:right="1276" w:gutter="0" w:header="0" w:top="426" w:footer="0" w:bottom="70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uiPriority w:val="99"/>
    <w:unhideWhenUsed/>
    <w:rsid w:val="005a4c35"/>
    <w:rPr>
      <w:color w:val="0000FF"/>
      <w:u w:val="single"/>
    </w:rPr>
  </w:style>
  <w:style w:type="character" w:styleId="HeaderChar" w:customStyle="1">
    <w:name w:val="Header Char"/>
    <w:link w:val="Header"/>
    <w:uiPriority w:val="99"/>
    <w:qFormat/>
    <w:rsid w:val="005a4c35"/>
    <w:rPr>
      <w:sz w:val="22"/>
      <w:szCs w:val="22"/>
    </w:rPr>
  </w:style>
  <w:style w:type="character" w:styleId="FooterChar" w:customStyle="1">
    <w:name w:val="Footer Char"/>
    <w:link w:val="Footer"/>
    <w:uiPriority w:val="99"/>
    <w:qFormat/>
    <w:rsid w:val="005a4c35"/>
    <w:rPr>
      <w:sz w:val="22"/>
      <w:szCs w:val="22"/>
    </w:rPr>
  </w:style>
  <w:style w:type="character" w:styleId="BalloonTextChar" w:customStyle="1">
    <w:name w:val="Balloon Text Char"/>
    <w:link w:val="BalloonText"/>
    <w:uiPriority w:val="99"/>
    <w:semiHidden/>
    <w:qFormat/>
    <w:rsid w:val="00876d2e"/>
    <w:rPr>
      <w:rFonts w:ascii="Tahoma" w:hAnsi="Tahoma" w:cs="Tahoma"/>
      <w:sz w:val="16"/>
      <w:szCs w:val="16"/>
    </w:rPr>
  </w:style>
  <w:style w:type="paragraph" w:styleId="Heading" w:customStyle="1">
    <w:name w:val="Heading"/>
    <w:basedOn w:val="Normal"/>
    <w:next w:val="TextBody"/>
    <w:qFormat/>
    <w:pPr>
      <w:keepNext w:val="true"/>
      <w:spacing w:before="240" w:after="120"/>
    </w:pPr>
    <w:rPr>
      <w:rFonts w:ascii="Liberation Sans" w:hAnsi="Liberation Sans" w:eastAsia="Noto Sans CJK SC"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Droid Sans Devanagari"/>
    </w:rPr>
  </w:style>
  <w:style w:type="paragraph" w:styleId="Caption1">
    <w:name w:val="caption"/>
    <w:basedOn w:val="Normal"/>
    <w:qFormat/>
    <w:pPr>
      <w:suppressLineNumbers/>
      <w:spacing w:before="120" w:after="120"/>
    </w:pPr>
    <w:rPr>
      <w:rFonts w:cs="Droid Sans Devanagari"/>
      <w:i/>
      <w:iCs/>
      <w:sz w:val="24"/>
      <w:szCs w:val="24"/>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5a4c35"/>
    <w:pPr>
      <w:tabs>
        <w:tab w:val="clear" w:pos="720"/>
        <w:tab w:val="center" w:pos="4680" w:leader="none"/>
        <w:tab w:val="right" w:pos="9360" w:leader="none"/>
      </w:tabs>
    </w:pPr>
    <w:rPr>
      <w:lang w:eastAsia="x-none"/>
    </w:rPr>
  </w:style>
  <w:style w:type="paragraph" w:styleId="Footer">
    <w:name w:val="Footer"/>
    <w:basedOn w:val="Normal"/>
    <w:link w:val="FooterChar"/>
    <w:uiPriority w:val="99"/>
    <w:unhideWhenUsed/>
    <w:rsid w:val="005a4c35"/>
    <w:pPr>
      <w:tabs>
        <w:tab w:val="clear" w:pos="720"/>
        <w:tab w:val="center" w:pos="4680" w:leader="none"/>
        <w:tab w:val="right" w:pos="9360" w:leader="none"/>
      </w:tabs>
    </w:pPr>
    <w:rPr>
      <w:lang w:eastAsia="x-none"/>
    </w:rPr>
  </w:style>
  <w:style w:type="paragraph" w:styleId="BalloonText">
    <w:name w:val="Balloon Text"/>
    <w:basedOn w:val="Normal"/>
    <w:link w:val="BalloonTextChar"/>
    <w:uiPriority w:val="99"/>
    <w:semiHidden/>
    <w:unhideWhenUsed/>
    <w:qFormat/>
    <w:rsid w:val="00876d2e"/>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Application>LibreOffice/7.3.7.2$Linux_X86_64 LibreOffice_project/30$Build-2</Application>
  <AppVersion>15.0000</AppVersion>
  <Pages>1</Pages>
  <Words>430</Words>
  <Characters>2687</Characters>
  <CharactersWithSpaces>3033</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2023-02-07T15:57:00Z</dcterms:created>
  <dc:creator>mane</dc:creator>
  <dc:description/>
  <dc:language>en-US</dc:language>
  <cp:lastModifiedBy/>
  <dcterms:modified xsi:type="dcterms:W3CDTF">2023-09-27T22:03:41Z</dcterms:modified>
  <cp:revision>17</cp:revision>
  <dc:subject/>
  <dc:title>ТАБЕЛЕ У ДОКУМЕНТАЦИЈИ ЗА АКРЕДИТАЦИЈУ СТУДИЈСКОГ ПРОГРАМА</dc:title>
</cp:coreProperties>
</file>

<file path=docProps/custom.xml><?xml version="1.0" encoding="utf-8"?>
<Properties xmlns="http://schemas.openxmlformats.org/officeDocument/2006/custom-properties" xmlns:vt="http://schemas.openxmlformats.org/officeDocument/2006/docPropsVTypes"/>
</file>