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  <w:lang w:val="en-AU"/>
        </w:rPr>
      </w:pPr>
      <w:r>
        <w:rPr>
          <w:rFonts w:ascii="Times New Roman" w:hAnsi="Times New Roman"/>
          <w:sz w:val="20"/>
          <w:szCs w:val="20"/>
          <w:lang w:val="en-AU"/>
        </w:rPr>
        <w:t xml:space="preserve">, </w:t>
      </w:r>
    </w:p>
    <w:tbl>
      <w:tblPr>
        <w:tblW w:w="102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605"/>
        <w:gridCol w:w="195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Мирјана Микалачки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Ванредни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Природно-математички факултет Универзитета у Новом Саду (ПМФ УНС),  </w:t>
            </w:r>
            <w:r>
              <w:rPr>
                <w:rFonts w:ascii="Times New Roman" w:hAnsi="Times New Roman"/>
                <w:sz w:val="20"/>
                <w:szCs w:val="20"/>
              </w:rPr>
              <w:t>2009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2019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2014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>
        <w:trPr>
          <w:trHeight w:val="240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Специјализација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2007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59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26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  <w:lang w:val="sr-CS"/>
              </w:rPr>
              <w:t>IT251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Аутомати и алгоритми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  <w:lang w:val="sr-CS"/>
              </w:rPr>
              <w:t>IT451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Комбинаторика, в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ероватноћа и статистика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M122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Програмирање 1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М3</w:t>
            </w:r>
            <w:r>
              <w:rPr>
                <w:rFonts w:ascii="Times New Roman" w:hAnsi="Times New Roman"/>
                <w:sz w:val="20"/>
                <w:szCs w:val="20"/>
                <w:lang w:val="en-AU"/>
              </w:rPr>
              <w:t>, M4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left="34" w:hanging="0"/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J. Forcan,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M. Mikalački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fill="F5F5F5" w:val="clear"/>
              </w:rPr>
              <w:t>:</w:t>
            </w:r>
            <w:r>
              <w:rPr>
                <w:rStyle w:val="Appleconvertedspace"/>
                <w:rFonts w:ascii="Times New Roman" w:hAnsi="Times New Roman"/>
                <w:color w:val="000000" w:themeColor="text1"/>
                <w:sz w:val="18"/>
                <w:szCs w:val="18"/>
                <w:shd w:fill="F5F5F5" w:val="clear"/>
              </w:rPr>
              <w:t> 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Maker-Breaker total domination games on cubic graphs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Discrete Mathematics and Theoretical Computer Science, 24(1) (2022) #20</w:t>
            </w:r>
            <w:hyperlink r:id="rId2" w:tgtFrame="_blank">
              <w:r>
                <w:rPr>
                  <w:rStyle w:val="InternetLink"/>
                  <w:rFonts w:ascii="Times New Roman" w:hAnsi="Times New Roman"/>
                  <w:color w:val="000000" w:themeColor="text1"/>
                  <w:sz w:val="18"/>
                  <w:szCs w:val="18"/>
                  <w:lang w:val="sr-Latn-RS"/>
                </w:rPr>
                <w:t xml:space="preserve"> </w:t>
              </w:r>
              <w:r>
                <w:rPr>
                  <w:rStyle w:val="Internet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https://doi.org/10.46298/dmtcs.8529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>
                <w:sz w:val="18"/>
                <w:szCs w:val="18"/>
              </w:rPr>
              <w:t xml:space="preserve">J. Forcan, </w:t>
            </w:r>
            <w:r>
              <w:rPr>
                <w:sz w:val="18"/>
                <w:szCs w:val="18"/>
                <w:u w:val="single"/>
              </w:rPr>
              <w:t>M. Mikalački</w:t>
            </w:r>
            <w:r>
              <w:rPr>
                <w:sz w:val="18"/>
                <w:szCs w:val="18"/>
              </w:rPr>
              <w:t>: </w:t>
            </w:r>
            <w:r>
              <w:rPr>
                <w:i/>
                <w:iCs/>
                <w:sz w:val="18"/>
                <w:szCs w:val="18"/>
              </w:rPr>
              <w:t>Spanning structures in Walker–Breaker games</w:t>
            </w:r>
            <w:r>
              <w:rPr>
                <w:sz w:val="18"/>
                <w:szCs w:val="18"/>
              </w:rPr>
              <w:t>, Fundamenta Informaticae 185 (1) (2022) 83-97.</w:t>
            </w:r>
            <w:r>
              <w:rPr>
                <w:sz w:val="18"/>
                <w:szCs w:val="18"/>
                <w:lang w:val="sr-Latn-RS"/>
              </w:rPr>
              <w:t xml:space="preserve"> </w:t>
            </w:r>
            <w:r>
              <w:rPr>
                <w:sz w:val="18"/>
                <w:szCs w:val="18"/>
              </w:rPr>
              <w:t xml:space="preserve">https://doi.org/10.3233/FI-222104 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right" w:pos="9214" w:leader="none"/>
              </w:tabs>
              <w:ind w:left="34" w:hanging="0"/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J. Forcan,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M. Mikalački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On the WalkerMaker-WalkerBreaker games,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Discrete Applied Mathematics 279 (2020), 69-79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hyperlink r:id="rId3" w:tgtFrame="Persistent link using digital object identifier">
              <w:r>
                <w:rPr>
                  <w:rStyle w:val="Anchortext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https://doi.org/10.1016/j.dam.2019.10.003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D. Clemens, P. Gupta, F. Hamann, A. Haupt,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M. Mikalački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Y. Mogge,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Fast strategies in Waiter-Client games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The Electronic Journal of Combinatorics 27(3) (2020), #P3.57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hyperlink r:id="rId4">
              <w:r>
                <w:rPr>
                  <w:rStyle w:val="Internet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https://doi.org/10.37236/9451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C. Dowden, M. Kang,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>M. Mikalački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M. Stojaković,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The Toucher-Isolator game, </w:t>
            </w:r>
            <w:hyperlink r:id="rId5" w:tgtFrame="_blank">
              <w:r>
                <w:rPr>
                  <w:rFonts w:ascii="Times New Roman" w:hAnsi="Times New Roman"/>
                  <w:sz w:val="18"/>
                  <w:szCs w:val="18"/>
                </w:rPr>
                <w:t>The Electronic Journal of Combinatorics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> 26(4) (2019), #P4.6.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hyperlink r:id="rId6">
              <w:r>
                <w:rPr>
                  <w:rStyle w:val="Internet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https://doi.org/10.37236/8617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>M. Mikalački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M. Stojaković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fill="FFFFFF" w:val="clear"/>
              </w:rPr>
              <w:t>Fast strategies in biased Maker-Breaker games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fill="FFFFFF" w:val="clear"/>
              </w:rPr>
              <w:t>, Discrete Mathematics and Theoretical Computer Science 20:2 (2018), P6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shd w:fill="FFFFFF" w:val="clear"/>
                <w:lang w:val="sr-Latn-RS"/>
              </w:rPr>
              <w:t xml:space="preserve"> </w:t>
            </w:r>
            <w:hyperlink r:id="rId7" w:tgtFrame="_blank">
              <w:r>
                <w:rPr>
                  <w:rStyle w:val="Internet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https://doi.org/10.23638/DMTCS-20-2-6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D. Clemens,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>M. Mikalački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How fast can Maker win in fair biased games?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Discrete Mathematics 341 (2018), 51-66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r-Latn-RS"/>
              </w:rPr>
              <w:t xml:space="preserve"> </w:t>
            </w:r>
            <w:hyperlink r:id="rId8" w:tgtFrame="Persistent link using digital object identifier">
              <w:r>
                <w:rPr>
                  <w:rStyle w:val="Anchortext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https://doi.org/10.1016/j.disc.2017.06.023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D. Clemens, </w:t>
            </w:r>
            <w:r>
              <w:rPr>
                <w:rFonts w:ascii="Times New Roman" w:hAnsi="Times New Roman"/>
                <w:sz w:val="18"/>
                <w:szCs w:val="18"/>
                <w:u w:val="single"/>
              </w:rPr>
              <w:t>M. Mikalački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A remark on the tournament game</w:t>
            </w:r>
            <w:r>
              <w:rPr>
                <w:rFonts w:ascii="Times New Roman" w:hAnsi="Times New Roman"/>
                <w:sz w:val="18"/>
                <w:szCs w:val="18"/>
              </w:rPr>
              <w:t>, The Electronic Journal of Combinatorics 22(3) (2015), P3.42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hyperlink r:id="rId9">
              <w:r>
                <w:rPr>
                  <w:rStyle w:val="Internet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https://doi.org/10.37236/5142</w:t>
              </w:r>
            </w:hyperlink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67 (google scholar); 30 (SCOPUS)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11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Домаћи: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Међународни: 1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DAAD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стипендија за истраживачки боравак од месец дана у Берлину, Немачка, 2013. године.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character" w:styleId="Appleconvertedspace" w:customStyle="1">
    <w:name w:val="apple-converted-space"/>
    <w:basedOn w:val="DefaultParagraphFont"/>
    <w:qFormat/>
    <w:rsid w:val="00651ee7"/>
    <w:rPr/>
  </w:style>
  <w:style w:type="character" w:styleId="Anchortext" w:customStyle="1">
    <w:name w:val="anchor-text"/>
    <w:basedOn w:val="DefaultParagraphFont"/>
    <w:qFormat/>
    <w:rsid w:val="0090061b"/>
    <w:rPr/>
  </w:style>
  <w:style w:type="character" w:styleId="VisitedInternetLink">
    <w:name w:val="FollowedHyperlink"/>
    <w:basedOn w:val="DefaultParagraphFont"/>
    <w:uiPriority w:val="99"/>
    <w:semiHidden/>
    <w:unhideWhenUsed/>
    <w:rsid w:val="0090061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90061b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1ee7"/>
    <w:pPr>
      <w:ind w:left="720" w:hanging="0"/>
    </w:pPr>
    <w:rPr>
      <w:rFonts w:ascii="Times New Roman" w:hAnsi="Times New Roman" w:eastAsia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qFormat/>
    <w:rsid w:val="0090061b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en-GB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46298/dmtcs.8529" TargetMode="External"/><Relationship Id="rId3" Type="http://schemas.openxmlformats.org/officeDocument/2006/relationships/hyperlink" Target="https://doi.org/10.1016/j.dam.2019.10.003" TargetMode="External"/><Relationship Id="rId4" Type="http://schemas.openxmlformats.org/officeDocument/2006/relationships/hyperlink" Target="https://doi.org/10.37236/9451" TargetMode="External"/><Relationship Id="rId5" Type="http://schemas.openxmlformats.org/officeDocument/2006/relationships/hyperlink" Target="http://www.combinatorics.org/" TargetMode="External"/><Relationship Id="rId6" Type="http://schemas.openxmlformats.org/officeDocument/2006/relationships/hyperlink" Target="https://doi.org/10.37236/8617" TargetMode="External"/><Relationship Id="rId7" Type="http://schemas.openxmlformats.org/officeDocument/2006/relationships/hyperlink" Target="https://doi.org/10.23638/DMTCS-20-2-6" TargetMode="External"/><Relationship Id="rId8" Type="http://schemas.openxmlformats.org/officeDocument/2006/relationships/hyperlink" Target="https://doi.org/10.1016/j.disc.2017.06.023" TargetMode="External"/><Relationship Id="rId9" Type="http://schemas.openxmlformats.org/officeDocument/2006/relationships/hyperlink" Target="https://doi.org/10.37236/5142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Application>LibreOffice/7.3.7.2$Linux_X86_64 LibreOffice_project/30$Build-2</Application>
  <AppVersion>15.0000</AppVersion>
  <Pages>1</Pages>
  <Words>378</Words>
  <Characters>2458</Characters>
  <CharactersWithSpaces>2756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2023-02-10T10:40:00Z</dcterms:created>
  <dc:creator>mane</dc:creator>
  <dc:description/>
  <dc:language>en-GB</dc:language>
  <cp:lastModifiedBy/>
  <dcterms:modified xsi:type="dcterms:W3CDTF">2023-09-27T21:56:38Z</dcterms:modified>
  <cp:revision>14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