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a"/>
        <w:tblW w:w="10206" w:type="dxa"/>
        <w:jc w:val="left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189"/>
        <w:gridCol w:w="923"/>
        <w:gridCol w:w="411"/>
        <w:gridCol w:w="144"/>
        <w:gridCol w:w="1346"/>
        <w:gridCol w:w="444"/>
        <w:gridCol w:w="2116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Мирјана К. Ивановић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факултет, Департман за математику и информатику, од 1988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>
        <w:trPr>
          <w:trHeight w:val="240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1988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Диекретна математика и програмирање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Програмирање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1983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Математика-информатика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CS102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науке, преглед и перспективе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en-A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AU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РН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AU"/>
              </w:rPr>
              <w:t>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en-A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CS302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A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IT708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Програмски језици и парадигме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en-A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РН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A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Информационе технологије  (ИТ)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CS602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Основе рачунарских језика и превођење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РН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CS606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Основе агентских технологија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РН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en-A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CS791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AU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IT702, 19.MW0103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Приватност, етика и друштвена одговорност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РН, ИТ, Вештачка интелигенција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CS711, IT623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Управљање софтверским пројектима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РН, ИТ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МАС, 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CS705, IT610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Конструкција компајлера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РН, ИТ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МАС, 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AU"/>
              </w:rPr>
              <w:t>8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IT708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Методика програмирања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ИТ 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AU"/>
              </w:rPr>
              <w:t>9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IT709</w:t>
            </w:r>
          </w:p>
        </w:tc>
        <w:tc>
          <w:tcPr>
            <w:tcW w:w="2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Методика информатике</w:t>
            </w:r>
          </w:p>
        </w:tc>
        <w:tc>
          <w:tcPr>
            <w:tcW w:w="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ИТ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Будимац З., Ивановић М., Путник З.: Управљање софтверским пројектима, ПМФ, Нови Сад, 2007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Nevena Rankovic, Dragica Rankovic, Mirjana Ivanovic, Ljubomir Lazic: COSMIC FP method in software development estimation using artificial neural networks based on orthogonal arrays. Connect. Sci. 34(1): 185-204 (2022), </w:t>
            </w:r>
            <w:hyperlink r:id="rId2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https://doi.org/10.1080/09540091.2021.1981824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Ivanović, M. et al. (2022). Current Trends in AI-Based Educational Processes—An Overview. In: Ivanović, M., Klašnja-Milićević, A., Jain, L.C. (eds) Handbook on Intelligent Techniques in the Educational Process. Learning and Analytics in Intelligent Systems, vol 29. Springer, Cham. https://doi.org/10.1007/978-3-031-04662-9_1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Milos Savic, Mirjana Ivanovic, Ivan Lukovic, Boris Delibasic, Jelica Protic, Dragan Jankovic: Students' preferences in selection of computer science and informatics studies: A comprehensive empirical case study. Comput. Sci. Inf. Syst. 18(1): 251-283 (2021), </w:t>
            </w:r>
            <w:hyperlink r:id="rId3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https://doi.org/10.2298/CSIS200901054S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Jordan Barria-Pineda, Kamil Akhuseyinoglu, Stefan Zelem-Celap, Peter Brusilovsky, Aleksandra Klasnja-Milicevic, Mirjana Ivanovic: Explainable Recommendations in a Personalized Programming Practice System. AIED (1) 2021: 64-76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Sasa Pesic, Mirjana Ivanovic, Milos Radovanovic, Costin Badica: CAAVI-RICS model for observing the security of distributed IoT and edge computing systems. Simul. Model. Pract. Theory 105: 102125 (2020), </w:t>
            </w:r>
            <w:hyperlink r:id="rId4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https://doi.org/10.1016/j.simpat.2020.102125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Brankica Bratic, Vasileios Triglianos, Vladimir Kurbalija, Cesare Pautasso, Mirjana Ivanovic: Role of interactive presentation platform ASQ in delivering web design course. Smart Learn. Environ. 7(1): 15 (2020), https://doi.org/10.1186/s40561-020-00123-w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Milos Savic, Mirjana Ivanovic, Lakhmi C. Jain: Complex Networks in Software, Knowledge, and Social Systems. Intelligent Systems Reference Library 148, Springer 2019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Vladimir Kurbalija, Mirjana Ivanovic, Milos Radovanovic, Zoltan Geler, Weihui Dai, Weidong Zhao: Emotion perception and recognition: An exploration of cultural differences and similarities. Cogn. Syst. Res. 52: 103-116 (2018), </w:t>
            </w:r>
            <w:hyperlink r:id="rId5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https://doi.org/10.1016/j.cogsys.2018.06.009</w:t>
              </w:r>
            </w:hyperlink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Dejan Sredojevic, Milan Vidakovic, Mirjana Ivanovic: ALAS: agent-oriented domain-specific language for the development of intelligent distributed non-axiomatic reasoning agents. Enterp. Inf. Syst. 12(8-9): 1058-1082 (2018), </w:t>
            </w:r>
            <w:hyperlink r:id="rId6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https://doi.org/10.1080/17517575.2018.1482567</w:t>
              </w:r>
            </w:hyperlink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7142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110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Домаћи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Међународни 1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Преко 100 посета, (од 1 недеље до 2 месеца, на разним европским и светским универзитетима). Гостујући професор у Македонији, Албанији, Кини и Аустралији.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Други подаци које сматрате релевантним: Организатор бројних међународних конференција и земљи и иностранству у својству Главног председавајућег, Председавајућег програмским одбором. Члан програмских одбора преко 400 међународних конференција. Коаутор 2 монографије међународног значаја, едитор преко 20 зборника радова са међународних конференција. Главни уредник ComSIS часописа са ИФ. Коуредник низа специјалних издања значајних међународних часописа. 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A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CS" w:eastAsia="en-A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en-AU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080/09540091.2021.1981824" TargetMode="External"/><Relationship Id="rId3" Type="http://schemas.openxmlformats.org/officeDocument/2006/relationships/hyperlink" Target="https://doi.org/10.2298/CSIS200901054S" TargetMode="External"/><Relationship Id="rId4" Type="http://schemas.openxmlformats.org/officeDocument/2006/relationships/hyperlink" Target="https://doi.org/10.1016/j.simpat.2020.102125" TargetMode="External"/><Relationship Id="rId5" Type="http://schemas.openxmlformats.org/officeDocument/2006/relationships/hyperlink" Target="https://doi.org/10.1016/j.cogsys.2018.06.009" TargetMode="External"/><Relationship Id="rId6" Type="http://schemas.openxmlformats.org/officeDocument/2006/relationships/hyperlink" Target="https://doi.org/10.1080/17517575.2018.1482567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cqHHCQIu8pORWRpBrSrtV7K9Jgw==">AMUW2mXdsXB0ikMysCfIQ5WoPMuMUmDsKO49q7fw9tFJj0STmmhEc9dpikL1xp1Su/yLsJ7PigHUdWyQs001QIfStCX0YrPtHZJNct5CUMw+lG3RRE/qFKs=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LibreOffice/7.3.7.2$Linux_X86_64 LibreOffice_project/30$Build-2</Application>
  <AppVersion>15.0000</AppVersion>
  <Pages>2</Pages>
  <Words>610</Words>
  <Characters>4282</Characters>
  <CharactersWithSpaces>4782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2023-09-18T10:46:00Z</dcterms:created>
  <dc:creator>mane</dc:creator>
  <dc:description/>
  <dc:language>en-GB</dc:language>
  <cp:lastModifiedBy/>
  <dcterms:modified xsi:type="dcterms:W3CDTF">2023-09-27T21:47:30Z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