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9B029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1378"/>
        <w:gridCol w:w="469"/>
        <w:gridCol w:w="145"/>
        <w:gridCol w:w="1120"/>
        <w:gridCol w:w="963"/>
        <w:gridCol w:w="329"/>
        <w:gridCol w:w="112"/>
        <w:gridCol w:w="1093"/>
        <w:gridCol w:w="495"/>
        <w:gridCol w:w="189"/>
        <w:gridCol w:w="1496"/>
        <w:gridCol w:w="506"/>
        <w:gridCol w:w="2047"/>
      </w:tblGrid>
      <w:tr w:rsidR="006E24DC" w:rsidRPr="00491993" w14:paraId="35C722FA" w14:textId="77777777" w:rsidTr="006E24DC">
        <w:trPr>
          <w:trHeight w:val="284"/>
        </w:trPr>
        <w:tc>
          <w:tcPr>
            <w:tcW w:w="5282" w:type="dxa"/>
            <w:gridSpan w:val="7"/>
            <w:vAlign w:val="center"/>
          </w:tcPr>
          <w:p w14:paraId="4B57DDF3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38" w:type="dxa"/>
            <w:gridSpan w:val="7"/>
            <w:vAlign w:val="center"/>
          </w:tcPr>
          <w:p w14:paraId="04EA90F1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Борислава Петровић</w:t>
            </w:r>
          </w:p>
        </w:tc>
      </w:tr>
      <w:tr w:rsidR="006E24DC" w:rsidRPr="00491993" w14:paraId="57637E02" w14:textId="77777777" w:rsidTr="006E24DC">
        <w:trPr>
          <w:trHeight w:val="284"/>
        </w:trPr>
        <w:tc>
          <w:tcPr>
            <w:tcW w:w="5282" w:type="dxa"/>
            <w:gridSpan w:val="7"/>
            <w:vAlign w:val="center"/>
          </w:tcPr>
          <w:p w14:paraId="339597DA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38" w:type="dxa"/>
            <w:gridSpan w:val="7"/>
            <w:vAlign w:val="center"/>
          </w:tcPr>
          <w:p w14:paraId="0CEF6788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6E24DC" w:rsidRPr="00491993" w14:paraId="788E9C0D" w14:textId="77777777" w:rsidTr="006E24DC">
        <w:trPr>
          <w:trHeight w:val="284"/>
        </w:trPr>
        <w:tc>
          <w:tcPr>
            <w:tcW w:w="5282" w:type="dxa"/>
            <w:gridSpan w:val="7"/>
            <w:vAlign w:val="center"/>
          </w:tcPr>
          <w:p w14:paraId="1EE5F602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B3E94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38" w:type="dxa"/>
            <w:gridSpan w:val="7"/>
            <w:vAlign w:val="center"/>
          </w:tcPr>
          <w:p w14:paraId="771B780D" w14:textId="77777777" w:rsidR="006E24DC" w:rsidRPr="00EB3E94" w:rsidRDefault="006E24DC" w:rsidP="00F07D4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 </w:t>
            </w:r>
          </w:p>
          <w:p w14:paraId="73D975F1" w14:textId="77777777" w:rsidR="006E24DC" w:rsidRPr="00EB3E94" w:rsidRDefault="006E24DC" w:rsidP="00F07D49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  <w:r w:rsidRPr="00EB3E94">
              <w:rPr>
                <w:rFonts w:ascii="Times New Roman" w:hAnsi="Times New Roman"/>
                <w:sz w:val="20"/>
                <w:szCs w:val="20"/>
              </w:rPr>
              <w:t>, непуно радно време, од 13.9.2011</w:t>
            </w:r>
          </w:p>
        </w:tc>
      </w:tr>
      <w:tr w:rsidR="006E24DC" w:rsidRPr="00491993" w14:paraId="799E1FD4" w14:textId="77777777" w:rsidTr="006E24DC">
        <w:trPr>
          <w:trHeight w:val="284"/>
        </w:trPr>
        <w:tc>
          <w:tcPr>
            <w:tcW w:w="5282" w:type="dxa"/>
            <w:gridSpan w:val="7"/>
            <w:vAlign w:val="center"/>
          </w:tcPr>
          <w:p w14:paraId="1205A885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38" w:type="dxa"/>
            <w:gridSpan w:val="7"/>
            <w:vAlign w:val="center"/>
          </w:tcPr>
          <w:p w14:paraId="7E1EAB4A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Физика- медицин</w:t>
            </w:r>
            <w:r w:rsidRPr="00EB3E94">
              <w:rPr>
                <w:rFonts w:ascii="Times New Roman" w:hAnsi="Times New Roman"/>
                <w:sz w:val="20"/>
                <w:szCs w:val="20"/>
              </w:rPr>
              <w:t>с</w:t>
            </w: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ка физика</w:t>
            </w:r>
          </w:p>
        </w:tc>
      </w:tr>
      <w:tr w:rsidR="006E24DC" w:rsidRPr="00491993" w14:paraId="79BA286F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42380239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E24DC" w:rsidRPr="00491993" w14:paraId="3DCED73F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75AE2175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vAlign w:val="center"/>
          </w:tcPr>
          <w:p w14:paraId="34467E84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97" w:type="dxa"/>
            <w:gridSpan w:val="4"/>
            <w:shd w:val="clear" w:color="auto" w:fill="auto"/>
            <w:vAlign w:val="center"/>
          </w:tcPr>
          <w:p w14:paraId="0F704EEB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6290535A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55DA968F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E24DC" w:rsidRPr="00491993" w14:paraId="4B34200F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432469EC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0" w:type="dxa"/>
            <w:vAlign w:val="center"/>
          </w:tcPr>
          <w:p w14:paraId="67005AFF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497" w:type="dxa"/>
            <w:gridSpan w:val="4"/>
            <w:shd w:val="clear" w:color="auto" w:fill="auto"/>
            <w:vAlign w:val="center"/>
          </w:tcPr>
          <w:p w14:paraId="13AFE7CB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 </w:t>
            </w:r>
          </w:p>
          <w:p w14:paraId="5E5C1396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0D684E37" w14:textId="77777777" w:rsidR="006E24DC" w:rsidRPr="00EB3E94" w:rsidRDefault="006E24DC" w:rsidP="00F07D49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758D5CF5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физика</w:t>
            </w:r>
          </w:p>
        </w:tc>
      </w:tr>
      <w:tr w:rsidR="006E24DC" w:rsidRPr="00491993" w14:paraId="3AA3A0EB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29BEBF6F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0" w:type="dxa"/>
            <w:vAlign w:val="center"/>
          </w:tcPr>
          <w:p w14:paraId="15C2D2F4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2497" w:type="dxa"/>
            <w:gridSpan w:val="4"/>
            <w:shd w:val="clear" w:color="auto" w:fill="auto"/>
          </w:tcPr>
          <w:p w14:paraId="6E239502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АЦИМСИ </w:t>
            </w:r>
          </w:p>
          <w:p w14:paraId="66185AAC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4F5B5685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7E130494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физика</w:t>
            </w:r>
          </w:p>
        </w:tc>
      </w:tr>
      <w:tr w:rsidR="006E24DC" w:rsidRPr="00491993" w14:paraId="3C9429ED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32613AA7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0" w:type="dxa"/>
            <w:vAlign w:val="center"/>
          </w:tcPr>
          <w:p w14:paraId="5713E5FE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497" w:type="dxa"/>
            <w:gridSpan w:val="4"/>
            <w:shd w:val="clear" w:color="auto" w:fill="auto"/>
          </w:tcPr>
          <w:p w14:paraId="316B2C7F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факултет,</w:t>
            </w:r>
          </w:p>
          <w:p w14:paraId="7796DB33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71643646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C831A49" w14:textId="77777777" w:rsidR="006E24DC" w:rsidRPr="00EB3E94" w:rsidRDefault="006E24DC" w:rsidP="000A20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физика</w:t>
            </w:r>
          </w:p>
        </w:tc>
      </w:tr>
      <w:tr w:rsidR="006E24DC" w:rsidRPr="00491993" w14:paraId="59A959DE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1B1946E9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0" w:type="dxa"/>
            <w:vAlign w:val="center"/>
          </w:tcPr>
          <w:p w14:paraId="33C21C02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2497" w:type="dxa"/>
            <w:gridSpan w:val="4"/>
            <w:shd w:val="clear" w:color="auto" w:fill="auto"/>
          </w:tcPr>
          <w:p w14:paraId="38B93784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АЦИМСИ </w:t>
            </w:r>
          </w:p>
          <w:p w14:paraId="3493A509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1F2F1B32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6D33073B" w14:textId="77777777" w:rsidR="006E24DC" w:rsidRPr="00EB3E94" w:rsidRDefault="006E24DC" w:rsidP="000A20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физика</w:t>
            </w:r>
          </w:p>
        </w:tc>
      </w:tr>
      <w:tr w:rsidR="006E24DC" w:rsidRPr="00491993" w14:paraId="0081CDE9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50E9882B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0" w:type="dxa"/>
            <w:vAlign w:val="center"/>
          </w:tcPr>
          <w:p w14:paraId="2A19B064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97" w:type="dxa"/>
            <w:gridSpan w:val="4"/>
            <w:shd w:val="clear" w:color="auto" w:fill="auto"/>
            <w:vAlign w:val="center"/>
          </w:tcPr>
          <w:p w14:paraId="3690ACD8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67439D01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27EB1498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E24DC" w:rsidRPr="00491993" w14:paraId="09F32AA5" w14:textId="77777777" w:rsidTr="006E24DC">
        <w:trPr>
          <w:trHeight w:val="284"/>
        </w:trPr>
        <w:tc>
          <w:tcPr>
            <w:tcW w:w="2870" w:type="dxa"/>
            <w:gridSpan w:val="4"/>
            <w:vAlign w:val="center"/>
          </w:tcPr>
          <w:p w14:paraId="0EC50A16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0" w:type="dxa"/>
            <w:vAlign w:val="center"/>
          </w:tcPr>
          <w:p w14:paraId="3820A870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2497" w:type="dxa"/>
            <w:gridSpan w:val="4"/>
            <w:shd w:val="clear" w:color="auto" w:fill="auto"/>
            <w:vAlign w:val="center"/>
          </w:tcPr>
          <w:p w14:paraId="57EAA9BD" w14:textId="77777777" w:rsidR="006E24DC" w:rsidRPr="00EB3E94" w:rsidRDefault="006E24DC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 </w:t>
            </w:r>
          </w:p>
          <w:p w14:paraId="607EA01C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80" w:type="dxa"/>
            <w:gridSpan w:val="3"/>
            <w:shd w:val="clear" w:color="auto" w:fill="auto"/>
            <w:vAlign w:val="center"/>
          </w:tcPr>
          <w:p w14:paraId="74D133F3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18C2F30E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E24DC" w:rsidRPr="00491993" w14:paraId="30479F43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50B7A527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EB3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E24DC" w:rsidRPr="00491993" w14:paraId="642F16CA" w14:textId="77777777" w:rsidTr="006E24DC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14:paraId="46B59BDD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402954E9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EB3E94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CAB5081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8" w:type="dxa"/>
            <w:gridSpan w:val="6"/>
            <w:shd w:val="clear" w:color="auto" w:fill="auto"/>
            <w:vAlign w:val="center"/>
          </w:tcPr>
          <w:p w14:paraId="233C20E2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77" w:type="dxa"/>
            <w:gridSpan w:val="3"/>
            <w:shd w:val="clear" w:color="auto" w:fill="auto"/>
            <w:vAlign w:val="center"/>
          </w:tcPr>
          <w:p w14:paraId="54C64489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02" w:type="dxa"/>
            <w:gridSpan w:val="2"/>
            <w:shd w:val="clear" w:color="auto" w:fill="auto"/>
            <w:vAlign w:val="center"/>
          </w:tcPr>
          <w:p w14:paraId="55400BB8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150E646B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B3E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B3E9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E24DC" w:rsidRPr="00491993" w14:paraId="433CEA76" w14:textId="77777777" w:rsidTr="006E24DC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14:paraId="7D8A2CE1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8E8AA5A" w14:textId="0D7DFDB9" w:rsidR="006E24DC" w:rsidRPr="00EB3E94" w:rsidRDefault="006E24DC" w:rsidP="00D459E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M</w:t>
            </w:r>
            <w:r w:rsidR="00425639">
              <w:rPr>
                <w:rFonts w:ascii="Times New Roman" w:hAnsi="Times New Roman"/>
                <w:sz w:val="20"/>
                <w:szCs w:val="20"/>
                <w:lang w:val="sr-Cyrl-CS"/>
              </w:rPr>
              <w:t>18ФОРТ</w:t>
            </w:r>
          </w:p>
        </w:tc>
        <w:tc>
          <w:tcPr>
            <w:tcW w:w="3138" w:type="dxa"/>
            <w:gridSpan w:val="6"/>
            <w:shd w:val="clear" w:color="auto" w:fill="auto"/>
            <w:vAlign w:val="center"/>
          </w:tcPr>
          <w:p w14:paraId="50DC06DA" w14:textId="59CBA271" w:rsidR="006E24DC" w:rsidRPr="00425639" w:rsidRDefault="00D459E8" w:rsidP="00D14F8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 xml:space="preserve">Физичке основе </w:t>
            </w:r>
            <w:r w:rsidR="0042563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радиотерапије</w:t>
            </w:r>
          </w:p>
        </w:tc>
        <w:tc>
          <w:tcPr>
            <w:tcW w:w="1777" w:type="dxa"/>
            <w:gridSpan w:val="3"/>
            <w:shd w:val="clear" w:color="auto" w:fill="auto"/>
            <w:vAlign w:val="center"/>
          </w:tcPr>
          <w:p w14:paraId="23FFAFF7" w14:textId="07998C0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6211E1" w:rsidRPr="00EB3E9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6211E1" w:rsidRPr="00EB3E9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ДОН</w:t>
            </w:r>
          </w:p>
        </w:tc>
        <w:tc>
          <w:tcPr>
            <w:tcW w:w="2002" w:type="dxa"/>
            <w:gridSpan w:val="2"/>
            <w:shd w:val="clear" w:color="auto" w:fill="auto"/>
            <w:vAlign w:val="center"/>
          </w:tcPr>
          <w:p w14:paraId="230E573F" w14:textId="77777777" w:rsidR="006E24DC" w:rsidRPr="00EB3E94" w:rsidRDefault="00D459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3E94">
              <w:rPr>
                <w:rFonts w:ascii="Times New Roman" w:hAnsi="Times New Roman"/>
                <w:sz w:val="20"/>
                <w:szCs w:val="20"/>
              </w:rPr>
              <w:t>MAC Физикa ФС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7835CE6C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E24DC" w:rsidRPr="00491993" w14:paraId="47A8C36E" w14:textId="77777777" w:rsidTr="006E24DC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14:paraId="12FB99FF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9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94F790B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38" w:type="dxa"/>
            <w:gridSpan w:val="6"/>
            <w:shd w:val="clear" w:color="auto" w:fill="auto"/>
            <w:vAlign w:val="center"/>
          </w:tcPr>
          <w:p w14:paraId="58E377AE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77" w:type="dxa"/>
            <w:gridSpan w:val="3"/>
            <w:shd w:val="clear" w:color="auto" w:fill="auto"/>
            <w:vAlign w:val="center"/>
          </w:tcPr>
          <w:p w14:paraId="29734280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02" w:type="dxa"/>
            <w:gridSpan w:val="2"/>
            <w:shd w:val="clear" w:color="auto" w:fill="auto"/>
            <w:vAlign w:val="center"/>
          </w:tcPr>
          <w:p w14:paraId="45CAFEBE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14:paraId="179B9B7D" w14:textId="77777777" w:rsidR="006E24DC" w:rsidRPr="00EB3E94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E24DC" w:rsidRPr="00491993" w14:paraId="2939D704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305E3591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E24DC" w:rsidRPr="00491993" w14:paraId="40DFCB3C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2AFA780A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65DBEB53" w14:textId="77777777" w:rsidR="006E24DC" w:rsidRPr="005526A4" w:rsidRDefault="006E24DC" w:rsidP="0038091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>B. J. Healy, M. Budanec, B. Ourdane, T. Peace, B. Petrovic, D. E. Sanz, D. J. Scanderbeg &amp; L. Tuntipumiamorn (2020) An IAEA survey of radiotherapy</w:t>
            </w:r>
            <w:r w:rsidR="003809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practice including quality assurance extent and depth, Acta Oncologica, 59:5, 503-510, DOI: 10.1080/0284186X.2020.1714721 </w:t>
            </w:r>
          </w:p>
        </w:tc>
      </w:tr>
      <w:tr w:rsidR="006E24DC" w:rsidRPr="00491993" w14:paraId="6B272539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64848ED7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4C68CA56" w14:textId="77777777" w:rsidR="006E24DC" w:rsidRPr="005526A4" w:rsidRDefault="006E24DC" w:rsidP="0038091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>Cristina Garibaldi, Marion Essers, Ben Heijmen, Jenny Bertholet, Efi Koutsouveli, Ad J.</w:t>
            </w:r>
            <w:r w:rsidR="003809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>J. Maas, Margaret Moore, Borislava Petrovic, Irena Koniarova, Albert Lisbona,</w:t>
            </w:r>
            <w:r w:rsidR="003809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Tomasz Piotrowski, Raphael Moeckli, Antonio Lopez Medina, Erato Stylianou Markidou, Catharine H. Clark, Nuria Jornet, Towards an updated ESTRO-EFOMP core curriculum for education and training of medical physics experts in radiotherapy – A survey of current education and training practice in Europe, Physica Medica 84 (2021) 65–71 </w:t>
            </w:r>
          </w:p>
        </w:tc>
      </w:tr>
      <w:tr w:rsidR="006E24DC" w:rsidRPr="00491993" w14:paraId="26F9EFA4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57CBEFB2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45B76065" w14:textId="77777777" w:rsidR="006E24DC" w:rsidRPr="005526A4" w:rsidRDefault="006E24DC" w:rsidP="001C267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Borislava S. PETROVIĆ, Dario Z. FAJ, Mladen B. MARKOVIĆ, </w:t>
            </w:r>
            <w:r w:rsidR="001C267E">
              <w:rPr>
                <w:rFonts w:ascii="Times New Roman" w:hAnsi="Times New Roman"/>
                <w:sz w:val="20"/>
                <w:szCs w:val="20"/>
                <w:lang w:val="sr-Cyrl-CS"/>
              </w:rPr>
              <w:t>ет ал</w:t>
            </w: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>, Assessment of CT simulators used in radiotherapy treatment planning in Serbia, Croatia and Bosnia and Herzegovina,  Nuclear Technology and Radiation Protection 2021 Volume 36, Issue 1, Pages: 97-106, doi.org/10.2298/NTRP201118009P</w:t>
            </w:r>
          </w:p>
        </w:tc>
      </w:tr>
      <w:tr w:rsidR="006E24DC" w:rsidRPr="00491993" w14:paraId="3A74ADF6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5D6B1E19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716E95C6" w14:textId="77777777" w:rsidR="006E24DC" w:rsidRPr="005526A4" w:rsidRDefault="006E24DC" w:rsidP="005526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M. Marjanović, Á. Tóth, B. Petrović, I. Gencel, Estimation of absorbed doses to target and healthy tissues during cone-beam CT radiotherapy imaging of the chest, Romanian Journal of Physics 66, (9-10), 707 (2021) </w:t>
            </w:r>
          </w:p>
        </w:tc>
      </w:tr>
      <w:tr w:rsidR="006E24DC" w:rsidRPr="00491993" w14:paraId="7801E2CD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294298E6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7AF083EC" w14:textId="77777777" w:rsidR="006E24DC" w:rsidRPr="005526A4" w:rsidRDefault="006E24DC" w:rsidP="005526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Borislava Petrovic, Ferenc Vicko, Dragana Radovanovic, Jelena Samac, Arpad Tot, Zoran Radovanovic, Tatjana Ivkovic- Kapicl, Dejan Lukic, Milana Marjanovic, Olivera Ivanov Occupational Radiation Dose of Personnel involved in Sentinel Node Biopsy Procedure, , Physica Medica 91 (2021), doi: </w:t>
            </w:r>
            <w:hyperlink r:id="rId5" w:tgtFrame="_blank" w:history="1">
              <w:r w:rsidRPr="005526A4">
                <w:rPr>
                  <w:rFonts w:ascii="Times New Roman" w:hAnsi="Times New Roman"/>
                  <w:sz w:val="20"/>
                  <w:szCs w:val="20"/>
                  <w:lang w:val="sr-Cyrl-CS"/>
                </w:rPr>
                <w:t xml:space="preserve">10.1016/j.ejmp.2021.10.019 </w:t>
              </w:r>
            </w:hyperlink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6E24DC" w:rsidRPr="00491993" w14:paraId="2787FD0E" w14:textId="77777777" w:rsidTr="006E24DC">
        <w:trPr>
          <w:trHeight w:val="284"/>
        </w:trPr>
        <w:tc>
          <w:tcPr>
            <w:tcW w:w="878" w:type="dxa"/>
            <w:vAlign w:val="center"/>
          </w:tcPr>
          <w:p w14:paraId="7B66CC3A" w14:textId="77777777" w:rsidR="006E24DC" w:rsidRPr="00EB3E94" w:rsidRDefault="006E24DC" w:rsidP="00B017D1">
            <w:pPr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EB3E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342" w:type="dxa"/>
            <w:gridSpan w:val="13"/>
            <w:shd w:val="clear" w:color="auto" w:fill="auto"/>
            <w:vAlign w:val="center"/>
          </w:tcPr>
          <w:p w14:paraId="31B5D3B8" w14:textId="77777777" w:rsidR="006E24DC" w:rsidRPr="005526A4" w:rsidRDefault="006E24DC" w:rsidP="00D35E2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Cristina Garibaldi, Marion Essers, Ben Heijmen, Jenny Bertholet, Efi Koutsouveli, Marco Schwarz, Borislava Petrovic, </w:t>
            </w:r>
            <w:r w:rsidR="00D35E2C">
              <w:rPr>
                <w:rFonts w:ascii="Times New Roman" w:hAnsi="Times New Roman"/>
                <w:sz w:val="20"/>
                <w:szCs w:val="20"/>
                <w:lang w:val="sr-Cyrl-CS"/>
              </w:rPr>
              <w:t>ет ал</w:t>
            </w:r>
            <w:r w:rsidRPr="005526A4">
              <w:rPr>
                <w:rFonts w:ascii="Times New Roman" w:hAnsi="Times New Roman"/>
                <w:sz w:val="20"/>
                <w:szCs w:val="20"/>
                <w:lang w:val="sr-Cyrl-CS"/>
              </w:rPr>
              <w:t>,  The 3rd ESTRO-EFOMP core curriculum for medical physics experts in radiotherapy , Radiotherapy and Oncology (2022)</w:t>
            </w:r>
          </w:p>
        </w:tc>
      </w:tr>
      <w:tr w:rsidR="006E24DC" w:rsidRPr="00491993" w14:paraId="59B4494B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2703D94E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526A4" w:rsidRPr="00491993" w14:paraId="4C19C459" w14:textId="77777777" w:rsidTr="00A26873">
        <w:trPr>
          <w:trHeight w:val="427"/>
        </w:trPr>
        <w:tc>
          <w:tcPr>
            <w:tcW w:w="4953" w:type="dxa"/>
            <w:gridSpan w:val="6"/>
            <w:vAlign w:val="center"/>
          </w:tcPr>
          <w:p w14:paraId="746CB8C8" w14:textId="77777777" w:rsidR="005526A4" w:rsidRPr="00491993" w:rsidRDefault="005526A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67" w:type="dxa"/>
            <w:gridSpan w:val="8"/>
          </w:tcPr>
          <w:p w14:paraId="09F9B823" w14:textId="77777777" w:rsidR="005526A4" w:rsidRPr="00E86FF9" w:rsidRDefault="005526A4" w:rsidP="00B017D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6FF9">
              <w:rPr>
                <w:rFonts w:ascii="Times New Roman" w:hAnsi="Times New Roman"/>
                <w:sz w:val="20"/>
                <w:szCs w:val="20"/>
                <w:lang w:val="sr-Cyrl-CS"/>
              </w:rPr>
              <w:t>111,100 (Scopus)</w:t>
            </w:r>
          </w:p>
        </w:tc>
      </w:tr>
      <w:tr w:rsidR="005526A4" w:rsidRPr="00491993" w14:paraId="69C706BD" w14:textId="77777777" w:rsidTr="00A26873">
        <w:trPr>
          <w:trHeight w:val="284"/>
        </w:trPr>
        <w:tc>
          <w:tcPr>
            <w:tcW w:w="4953" w:type="dxa"/>
            <w:gridSpan w:val="6"/>
            <w:vAlign w:val="center"/>
          </w:tcPr>
          <w:p w14:paraId="138E5590" w14:textId="77777777" w:rsidR="005526A4" w:rsidRPr="00491993" w:rsidRDefault="005526A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67" w:type="dxa"/>
            <w:gridSpan w:val="8"/>
          </w:tcPr>
          <w:p w14:paraId="567536E0" w14:textId="77777777" w:rsidR="005526A4" w:rsidRPr="008944F4" w:rsidRDefault="005526A4" w:rsidP="00B017D1">
            <w:r>
              <w:t>29 (Scopus)</w:t>
            </w:r>
          </w:p>
        </w:tc>
      </w:tr>
      <w:tr w:rsidR="006E24DC" w:rsidRPr="00491993" w14:paraId="202C326D" w14:textId="77777777" w:rsidTr="006E24DC">
        <w:trPr>
          <w:trHeight w:val="278"/>
        </w:trPr>
        <w:tc>
          <w:tcPr>
            <w:tcW w:w="4953" w:type="dxa"/>
            <w:gridSpan w:val="6"/>
            <w:vAlign w:val="center"/>
          </w:tcPr>
          <w:p w14:paraId="135A78EC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29" w:type="dxa"/>
            <w:gridSpan w:val="4"/>
            <w:vAlign w:val="center"/>
          </w:tcPr>
          <w:p w14:paraId="10DDBDAB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  <w:tc>
          <w:tcPr>
            <w:tcW w:w="4238" w:type="dxa"/>
            <w:gridSpan w:val="4"/>
            <w:vAlign w:val="center"/>
          </w:tcPr>
          <w:p w14:paraId="25C20AFC" w14:textId="77777777" w:rsidR="005526A4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526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6E24DC" w:rsidRPr="00491993" w14:paraId="30969D75" w14:textId="77777777" w:rsidTr="006E24DC">
        <w:trPr>
          <w:trHeight w:val="284"/>
        </w:trPr>
        <w:tc>
          <w:tcPr>
            <w:tcW w:w="2725" w:type="dxa"/>
            <w:gridSpan w:val="3"/>
            <w:vAlign w:val="center"/>
          </w:tcPr>
          <w:p w14:paraId="5A974102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495" w:type="dxa"/>
            <w:gridSpan w:val="11"/>
            <w:vAlign w:val="center"/>
          </w:tcPr>
          <w:p w14:paraId="77A5D984" w14:textId="77777777" w:rsidR="006E24DC" w:rsidRPr="00491993" w:rsidRDefault="005526A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6FF9">
              <w:rPr>
                <w:rFonts w:ascii="Times New Roman" w:hAnsi="Times New Roman"/>
                <w:sz w:val="20"/>
                <w:szCs w:val="20"/>
                <w:lang w:val="sr-Cyrl-CS"/>
              </w:rPr>
              <w:t>Монтреал (Канада), Мастрихт (Холандија), Гливице (Пољска), Беч (Аустрија) , Фиренца (Италија)</w:t>
            </w:r>
          </w:p>
        </w:tc>
      </w:tr>
      <w:tr w:rsidR="006E24DC" w:rsidRPr="00491993" w14:paraId="701100B6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1D2358C3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6E24DC" w:rsidRPr="00491993" w14:paraId="7B55621B" w14:textId="77777777" w:rsidTr="006E24DC">
        <w:trPr>
          <w:trHeight w:val="284"/>
        </w:trPr>
        <w:tc>
          <w:tcPr>
            <w:tcW w:w="11220" w:type="dxa"/>
            <w:gridSpan w:val="14"/>
            <w:vAlign w:val="center"/>
          </w:tcPr>
          <w:p w14:paraId="57553815" w14:textId="77777777" w:rsidR="006E24DC" w:rsidRPr="00491993" w:rsidRDefault="006E24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15A195E7" w14:textId="77777777" w:rsidR="00BE1BE7" w:rsidRPr="00D459E8" w:rsidRDefault="00BE1BE7" w:rsidP="00D459E8"/>
    <w:sectPr w:rsidR="00BE1BE7" w:rsidRPr="00D459E8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934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032E4"/>
    <w:rsid w:val="00091876"/>
    <w:rsid w:val="001C267E"/>
    <w:rsid w:val="0038091E"/>
    <w:rsid w:val="00425639"/>
    <w:rsid w:val="004758D5"/>
    <w:rsid w:val="0052572C"/>
    <w:rsid w:val="005526A4"/>
    <w:rsid w:val="006211E1"/>
    <w:rsid w:val="00654B60"/>
    <w:rsid w:val="006E24DC"/>
    <w:rsid w:val="007646E6"/>
    <w:rsid w:val="00930BC8"/>
    <w:rsid w:val="00AF68A7"/>
    <w:rsid w:val="00BE1BE7"/>
    <w:rsid w:val="00D14F80"/>
    <w:rsid w:val="00D23319"/>
    <w:rsid w:val="00D35E2C"/>
    <w:rsid w:val="00D459E8"/>
    <w:rsid w:val="00DF049F"/>
    <w:rsid w:val="00E86FF9"/>
    <w:rsid w:val="00EB3E94"/>
    <w:rsid w:val="00EC73B6"/>
    <w:rsid w:val="00EF0A3A"/>
    <w:rsid w:val="00F0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6A2DBC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D14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16/j.ejmp.2021.10.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19</cp:revision>
  <dcterms:created xsi:type="dcterms:W3CDTF">2023-04-08T08:45:00Z</dcterms:created>
  <dcterms:modified xsi:type="dcterms:W3CDTF">2023-04-28T08:59:00Z</dcterms:modified>
</cp:coreProperties>
</file>