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224" w:type="dxa"/>
        <w:jc w:val="left"/>
        <w:tblInd w:w="-4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852"/>
        <w:gridCol w:w="601"/>
        <w:gridCol w:w="531"/>
        <w:gridCol w:w="819"/>
        <w:gridCol w:w="119"/>
        <w:gridCol w:w="1019"/>
        <w:gridCol w:w="826"/>
        <w:gridCol w:w="284"/>
        <w:gridCol w:w="105"/>
        <w:gridCol w:w="855"/>
        <w:gridCol w:w="435"/>
        <w:gridCol w:w="180"/>
        <w:gridCol w:w="1318"/>
        <w:gridCol w:w="1408"/>
        <w:gridCol w:w="871"/>
      </w:tblGrid>
      <w:tr>
        <w:trPr>
          <w:trHeight w:val="330" w:hRule="atLeast"/>
        </w:trPr>
        <w:tc>
          <w:tcPr>
            <w:tcW w:w="50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/>
                <w:sz w:val="18"/>
                <w:szCs w:val="18"/>
              </w:rPr>
              <w:t xml:space="preserve">Име и презиме </w:t>
            </w:r>
          </w:p>
        </w:tc>
        <w:tc>
          <w:tcPr>
            <w:tcW w:w="51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18"/>
                <w:szCs w:val="18"/>
              </w:rPr>
              <w:t>Наташа  Kрејић</w:t>
            </w:r>
          </w:p>
        </w:tc>
      </w:tr>
      <w:tr>
        <w:trPr>
          <w:trHeight w:val="285" w:hRule="atLeast"/>
        </w:trPr>
        <w:tc>
          <w:tcPr>
            <w:tcW w:w="50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/>
                <w:sz w:val="18"/>
                <w:szCs w:val="18"/>
              </w:rPr>
              <w:t>Звање</w:t>
            </w:r>
          </w:p>
        </w:tc>
        <w:tc>
          <w:tcPr>
            <w:tcW w:w="51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Редовни професор</w:t>
            </w:r>
          </w:p>
        </w:tc>
      </w:tr>
      <w:tr>
        <w:trPr>
          <w:trHeight w:val="459" w:hRule="atLeast"/>
        </w:trPr>
        <w:tc>
          <w:tcPr>
            <w:tcW w:w="50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/>
                <w:sz w:val="18"/>
                <w:szCs w:val="18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1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/>
              <w:ind w:right="629" w:hanging="2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Природно-математички факултет, Нови Сад, од 1990</w:t>
            </w:r>
          </w:p>
        </w:tc>
      </w:tr>
      <w:tr>
        <w:trPr>
          <w:trHeight w:val="345" w:hRule="atLeast"/>
        </w:trPr>
        <w:tc>
          <w:tcPr>
            <w:tcW w:w="50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/>
                <w:sz w:val="18"/>
                <w:szCs w:val="18"/>
              </w:rPr>
              <w:t>Ужа научна односно уметничка област</w:t>
            </w:r>
          </w:p>
        </w:tc>
        <w:tc>
          <w:tcPr>
            <w:tcW w:w="51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Нумеричка математика</w:t>
            </w:r>
          </w:p>
        </w:tc>
      </w:tr>
      <w:tr>
        <w:trPr>
          <w:trHeight w:val="285" w:hRule="atLeast"/>
        </w:trPr>
        <w:tc>
          <w:tcPr>
            <w:tcW w:w="1022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/>
                <w:sz w:val="18"/>
                <w:szCs w:val="18"/>
              </w:rPr>
              <w:t>Академска каријера</w:t>
            </w:r>
          </w:p>
        </w:tc>
      </w:tr>
      <w:tr>
        <w:trPr>
          <w:trHeight w:val="427" w:hRule="atLeast"/>
        </w:trPr>
        <w:tc>
          <w:tcPr>
            <w:tcW w:w="29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 xml:space="preserve">Година </w:t>
            </w:r>
          </w:p>
        </w:tc>
        <w:tc>
          <w:tcPr>
            <w:tcW w:w="20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 xml:space="preserve">Институција </w:t>
            </w:r>
          </w:p>
        </w:tc>
        <w:tc>
          <w:tcPr>
            <w:tcW w:w="19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 xml:space="preserve">Научна или уметничка област </w:t>
            </w:r>
          </w:p>
        </w:tc>
        <w:tc>
          <w:tcPr>
            <w:tcW w:w="2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Ужа научна, уметничка или стручна област</w:t>
            </w:r>
          </w:p>
        </w:tc>
      </w:tr>
      <w:tr>
        <w:trPr>
          <w:trHeight w:val="390" w:hRule="atLeast"/>
        </w:trPr>
        <w:tc>
          <w:tcPr>
            <w:tcW w:w="29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Избор у звање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2004</w:t>
            </w:r>
          </w:p>
        </w:tc>
        <w:tc>
          <w:tcPr>
            <w:tcW w:w="20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ПМФ Нови Сад</w:t>
            </w:r>
          </w:p>
        </w:tc>
        <w:tc>
          <w:tcPr>
            <w:tcW w:w="19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Математика</w:t>
            </w:r>
          </w:p>
        </w:tc>
        <w:tc>
          <w:tcPr>
            <w:tcW w:w="2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Нумеричка математика</w:t>
            </w:r>
          </w:p>
        </w:tc>
      </w:tr>
      <w:tr>
        <w:trPr>
          <w:trHeight w:val="315" w:hRule="atLeast"/>
        </w:trPr>
        <w:tc>
          <w:tcPr>
            <w:tcW w:w="29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Докторат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1994</w:t>
            </w:r>
          </w:p>
        </w:tc>
        <w:tc>
          <w:tcPr>
            <w:tcW w:w="20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ПМФ Нови Сад</w:t>
            </w:r>
          </w:p>
        </w:tc>
        <w:tc>
          <w:tcPr>
            <w:tcW w:w="19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Математика</w:t>
            </w:r>
          </w:p>
        </w:tc>
        <w:tc>
          <w:tcPr>
            <w:tcW w:w="2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Нумеричка математика</w:t>
            </w:r>
          </w:p>
        </w:tc>
      </w:tr>
      <w:tr>
        <w:trPr>
          <w:trHeight w:val="225" w:hRule="atLeast"/>
        </w:trPr>
        <w:tc>
          <w:tcPr>
            <w:tcW w:w="29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Магистратура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1992</w:t>
            </w:r>
          </w:p>
        </w:tc>
        <w:tc>
          <w:tcPr>
            <w:tcW w:w="20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ПМФ Нови Сад</w:t>
            </w:r>
          </w:p>
        </w:tc>
        <w:tc>
          <w:tcPr>
            <w:tcW w:w="19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Математика</w:t>
            </w:r>
          </w:p>
        </w:tc>
        <w:tc>
          <w:tcPr>
            <w:tcW w:w="2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Нумеричка математика</w:t>
            </w:r>
          </w:p>
        </w:tc>
      </w:tr>
      <w:tr>
        <w:trPr>
          <w:trHeight w:val="285" w:hRule="atLeast"/>
        </w:trPr>
        <w:tc>
          <w:tcPr>
            <w:tcW w:w="29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Диплома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1989</w:t>
            </w:r>
          </w:p>
        </w:tc>
        <w:tc>
          <w:tcPr>
            <w:tcW w:w="20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ПМФ Нови Сад</w:t>
            </w:r>
          </w:p>
        </w:tc>
        <w:tc>
          <w:tcPr>
            <w:tcW w:w="19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Математика</w:t>
            </w:r>
          </w:p>
        </w:tc>
        <w:tc>
          <w:tcPr>
            <w:tcW w:w="22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Математика</w:t>
            </w:r>
          </w:p>
        </w:tc>
      </w:tr>
      <w:tr>
        <w:trPr>
          <w:trHeight w:val="427" w:hRule="atLeast"/>
        </w:trPr>
        <w:tc>
          <w:tcPr>
            <w:tcW w:w="1022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b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/>
                <w:sz w:val="18"/>
                <w:szCs w:val="18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>
        <w:trPr>
          <w:trHeight w:val="593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Р.Б.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Ознака предмета</w:t>
            </w:r>
          </w:p>
        </w:tc>
        <w:tc>
          <w:tcPr>
            <w:tcW w:w="31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 xml:space="preserve">Назив предмета     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Вид наставе</w:t>
            </w:r>
          </w:p>
        </w:tc>
        <w:tc>
          <w:tcPr>
            <w:tcW w:w="2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 xml:space="preserve">Назив студијског програма 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 xml:space="preserve">Врста студија </w:t>
            </w:r>
          </w:p>
        </w:tc>
      </w:tr>
      <w:tr>
        <w:trPr>
          <w:trHeight w:val="270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МБ02</w:t>
            </w:r>
          </w:p>
        </w:tc>
        <w:tc>
          <w:tcPr>
            <w:tcW w:w="31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Нумеричка анализа 2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2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МБ, МА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МАС</w:t>
            </w:r>
          </w:p>
        </w:tc>
      </w:tr>
      <w:tr>
        <w:trPr>
          <w:trHeight w:val="263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МБ11</w:t>
            </w:r>
          </w:p>
        </w:tc>
        <w:tc>
          <w:tcPr>
            <w:tcW w:w="31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Финансијска математика 2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2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МАС</w:t>
            </w:r>
          </w:p>
        </w:tc>
      </w:tr>
      <w:tr>
        <w:trPr>
          <w:trHeight w:val="270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МДС04</w:t>
            </w:r>
          </w:p>
        </w:tc>
        <w:tc>
          <w:tcPr>
            <w:tcW w:w="31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ind w:left="2" w:hanging="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Основи нумеричке оптимизације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2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МДС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МАС</w:t>
            </w:r>
          </w:p>
        </w:tc>
      </w:tr>
      <w:tr>
        <w:trPr>
          <w:trHeight w:val="263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MW0106</w:t>
            </w:r>
          </w:p>
        </w:tc>
        <w:tc>
          <w:tcPr>
            <w:tcW w:w="31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ind w:left="2" w:hanging="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18"/>
                <w:szCs w:val="18"/>
              </w:rPr>
              <w:t>Нумеричка линеарна алгебра 2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2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Вештачка интелигенција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МАС</w:t>
            </w:r>
          </w:p>
        </w:tc>
      </w:tr>
      <w:tr>
        <w:trPr>
          <w:trHeight w:val="242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/>
                <w:sz w:val="18"/>
                <w:szCs w:val="18"/>
              </w:rPr>
            </w:pPr>
            <w:r>
              <w:rPr>
                <w:rFonts w:eastAsia="Times New Roman"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MW0003</w:t>
            </w:r>
          </w:p>
        </w:tc>
        <w:tc>
          <w:tcPr>
            <w:tcW w:w="31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/>
              <w:ind w:left="2" w:hanging="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18"/>
                <w:szCs w:val="18"/>
              </w:rPr>
              <w:t>Основе нумеричке оптимизације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2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Вештачка интелигенција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МАС</w:t>
            </w:r>
          </w:p>
        </w:tc>
      </w:tr>
      <w:tr>
        <w:trPr>
          <w:trHeight w:val="235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MW0006</w:t>
            </w:r>
          </w:p>
        </w:tc>
        <w:tc>
          <w:tcPr>
            <w:tcW w:w="31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ind w:left="2" w:hanging="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18"/>
                <w:szCs w:val="18"/>
              </w:rPr>
              <w:t>Мастер рад - истраживање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2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Вештачка интелигенција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МАС</w:t>
            </w:r>
          </w:p>
        </w:tc>
      </w:tr>
      <w:tr>
        <w:trPr>
          <w:trHeight w:val="228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MW0007</w:t>
            </w:r>
          </w:p>
        </w:tc>
        <w:tc>
          <w:tcPr>
            <w:tcW w:w="31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ind w:left="2" w:hanging="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18"/>
                <w:szCs w:val="18"/>
              </w:rPr>
              <w:t>Мастер рад – израда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2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Вештачка интелигенција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МАС</w:t>
            </w:r>
          </w:p>
        </w:tc>
      </w:tr>
      <w:tr>
        <w:trPr>
          <w:trHeight w:val="311" w:hRule="atLeast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MW0011</w:t>
            </w:r>
          </w:p>
        </w:tc>
        <w:tc>
          <w:tcPr>
            <w:tcW w:w="31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/>
              <w:ind w:left="2" w:hanging="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18"/>
                <w:szCs w:val="18"/>
              </w:rPr>
              <w:t>Стручна пракса</w:t>
            </w:r>
          </w:p>
        </w:tc>
        <w:tc>
          <w:tcPr>
            <w:tcW w:w="14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2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Вештачка интелигенција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sz w:val="18"/>
                <w:szCs w:val="18"/>
              </w:rPr>
              <w:t>МАС</w:t>
            </w:r>
          </w:p>
        </w:tc>
      </w:tr>
      <w:tr>
        <w:trPr>
          <w:trHeight w:val="427" w:hRule="atLeast"/>
        </w:trPr>
        <w:tc>
          <w:tcPr>
            <w:tcW w:w="1022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>
        <w:trPr>
          <w:trHeight w:val="427" w:hRule="atLeast"/>
        </w:trPr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87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TextBody"/>
              <w:widowControl w:val="false"/>
              <w:tabs>
                <w:tab w:val="clear" w:pos="720"/>
                <w:tab w:val="left" w:pos="0" w:leader="none"/>
              </w:tabs>
              <w:spacing w:lineRule="auto" w:line="240" w:before="0" w:after="14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eastAsia="Times New Roman" w:cs="Times New Roman" w:ascii="Times New Roman;serif" w:hAnsi="Times New Roman;serif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</w:rPr>
              <w:t>Jakovetić, D., Krejić, N., Krklec Jerinkić, N., EFIX: Exact Fixed Point Methods for Distributed Optimization,</w:t>
            </w:r>
            <w:r>
              <w:rPr>
                <w:rFonts w:eastAsia="Times New Roman" w:cs="Times New Roman" w:ascii="webkit-standard" w:hAnsi="webkit-standard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</w:rPr>
              <w:t> </w:t>
            </w:r>
            <w:r>
              <w:rPr>
                <w:rFonts w:eastAsia="Times New Roman" w:cs="Times New Roman" w:ascii="Times New Roman;serif" w:hAnsi="Times New Roman;serif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</w:rPr>
              <w:t>Journal of Global Optimization, 202</w:t>
            </w:r>
            <w:r>
              <w:rPr>
                <w:rFonts w:eastAsia="Times New Roman" w:cs="Times New Roman" w:ascii="Times New Roman;serif" w:hAnsi="Times New Roman;serif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</w:rPr>
              <w:t>2. M21, https://doi.org/10.1007/s10898-022-01221-4</w:t>
            </w:r>
          </w:p>
        </w:tc>
      </w:tr>
      <w:tr>
        <w:trPr>
          <w:trHeight w:val="473" w:hRule="atLeast"/>
        </w:trPr>
        <w:tc>
          <w:tcPr>
            <w:tcW w:w="145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8770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TextBody"/>
              <w:widowControl w:val="false"/>
              <w:spacing w:before="0" w:after="140"/>
              <w:rPr>
                <w:rFonts w:ascii="Times New Roman;serif" w:hAnsi="Times New Roman;serif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</w:rPr>
              <w:t>Savić, M., Atanasijević, J., Jakovetić, D., Krejić, N., Tax Evasion Risk Management Using a Hybrid Unsupervised Outlier Detection Method, EXPERT SYSTEMS WITH APPLICATIONS, (2022), vol. 193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</w:rPr>
              <w:t xml:space="preserve">, M21a, 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18"/>
                <w:szCs w:val="18"/>
                <w:u w:val="none"/>
                <w:effect w:val="none"/>
                <w:shd w:fill="auto" w:val="clear"/>
              </w:rPr>
              <w:t>https://doi.org/10.1016/j.eswa.2021.116409</w:t>
            </w:r>
          </w:p>
        </w:tc>
      </w:tr>
      <w:tr>
        <w:trPr>
          <w:trHeight w:val="427" w:hRule="atLeast"/>
        </w:trPr>
        <w:tc>
          <w:tcPr>
            <w:tcW w:w="145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8770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/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Jakovetić, D., Krejić, N., Krklec Jerinkić, N.,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Malaspina, G., Micheletti, A., Distributed fixed point method for solving systems of linear algebraic equations, AUTOMATICA,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M21, </w:t>
            </w:r>
            <w:r>
              <w:rPr>
                <w:rFonts w:ascii="Times New Roman" w:hAnsi="Times New Roman"/>
                <w:sz w:val="18"/>
                <w:szCs w:val="18"/>
              </w:rPr>
              <w:t>vol. 134, (2021)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NexusSans;Arial;Helvetica;Lucida Sans Unicode;Microsoft Sans Serif;Segoe UI Symbol;STIXGeneral;Cambria Math;Arial Unicode MS;sans-serif" w:hAnsi="NexusSans;Arial;Helvetica;Lucida Sans Unicode;Microsoft Sans Serif;Segoe UI Symbol;STIXGeneral;Cambria Math;Arial Unicode M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16"/>
                <w:u w:val="none"/>
                <w:effect w:val="none"/>
                <w:shd w:fill="auto" w:val="clear"/>
              </w:rPr>
              <w:t>https://doi.org/10.1016/j.automatica.2021.109924</w:t>
            </w:r>
          </w:p>
        </w:tc>
      </w:tr>
      <w:tr>
        <w:trPr>
          <w:trHeight w:val="473" w:hRule="atLeast"/>
        </w:trPr>
        <w:tc>
          <w:tcPr>
            <w:tcW w:w="145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8770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TextBody"/>
              <w:widowControl w:val="false"/>
              <w:spacing w:before="0" w:after="140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</w:rPr>
              <w:t>Birgin, E.G., Kreji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  <w:lang w:val="hr-HR"/>
              </w:rPr>
              <w:t>ć, N.,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</w:rPr>
              <w:t>Mart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  <w:lang w:val="en-AU"/>
              </w:rPr>
              <w:t>ínez, J.M.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  <w:lang w:val="hr-HR"/>
              </w:rPr>
              <w:t>,Iteration and evaluation complexity on the minimization of functions whose computation is intrinsically inexact,Mathematics of Computation 89 (2020), 253-278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  <w:lang w:val="hr-HR"/>
              </w:rPr>
              <w:t>,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  <w:lang w:val="hr-HR"/>
              </w:rPr>
              <w:t xml:space="preserve"> M21</w:t>
            </w:r>
            <w:r>
              <w:rPr>
                <w:rFonts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  <w:lang w:val="hr-HR"/>
              </w:rPr>
              <w:t xml:space="preserve"> </w:t>
            </w:r>
            <w:r>
              <w:rPr>
                <w:rFonts w:ascii="Open Sans;sans-serif" w:hAnsi="Open Sans;sans-serif"/>
                <w:b w:val="false"/>
                <w:i w:val="false"/>
                <w:caps w:val="false"/>
                <w:smallCaps w:val="false"/>
                <w:color w:val="000000"/>
                <w:spacing w:val="0"/>
                <w:sz w:val="16"/>
                <w:lang w:val="hr-HR"/>
              </w:rPr>
              <w:t>https://doi.org/10.1090/mcom/3445</w:t>
            </w:r>
          </w:p>
        </w:tc>
      </w:tr>
      <w:tr>
        <w:trPr>
          <w:trHeight w:val="427" w:hRule="atLeast"/>
        </w:trPr>
        <w:tc>
          <w:tcPr>
            <w:tcW w:w="145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8770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TextBody"/>
              <w:widowControl w:val="false"/>
              <w:tabs>
                <w:tab w:val="clear" w:pos="720"/>
                <w:tab w:val="left" w:pos="0" w:leader="none"/>
              </w:tabs>
              <w:spacing w:lineRule="auto" w:line="240" w:before="0" w:after="140"/>
              <w:rPr>
                <w:rFonts w:eastAsia="Times New Roman" w:cs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</w:rPr>
              <w:t>Bellavia, S., Krejić, N., Morini, B.,Inexact restoration with subsampled trust-region methods for finite-sum minimization, Computational Optimization and Applications 76(3), (2020), 701-736,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</w:rPr>
              <w:t>M21,</w:t>
            </w:r>
            <w:r>
              <w:rPr>
                <w:rFonts w:eastAsia="Times New Roman" w:cs="Times New Roman" w:ascii="Times New Roman" w:hAnsi="Times New Roman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 w:ascii="apple-system;BlinkMacSystemFont;Segoe UI;Roboto;Oxygen-Sans;Ubuntu;Cantarell;Helvetica Neue;sans-serif" w:hAnsi="apple-system;BlinkMacSystemFont;Segoe UI;Roboto;Oxygen-Sans;Ubuntu;Cantarell;Helvetica Neue;sans-serif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</w:rPr>
              <w:t>https://doi.org/10.1007/s10589-020-00196-w</w:t>
            </w:r>
          </w:p>
        </w:tc>
      </w:tr>
      <w:tr>
        <w:trPr>
          <w:trHeight w:val="427" w:hRule="atLeast"/>
        </w:trPr>
        <w:tc>
          <w:tcPr>
            <w:tcW w:w="145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8770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0" w:leader="none"/>
              </w:tabs>
              <w:spacing w:lineRule="auto" w:line="24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  <w:t>Bellavia, S.,Krejić, N., Krklec Jerinkić, N., Subsampled Inexact Newton Methods for minimizing large sums of convex functions,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  <w:t xml:space="preserve"> M21,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  <w:t>IMA J. Numer. Anal. 40,4 (2020), 2309-2341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  <w:t>,</w:t>
            </w:r>
            <w:r>
              <w:rPr>
                <w:rFonts w:ascii="Roboto;Helvetica Neue;Arial;sans-serif" w:hAnsi="Roboto;Helvetica Neue;Arial;sans-serif"/>
                <w:b w:val="false"/>
                <w:i w:val="false"/>
                <w:caps w:val="false"/>
                <w:smallCaps w:val="false"/>
                <w:color w:val="000000"/>
                <w:spacing w:val="0"/>
                <w:sz w:val="14"/>
              </w:rPr>
              <w:t>DOI:</w:t>
            </w:r>
            <w:hyperlink r:id="rId2">
              <w:r>
                <w:rPr>
                  <w:rStyle w:val="InternetLink"/>
                  <w:rFonts w:ascii="Roboto;Helvetica Neue;Arial;sans-serif" w:hAnsi="Roboto;Helvetica Neue;Arial;sans-serif"/>
                  <w:b w:val="false"/>
                  <w:i w:val="false"/>
                  <w:caps w:val="false"/>
                  <w:smallCaps w:val="false"/>
                  <w:strike w:val="false"/>
                  <w:dstrike w:val="false"/>
                  <w:color w:val="000000"/>
                  <w:spacing w:val="0"/>
                  <w:sz w:val="14"/>
                  <w:u w:val="none"/>
                  <w:effect w:val="none"/>
                  <w:shd w:fill="auto" w:val="clear"/>
                </w:rPr>
                <w:t>10.1093/IMANUM/DRZ027</w:t>
              </w:r>
            </w:hyperlink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>
        <w:trPr>
          <w:trHeight w:val="427" w:hRule="atLeast"/>
        </w:trPr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87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0" w:leader="none"/>
              </w:tabs>
              <w:spacing w:lineRule="auto" w:line="288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  <w:t>Krejić, N., Krklec Jerinkić, N., Spectral Projected Gradient Method for Stochastic Optimization,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i/>
                <w:color w:val="000000"/>
                <w:sz w:val="18"/>
                <w:szCs w:val="18"/>
              </w:rPr>
              <w:t xml:space="preserve">Journal of Global Optimization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  <w:t>73,1 (2019), 59-81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  <w:t xml:space="preserve">M21, </w:t>
            </w:r>
            <w:r>
              <w:rPr>
                <w:rFonts w:ascii="apple-system;BlinkMacSystemFont;Segoe UI;Roboto;Oxygen-Sans;Ubuntu;Cantarell;Helvetica Neue;sans-serif" w:hAnsi="apple-system;BlinkMacSystemFont;Segoe UI;Roboto;Oxygen-Sans;Ubuntu;Cantarell;Helvetica Neue;sans-serif"/>
                <w:b w:val="false"/>
                <w:i w:val="false"/>
                <w:caps w:val="false"/>
                <w:smallCaps w:val="false"/>
                <w:color w:val="000000"/>
                <w:spacing w:val="0"/>
                <w:sz w:val="18"/>
              </w:rPr>
              <w:t>https://doi.org/10.1007/s10898-018-0682-6</w:t>
            </w:r>
          </w:p>
        </w:tc>
      </w:tr>
      <w:tr>
        <w:trPr>
          <w:trHeight w:val="427" w:hRule="atLeast"/>
        </w:trPr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87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0" w:leader="none"/>
              </w:tabs>
              <w:spacing w:lineRule="auto" w:line="240"/>
              <w:rPr>
                <w:rFonts w:ascii="Times New Roman" w:hAnsi="Times New Roman" w:eastAsia="Times New Roman" w:cs="Times New Roman"/>
                <w:color w:val="000000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 xml:space="preserve">Bajović, D., Jakovetić, D., Krejić, N., Krklec Jerinkić, N., Newton-like method with diagonal correction for distributed optimization, SIAM J. Optimization,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  <w:t>Vol. 27 No.2 (2017), 1171-1203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color w:val="000000"/>
                <w:sz w:val="18"/>
                <w:szCs w:val="18"/>
              </w:rPr>
              <w:t xml:space="preserve">M21a, </w:t>
            </w:r>
            <w:r>
              <w:rPr>
                <w:rFonts w:ascii="PT Sans;sans-serif" w:hAnsi="PT Sans;sans-serif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spacing w:val="0"/>
                <w:sz w:val="16"/>
                <w:u w:val="none"/>
                <w:effect w:val="none"/>
                <w:shd w:fill="auto" w:val="clear"/>
              </w:rPr>
              <w:t>https://doi.org/10.1137/15M1038049</w:t>
            </w:r>
          </w:p>
        </w:tc>
      </w:tr>
      <w:tr>
        <w:trPr>
          <w:trHeight w:val="427" w:hRule="atLeast"/>
        </w:trPr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87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0" w:leader="none"/>
              </w:tabs>
              <w:spacing w:lineRule="auto" w:line="288"/>
              <w:rPr>
                <w:rFonts w:ascii="Times New Roman" w:hAnsi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Krejić, N., Martinez, J.M., Inexact Restoration approach for minimization with inexact evaluation of the objective function, Mathematics of Computations, 85, 300 (2016), 1775-1791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 xml:space="preserve">, 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 xml:space="preserve">M21, </w:t>
            </w:r>
            <w:r>
              <w:rPr>
                <w:rFonts w:ascii="CMTT8" w:hAnsi="CMTT8"/>
                <w:sz w:val="18"/>
                <w:szCs w:val="18"/>
              </w:rPr>
              <w:t>http://dx.doi.org/10.1090/mcom/3025</w:t>
            </w:r>
          </w:p>
        </w:tc>
      </w:tr>
      <w:tr>
        <w:trPr>
          <w:trHeight w:val="427" w:hRule="atLeast"/>
        </w:trPr>
        <w:tc>
          <w:tcPr>
            <w:tcW w:w="14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</w:r>
          </w:p>
        </w:tc>
        <w:tc>
          <w:tcPr>
            <w:tcW w:w="87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0" w:leader="none"/>
              </w:tabs>
              <w:spacing w:lineRule="auto" w:line="240"/>
              <w:rPr>
                <w:rFonts w:ascii="Times New Roman" w:hAnsi="Times New Roman"/>
                <w:sz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Kumaresan, M., Krejić, N., Optimal Trading of Algorithmic Orders in a Liquidity Fragmented Market Place, Annals of Operations Research 229 (2015), 521-540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,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 xml:space="preserve"> M22, </w:t>
            </w:r>
            <w:r>
              <w:rPr>
                <w:rFonts w:ascii="Asap;sans-serif" w:hAnsi="Asap;sans-serif"/>
                <w:b w:val="false"/>
                <w:i w:val="false"/>
                <w:caps w:val="false"/>
                <w:smallCaps w:val="false"/>
                <w:color w:val="333333"/>
                <w:spacing w:val="0"/>
                <w:sz w:val="18"/>
              </w:rPr>
              <w:t>DOI: 10.1007/s10479-015-1815-7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 xml:space="preserve"> </w:t>
            </w:r>
          </w:p>
        </w:tc>
      </w:tr>
      <w:tr>
        <w:trPr>
          <w:trHeight w:val="427" w:hRule="atLeast"/>
        </w:trPr>
        <w:tc>
          <w:tcPr>
            <w:tcW w:w="1022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b/>
                <w:b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trHeight w:val="285" w:hRule="atLeast"/>
        </w:trPr>
        <w:tc>
          <w:tcPr>
            <w:tcW w:w="47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Укупан број цитата</w:t>
            </w:r>
          </w:p>
        </w:tc>
        <w:tc>
          <w:tcPr>
            <w:tcW w:w="5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403</w:t>
            </w:r>
          </w:p>
        </w:tc>
      </w:tr>
      <w:tr>
        <w:trPr>
          <w:trHeight w:val="62" w:hRule="atLeast"/>
        </w:trPr>
        <w:tc>
          <w:tcPr>
            <w:tcW w:w="47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Укупан број радова са SCI (SSCI) листе</w:t>
            </w:r>
          </w:p>
        </w:tc>
        <w:tc>
          <w:tcPr>
            <w:tcW w:w="54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56</w:t>
            </w:r>
          </w:p>
        </w:tc>
      </w:tr>
      <w:tr>
        <w:trPr>
          <w:trHeight w:val="278" w:hRule="atLeast"/>
        </w:trPr>
        <w:tc>
          <w:tcPr>
            <w:tcW w:w="47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Тренутно учешће на пројектима</w:t>
            </w:r>
          </w:p>
        </w:tc>
        <w:tc>
          <w:tcPr>
            <w:tcW w:w="16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 xml:space="preserve">Домаћи 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7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 xml:space="preserve">Међународни 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4</w:t>
            </w:r>
          </w:p>
        </w:tc>
      </w:tr>
      <w:tr>
        <w:trPr>
          <w:trHeight w:val="180" w:hRule="atLeast"/>
        </w:trPr>
        <w:tc>
          <w:tcPr>
            <w:tcW w:w="28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 xml:space="preserve">Усавршавања </w:t>
            </w:r>
          </w:p>
        </w:tc>
        <w:tc>
          <w:tcPr>
            <w:tcW w:w="74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</w:r>
          </w:p>
        </w:tc>
      </w:tr>
      <w:tr>
        <w:trPr>
          <w:trHeight w:val="427" w:hRule="atLeast"/>
        </w:trPr>
        <w:tc>
          <w:tcPr>
            <w:tcW w:w="10223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Други подаци које сматрате релевантним Члан Матичног одбора за математику, механику и рачунарске науке 2010- , Председник Европског конзорцијума за математику у индустрији 20</w:t>
            </w:r>
            <w:r>
              <w:rPr>
                <w:rFonts w:eastAsia="Times New Roman" w:cs="Times New Roman" w:ascii="Times New Roman" w:hAnsi="Times New Roman"/>
                <w:sz w:val="18"/>
                <w:szCs w:val="18"/>
              </w:rPr>
              <w:t>21’2023.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Times New Roman">
    <w:altName w:val="serif"/>
    <w:charset w:val="01"/>
    <w:family w:val="auto"/>
    <w:pitch w:val="default"/>
  </w:font>
  <w:font w:name="webkit-standard">
    <w:charset w:val="01"/>
    <w:family w:val="auto"/>
    <w:pitch w:val="default"/>
  </w:font>
  <w:font w:name="NexusSans">
    <w:altName w:val="Arial"/>
    <w:charset w:val="01"/>
    <w:family w:val="auto"/>
    <w:pitch w:val="default"/>
  </w:font>
  <w:font w:name="Open Sans">
    <w:altName w:val="sans-serif"/>
    <w:charset w:val="01"/>
    <w:family w:val="auto"/>
    <w:pitch w:val="default"/>
  </w:font>
  <w:font w:name="apple-system">
    <w:altName w:val="BlinkMacSystemFont"/>
    <w:charset w:val="01"/>
    <w:family w:val="auto"/>
    <w:pitch w:val="default"/>
  </w:font>
  <w:font w:name="Roboto">
    <w:altName w:val="Helvetica Neue"/>
    <w:charset w:val="01"/>
    <w:family w:val="auto"/>
    <w:pitch w:val="default"/>
  </w:font>
  <w:font w:name="PT Sans">
    <w:altName w:val="sans-serif"/>
    <w:charset w:val="01"/>
    <w:family w:val="auto"/>
    <w:pitch w:val="default"/>
  </w:font>
  <w:font w:name="CMTT8">
    <w:charset w:val="01"/>
    <w:family w:val="auto"/>
    <w:pitch w:val="default"/>
  </w:font>
  <w:font w:name="Asap">
    <w:altName w:val="sans-serif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87fb0"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umberingSymbols">
    <w:name w:val="Numbering Symbols"/>
    <w:qFormat/>
    <w:rPr/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  <w:lang w:val="zxx" w:eastAsia="zxx" w:bidi="zxx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doi.org/10.1093/IMANUM%2FDRZ027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LibreOffice/7.2.5.2$MacOSX_X86_64 LibreOffice_project/499f9727c189e6ef3471021d6132d4c694f357e5</Application>
  <AppVersion>15.0000</AppVersion>
  <Pages>2</Pages>
  <Words>498</Words>
  <Characters>3429</Characters>
  <CharactersWithSpaces>3829</CharactersWithSpaces>
  <Paragraphs>119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2022-06-22T09:55:00Z</dcterms:created>
  <dc:creator>Dragana</dc:creator>
  <dc:description/>
  <dc:language>en-GB</dc:language>
  <cp:lastModifiedBy/>
  <dcterms:modified xsi:type="dcterms:W3CDTF">2022-10-24T18:26:31Z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