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7"/>
        <w:gridCol w:w="209"/>
        <w:gridCol w:w="601"/>
        <w:gridCol w:w="470"/>
        <w:gridCol w:w="468"/>
        <w:gridCol w:w="993"/>
        <w:gridCol w:w="734"/>
        <w:gridCol w:w="259"/>
        <w:gridCol w:w="112"/>
        <w:gridCol w:w="474"/>
        <w:gridCol w:w="836"/>
        <w:gridCol w:w="197"/>
        <w:gridCol w:w="947"/>
        <w:gridCol w:w="810"/>
        <w:gridCol w:w="1525"/>
      </w:tblGrid>
      <w:tr w:rsidR="002A73AD" w14:paraId="71C210BE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2DFB85C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01" w:type="dxa"/>
            <w:gridSpan w:val="7"/>
            <w:vAlign w:val="center"/>
          </w:tcPr>
          <w:p w14:paraId="2548B7D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Дора Ђ. Селеши</w:t>
            </w:r>
          </w:p>
        </w:tc>
      </w:tr>
      <w:tr w:rsidR="002A73AD" w14:paraId="71E600DC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3D092E1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01" w:type="dxa"/>
            <w:gridSpan w:val="7"/>
            <w:vAlign w:val="center"/>
          </w:tcPr>
          <w:p w14:paraId="243A76A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A73AD" w14:paraId="563072CF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1FBBFA3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01" w:type="dxa"/>
            <w:gridSpan w:val="7"/>
            <w:vAlign w:val="center"/>
          </w:tcPr>
          <w:p w14:paraId="097B31C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 за математику и информатику, Природно-математички факултет, Универзитет у Новом Саду, 2000.</w:t>
            </w:r>
          </w:p>
        </w:tc>
      </w:tr>
      <w:tr w:rsidR="002A73AD" w14:paraId="00285362" w14:textId="77777777">
        <w:trPr>
          <w:trHeight w:val="288"/>
        </w:trPr>
        <w:tc>
          <w:tcPr>
            <w:tcW w:w="4341" w:type="dxa"/>
            <w:gridSpan w:val="8"/>
            <w:vAlign w:val="center"/>
          </w:tcPr>
          <w:p w14:paraId="1BB143C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01" w:type="dxa"/>
            <w:gridSpan w:val="7"/>
            <w:vAlign w:val="center"/>
          </w:tcPr>
          <w:p w14:paraId="7A829F5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Анализа и вероватноћа</w:t>
            </w:r>
          </w:p>
        </w:tc>
      </w:tr>
      <w:tr w:rsidR="002A73AD" w14:paraId="56BBF1E7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26138AA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A73AD" w14:paraId="22C73EE7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033C1818" w14:textId="77777777" w:rsidR="002A73AD" w:rsidRDefault="002A73AD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374F6C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292C3AF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20DFCEB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или уметничка област 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4509C49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научна, уметничка или стручна област</w:t>
            </w:r>
          </w:p>
        </w:tc>
      </w:tr>
      <w:tr w:rsidR="002A73AD" w14:paraId="14CDD12E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50C4F54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993" w:type="dxa"/>
            <w:vAlign w:val="center"/>
          </w:tcPr>
          <w:p w14:paraId="2F02FBC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2081468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1A7C597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2F81776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 w14:paraId="3A03A18A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36DE9EB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993" w:type="dxa"/>
            <w:vAlign w:val="center"/>
          </w:tcPr>
          <w:p w14:paraId="157C880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2007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657A9C4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2BCA2AA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05D43BB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 w14:paraId="77B63479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3858FE9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Специјализација</w:t>
            </w:r>
          </w:p>
        </w:tc>
        <w:tc>
          <w:tcPr>
            <w:tcW w:w="993" w:type="dxa"/>
            <w:vAlign w:val="center"/>
          </w:tcPr>
          <w:p w14:paraId="492C411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41CB20A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28B13B3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323A0A9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 w14:paraId="04F83660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2408076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993" w:type="dxa"/>
            <w:vAlign w:val="center"/>
          </w:tcPr>
          <w:p w14:paraId="6312025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2004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44F1B03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0701B5D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67AA227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Анализа и вероватноћа</w:t>
            </w:r>
          </w:p>
        </w:tc>
      </w:tr>
      <w:tr w:rsidR="002A73AD" w14:paraId="15EED8D3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414AB4E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</w:p>
        </w:tc>
        <w:tc>
          <w:tcPr>
            <w:tcW w:w="993" w:type="dxa"/>
            <w:vAlign w:val="center"/>
          </w:tcPr>
          <w:p w14:paraId="6A09D17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15B57EC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6ECD42C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5387A5C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2A73AD" w14:paraId="12306BE5" w14:textId="77777777">
        <w:trPr>
          <w:trHeight w:val="288"/>
        </w:trPr>
        <w:tc>
          <w:tcPr>
            <w:tcW w:w="2355" w:type="dxa"/>
            <w:gridSpan w:val="5"/>
            <w:vAlign w:val="center"/>
          </w:tcPr>
          <w:p w14:paraId="0700C5D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993" w:type="dxa"/>
            <w:vAlign w:val="center"/>
          </w:tcPr>
          <w:p w14:paraId="43B34D0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2000</w:t>
            </w:r>
          </w:p>
        </w:tc>
        <w:tc>
          <w:tcPr>
            <w:tcW w:w="1579" w:type="dxa"/>
            <w:gridSpan w:val="4"/>
            <w:shd w:val="clear" w:color="auto" w:fill="auto"/>
            <w:vAlign w:val="center"/>
          </w:tcPr>
          <w:p w14:paraId="509F0A0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00501AB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  <w:tc>
          <w:tcPr>
            <w:tcW w:w="2335" w:type="dxa"/>
            <w:gridSpan w:val="2"/>
            <w:shd w:val="clear" w:color="auto" w:fill="auto"/>
            <w:vAlign w:val="center"/>
          </w:tcPr>
          <w:p w14:paraId="1C1CA69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Математика</w:t>
            </w:r>
          </w:p>
        </w:tc>
      </w:tr>
      <w:tr w:rsidR="002A73AD" w14:paraId="508B57AA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66A7DB0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A73AD" w14:paraId="7D222C7F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0CAEFBB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14:paraId="2FFB3EA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1,2,3....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549E3AD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5545401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Назив предмета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5CB7E22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156CF14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F71003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Врста студија (ОСС, ССС, ОАС, МСС, МАС, САС)</w:t>
            </w:r>
          </w:p>
        </w:tc>
      </w:tr>
      <w:tr w:rsidR="002A73AD" w14:paraId="1A0F4E1D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312014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04C774B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М118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72D5FA6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Обичне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15F444C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56FEFD13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0F3FB4F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 w14:paraId="69CC88C8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5834803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71274AA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М518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0B676A2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Обичне диференцијалне једначине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1960BF6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2F9A91D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7DA391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36B93515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6A85CA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63F7B0D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П103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3047DBB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Основни принципи аналитике података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4FC5748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6514C9A4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69888DE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 w14:paraId="1D6928D6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7A362FC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0BD30A1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М517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3A37858D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Вероватноћа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7F0B409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6DBA074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М5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14B5CC3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426CDA65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6506A10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3601DD3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М135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0090C5C1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Математички мозаик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4CFF1BC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71D8C67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М, М5, 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24433C4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Times New Roman" w:eastAsia="Times New Roman" w:hAnsi="Times New Roman"/>
                <w:sz w:val="18"/>
                <w:szCs w:val="18"/>
              </w:rPr>
              <w:t>ОАС,  МАС</w:t>
            </w:r>
          </w:p>
        </w:tc>
      </w:tr>
      <w:tr w:rsidR="002A73AD" w14:paraId="74D83D34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650323A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447C1BD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MБ41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68448382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Актуарска математика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2775F6D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предавања, вежбе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738C073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5DFE037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2ABD5EC4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26B0E49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6B3E092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МА05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45F24C5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Мера и интеграл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7B67E63E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5BF8D8A6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МА, МБ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749C4985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2A73AD" w14:paraId="1FD416ED" w14:textId="77777777">
        <w:trPr>
          <w:trHeight w:val="288"/>
        </w:trPr>
        <w:tc>
          <w:tcPr>
            <w:tcW w:w="816" w:type="dxa"/>
            <w:gridSpan w:val="2"/>
            <w:shd w:val="clear" w:color="auto" w:fill="auto"/>
            <w:vAlign w:val="center"/>
          </w:tcPr>
          <w:p w14:paraId="3DE94AF6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071" w:type="dxa"/>
            <w:gridSpan w:val="2"/>
            <w:shd w:val="clear" w:color="auto" w:fill="auto"/>
            <w:vAlign w:val="center"/>
          </w:tcPr>
          <w:p w14:paraId="39ED9D54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П600</w:t>
            </w:r>
          </w:p>
        </w:tc>
        <w:tc>
          <w:tcPr>
            <w:tcW w:w="2566" w:type="dxa"/>
            <w:gridSpan w:val="5"/>
            <w:shd w:val="clear" w:color="auto" w:fill="auto"/>
            <w:vAlign w:val="center"/>
          </w:tcPr>
          <w:p w14:paraId="6BB970CF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Завршни рад-истраживање</w:t>
            </w:r>
          </w:p>
        </w:tc>
        <w:tc>
          <w:tcPr>
            <w:tcW w:w="1507" w:type="dxa"/>
            <w:gridSpan w:val="3"/>
            <w:shd w:val="clear" w:color="auto" w:fill="auto"/>
            <w:vAlign w:val="center"/>
          </w:tcPr>
          <w:p w14:paraId="4429B879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СИР</w:t>
            </w:r>
          </w:p>
        </w:tc>
        <w:tc>
          <w:tcPr>
            <w:tcW w:w="1757" w:type="dxa"/>
            <w:gridSpan w:val="2"/>
            <w:shd w:val="clear" w:color="auto" w:fill="auto"/>
            <w:vAlign w:val="center"/>
          </w:tcPr>
          <w:p w14:paraId="0F96DCCA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МАП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29A0FB44" w14:textId="77777777" w:rsidR="002A73AD" w:rsidRDefault="008C6E95">
            <w:pPr>
              <w:tabs>
                <w:tab w:val="left" w:pos="567"/>
              </w:tabs>
              <w:spacing w:after="60" w:line="254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2A73AD" w14:paraId="24934087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268056EB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017EE2" w14:paraId="6E048FE9" w14:textId="77777777">
        <w:trPr>
          <w:trHeight w:val="288"/>
        </w:trPr>
        <w:tc>
          <w:tcPr>
            <w:tcW w:w="607" w:type="dxa"/>
            <w:vAlign w:val="center"/>
          </w:tcPr>
          <w:p w14:paraId="401F35A3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085989B5" w14:textId="38190508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S. </w:t>
            </w:r>
            <w:proofErr w:type="spellStart"/>
            <w:r w:rsidRPr="00EB587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Coriasco</w:t>
            </w:r>
            <w:proofErr w:type="spellEnd"/>
            <w:r w:rsidRPr="00EB587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</w:t>
            </w:r>
            <w:proofErr w:type="spellStart"/>
            <w:proofErr w:type="gramStart"/>
            <w:r w:rsidRPr="00EB587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>S.Pilipović</w:t>
            </w:r>
            <w:proofErr w:type="spellEnd"/>
            <w:proofErr w:type="gramEnd"/>
            <w:r w:rsidRPr="00EB587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, </w:t>
            </w:r>
            <w:r w:rsidRPr="00EB587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hu-HU"/>
              </w:rPr>
              <w:t>D. Seleši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  <w:lang w:val="en-US"/>
              </w:rPr>
              <w:t xml:space="preserve">: </w:t>
            </w:r>
            <w:r w:rsidRPr="00EB5871">
              <w:rPr>
                <w:rFonts w:ascii="Times New Roman" w:eastAsia="Times New Roman" w:hAnsi="Times New Roman"/>
                <w:i/>
                <w:iCs/>
                <w:sz w:val="16"/>
                <w:szCs w:val="16"/>
                <w:lang w:val="en-US"/>
              </w:rPr>
              <w:t>Solutions of hyperbolic stochastic PDEs on bounded and unbounded domains</w:t>
            </w:r>
            <w:r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, </w:t>
            </w:r>
            <w:r w:rsidRPr="00EB5871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Journal of Fourier Analysis and Applications (2021) Vol. 27, No. 77, 42 pages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>https://doi.org/10.1007/s00041-021-09858-7</w:t>
            </w:r>
          </w:p>
        </w:tc>
      </w:tr>
      <w:tr w:rsidR="00017EE2" w14:paraId="61BF661D" w14:textId="77777777">
        <w:trPr>
          <w:trHeight w:val="288"/>
        </w:trPr>
        <w:tc>
          <w:tcPr>
            <w:tcW w:w="607" w:type="dxa"/>
            <w:vAlign w:val="center"/>
          </w:tcPr>
          <w:p w14:paraId="4011CF76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32E2DC53" w14:textId="77777777" w:rsidR="00017EE2" w:rsidRPr="008517F6" w:rsidRDefault="00017EE2" w:rsidP="00017EE2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 xml:space="preserve">T. Atanacković, M. Janev, S. Pilipović, </w:t>
            </w:r>
            <w:r w:rsidRPr="00EB58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D. Seleši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>, Viscoelasticity of fractional order: New restrictions on constitutive equations with applications. International Journal of Structural Stability and Dynamics, Vol. 20, No. 13, 2041011:1 – 20, 2020.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</w:p>
          <w:p w14:paraId="0650B86A" w14:textId="442B1C84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517F6">
              <w:rPr>
                <w:rFonts w:ascii="Times New Roman" w:eastAsia="Times New Roman" w:hAnsi="Times New Roman"/>
                <w:sz w:val="16"/>
                <w:szCs w:val="16"/>
              </w:rPr>
              <w:t>DOI: 10.1142/S0219455420410114</w:t>
            </w:r>
          </w:p>
        </w:tc>
      </w:tr>
      <w:tr w:rsidR="00017EE2" w14:paraId="693E5C3B" w14:textId="77777777">
        <w:trPr>
          <w:trHeight w:val="288"/>
        </w:trPr>
        <w:tc>
          <w:tcPr>
            <w:tcW w:w="607" w:type="dxa"/>
            <w:vAlign w:val="center"/>
          </w:tcPr>
          <w:p w14:paraId="06BD5BCD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29778537" w14:textId="44F1CEEB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 xml:space="preserve">T. Atanacković, S. Pilipović, </w:t>
            </w:r>
            <w:r w:rsidRPr="00EB5871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Cyrl-RS"/>
              </w:rPr>
              <w:t>D. Seleši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, Wave propagation dynamics in a fractional Zener model with stochastic excitation, Fractional Calculus &amp; Applied Analysis, 23(6),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Latn-RS"/>
              </w:rPr>
              <w:t xml:space="preserve">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sr-Latn-RS"/>
              </w:rPr>
              <w:t>M21a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Latn-RS"/>
              </w:rPr>
              <w:t>,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 xml:space="preserve"> 1570-1604, 2020.</w:t>
            </w:r>
            <w:r>
              <w:rPr>
                <w:rFonts w:ascii="Times New Roman" w:eastAsia="Times New Roman" w:hAnsi="Times New Roman"/>
                <w:sz w:val="16"/>
                <w:szCs w:val="16"/>
                <w:lang w:val="sr-Latn-RS"/>
              </w:rPr>
              <w:t xml:space="preserve"> </w:t>
            </w:r>
            <w:r w:rsidRPr="008517F6">
              <w:rPr>
                <w:rFonts w:ascii="Times New Roman" w:eastAsia="Times New Roman" w:hAnsi="Times New Roman"/>
                <w:sz w:val="16"/>
                <w:szCs w:val="16"/>
                <w:lang w:val="sr-Latn-RS"/>
              </w:rPr>
              <w:t>DOI: 10.1515/fca-2020-0079</w:t>
            </w:r>
          </w:p>
        </w:tc>
      </w:tr>
      <w:tr w:rsidR="00017EE2" w14:paraId="394AB5A3" w14:textId="77777777">
        <w:trPr>
          <w:trHeight w:val="288"/>
        </w:trPr>
        <w:tc>
          <w:tcPr>
            <w:tcW w:w="607" w:type="dxa"/>
            <w:vAlign w:val="center"/>
          </w:tcPr>
          <w:p w14:paraId="186527B1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7BB0661F" w14:textId="0B9BD47B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 xml:space="preserve">S. Gordić, M. Oberguggenberger, S.Pilipović, </w:t>
            </w:r>
            <w:r w:rsidRPr="00B767A3">
              <w:rPr>
                <w:rFonts w:ascii="Times New Roman" w:eastAsia="Times New Roman" w:hAnsi="Times New Roman"/>
                <w:b/>
                <w:sz w:val="16"/>
                <w:szCs w:val="16"/>
              </w:rPr>
              <w:t>D. Seleši</w:t>
            </w: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 xml:space="preserve">: </w:t>
            </w:r>
            <w:r w:rsidRPr="00B767A3">
              <w:rPr>
                <w:rFonts w:ascii="Times New Roman" w:eastAsia="Times New Roman" w:hAnsi="Times New Roman"/>
                <w:i/>
                <w:sz w:val="16"/>
                <w:szCs w:val="16"/>
              </w:rPr>
              <w:t>Point values and probabilistic properties of generalized stochastic processes in algebras of generalized functions: independence, stationarity and SPDEs</w:t>
            </w: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>, Journal of Mathematical Analysis and Applications, 475(2), 1196-1214, 2019.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8517F6">
              <w:rPr>
                <w:rFonts w:ascii="Times New Roman" w:eastAsia="Times New Roman" w:hAnsi="Times New Roman"/>
                <w:sz w:val="16"/>
                <w:szCs w:val="16"/>
              </w:rPr>
              <w:t>https://doi.org/10.1016/j.jmaa.2018.11.088</w:t>
            </w:r>
          </w:p>
        </w:tc>
      </w:tr>
      <w:tr w:rsidR="00017EE2" w14:paraId="2F91CACF" w14:textId="77777777">
        <w:trPr>
          <w:trHeight w:val="288"/>
        </w:trPr>
        <w:tc>
          <w:tcPr>
            <w:tcW w:w="607" w:type="dxa"/>
            <w:vAlign w:val="center"/>
          </w:tcPr>
          <w:p w14:paraId="02270A28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2EBD4F23" w14:textId="7433349E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 xml:space="preserve">T. Levajković, S. Pilipović, </w:t>
            </w:r>
            <w:r w:rsidRPr="00B767A3">
              <w:rPr>
                <w:rFonts w:ascii="Times New Roman" w:eastAsia="Times New Roman" w:hAnsi="Times New Roman"/>
                <w:b/>
                <w:sz w:val="16"/>
                <w:szCs w:val="16"/>
              </w:rPr>
              <w:t>D. Seleši</w:t>
            </w: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 xml:space="preserve">, M. Žigić, </w:t>
            </w:r>
            <w:r w:rsidRPr="00B767A3">
              <w:rPr>
                <w:rFonts w:ascii="Times New Roman" w:eastAsia="Times New Roman" w:hAnsi="Times New Roman"/>
                <w:i/>
                <w:sz w:val="16"/>
                <w:szCs w:val="16"/>
              </w:rPr>
              <w:t>Stochastic evolution equations with Wick-polynomial nonlinearities</w:t>
            </w: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>, Electron. J. Probab. 23(116), 25 pp., 2018.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CC7C6C">
              <w:rPr>
                <w:rFonts w:ascii="Times New Roman" w:eastAsia="Times New Roman" w:hAnsi="Times New Roman"/>
                <w:sz w:val="16"/>
                <w:szCs w:val="16"/>
              </w:rPr>
              <w:t>https://doi.org/10.1214/18-EJP241</w:t>
            </w:r>
          </w:p>
        </w:tc>
      </w:tr>
      <w:tr w:rsidR="00017EE2" w14:paraId="2E1A37F4" w14:textId="77777777">
        <w:trPr>
          <w:trHeight w:val="288"/>
        </w:trPr>
        <w:tc>
          <w:tcPr>
            <w:tcW w:w="607" w:type="dxa"/>
            <w:vAlign w:val="center"/>
          </w:tcPr>
          <w:p w14:paraId="022CB31B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07DFC1CB" w14:textId="6B768B9B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 xml:space="preserve">B. Krivokapić, Z. Blagojević, </w:t>
            </w:r>
            <w:r w:rsidRPr="00B767A3">
              <w:rPr>
                <w:rFonts w:ascii="Times New Roman" w:eastAsia="Times New Roman" w:hAnsi="Times New Roman"/>
                <w:b/>
                <w:sz w:val="16"/>
                <w:szCs w:val="16"/>
              </w:rPr>
              <w:t>D. Seleši</w:t>
            </w: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 xml:space="preserve">, T. Atanacković, S. Pilipović, Z. Baščarević,  V. Stevanović, </w:t>
            </w:r>
            <w:r w:rsidRPr="00B767A3">
              <w:rPr>
                <w:rFonts w:ascii="Times New Roman" w:eastAsia="Times New Roman" w:hAnsi="Times New Roman"/>
                <w:i/>
                <w:sz w:val="16"/>
                <w:szCs w:val="16"/>
              </w:rPr>
              <w:t>A Method for Prediction of Femoral Component of Hip Prosthesis Durability due to Aseptic Loosening by Using Coffin/Manson Fatigue Model</w:t>
            </w:r>
            <w:r w:rsidRPr="00B767A3">
              <w:rPr>
                <w:rFonts w:ascii="Times New Roman" w:eastAsia="Times New Roman" w:hAnsi="Times New Roman"/>
                <w:sz w:val="16"/>
                <w:szCs w:val="16"/>
              </w:rPr>
              <w:t>, BioMed Research International, Vol. 2018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CC7C6C">
              <w:rPr>
                <w:rFonts w:ascii="Times New Roman" w:eastAsia="Times New Roman" w:hAnsi="Times New Roman"/>
                <w:sz w:val="16"/>
                <w:szCs w:val="16"/>
              </w:rPr>
              <w:t>https://doi.org/10.1155/2018/9263134</w:t>
            </w:r>
          </w:p>
        </w:tc>
      </w:tr>
      <w:tr w:rsidR="00017EE2" w14:paraId="7F62A04C" w14:textId="77777777">
        <w:trPr>
          <w:trHeight w:val="288"/>
        </w:trPr>
        <w:tc>
          <w:tcPr>
            <w:tcW w:w="607" w:type="dxa"/>
            <w:vAlign w:val="center"/>
          </w:tcPr>
          <w:p w14:paraId="3EE166BF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682F732E" w14:textId="3DD69D0A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 xml:space="preserve">S. Gordić, M. Oberguggenberger, S.Pilipović, </w:t>
            </w:r>
            <w:r w:rsidRPr="00EB58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D. Seleši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>: Probabilistic properties of generalized stochastic processes in algebras of generalized functions, Monatshefte für Mathematik 186 (4), 609-633, 2018.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CC7C6C">
              <w:rPr>
                <w:rFonts w:ascii="Times New Roman" w:eastAsia="Times New Roman" w:hAnsi="Times New Roman"/>
                <w:sz w:val="16"/>
                <w:szCs w:val="16"/>
              </w:rPr>
              <w:t>DOI 10.1007/s00605-017-1109-z</w:t>
            </w:r>
          </w:p>
        </w:tc>
      </w:tr>
      <w:tr w:rsidR="00017EE2" w14:paraId="1415B79E" w14:textId="77777777">
        <w:trPr>
          <w:trHeight w:val="288"/>
        </w:trPr>
        <w:tc>
          <w:tcPr>
            <w:tcW w:w="607" w:type="dxa"/>
            <w:vAlign w:val="center"/>
          </w:tcPr>
          <w:p w14:paraId="05AC75BB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442D2C9F" w14:textId="6D53597A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 xml:space="preserve">T. Levajković, S. Pilipović, </w:t>
            </w:r>
            <w:r w:rsidRPr="00EB58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D. Seleši,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 xml:space="preserve"> M. Žigić, Stochastic evolution equations with multiplicative noise, Electron. J. Probab. 20(19), 23 pp., 2015.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CC7C6C">
              <w:rPr>
                <w:rFonts w:ascii="Times New Roman" w:eastAsia="Times New Roman" w:hAnsi="Times New Roman"/>
                <w:sz w:val="16"/>
                <w:szCs w:val="16"/>
              </w:rPr>
              <w:t>DOI: 10.1214/EJP.v20-3696</w:t>
            </w:r>
          </w:p>
        </w:tc>
      </w:tr>
      <w:tr w:rsidR="00017EE2" w14:paraId="11C67187" w14:textId="77777777">
        <w:trPr>
          <w:trHeight w:val="288"/>
        </w:trPr>
        <w:tc>
          <w:tcPr>
            <w:tcW w:w="607" w:type="dxa"/>
            <w:vAlign w:val="center"/>
          </w:tcPr>
          <w:p w14:paraId="2031D26F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3262C258" w14:textId="319C9D26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>D. Rajter-Ćirić, D. Seleši, Nonlinear Stochastic Differential Equations Containing Generalized Delta Processes, Monatshefte für Mathematik 168, (2012), 75-112.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CC7C6C">
              <w:rPr>
                <w:rFonts w:ascii="Times New Roman" w:eastAsia="Times New Roman" w:hAnsi="Times New Roman"/>
                <w:sz w:val="16"/>
                <w:szCs w:val="16"/>
              </w:rPr>
              <w:t>DOI 10.1007/s00605-011-0356-7</w:t>
            </w:r>
          </w:p>
        </w:tc>
      </w:tr>
      <w:tr w:rsidR="00017EE2" w14:paraId="78E8152A" w14:textId="77777777">
        <w:trPr>
          <w:trHeight w:val="288"/>
        </w:trPr>
        <w:tc>
          <w:tcPr>
            <w:tcW w:w="607" w:type="dxa"/>
            <w:vAlign w:val="center"/>
          </w:tcPr>
          <w:p w14:paraId="04FE0D6E" w14:textId="77777777" w:rsidR="00017EE2" w:rsidRDefault="00017EE2" w:rsidP="00017EE2">
            <w:pPr>
              <w:numPr>
                <w:ilvl w:val="0"/>
                <w:numId w:val="2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635" w:type="dxa"/>
            <w:gridSpan w:val="14"/>
            <w:shd w:val="clear" w:color="auto" w:fill="auto"/>
            <w:vAlign w:val="center"/>
          </w:tcPr>
          <w:p w14:paraId="2155F015" w14:textId="60459025" w:rsidR="00017EE2" w:rsidRDefault="00017EE2" w:rsidP="00017EE2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 xml:space="preserve">S. Lototsky, B. Rozovskii, </w:t>
            </w:r>
            <w:r w:rsidRPr="00EB5871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D. Seleši</w:t>
            </w:r>
            <w:r w:rsidRPr="00EB5871">
              <w:rPr>
                <w:rFonts w:ascii="Times New Roman" w:eastAsia="Times New Roman" w:hAnsi="Times New Roman"/>
                <w:sz w:val="16"/>
                <w:szCs w:val="16"/>
              </w:rPr>
              <w:t>, On Generalized Malliavin Calculus, Stochastic Processes and Their Applications 122(3), (2012), 808-843.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5642E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M22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Pr="00CC7C6C">
              <w:rPr>
                <w:rFonts w:ascii="Times New Roman" w:eastAsia="Times New Roman" w:hAnsi="Times New Roman"/>
                <w:sz w:val="16"/>
                <w:szCs w:val="16"/>
              </w:rPr>
              <w:t>doi:10.1016/j.spa.2011.11.003</w:t>
            </w:r>
          </w:p>
        </w:tc>
      </w:tr>
      <w:tr w:rsidR="002A73AD" w14:paraId="2C398AC2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071E308F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A73AD" w14:paraId="003958B0" w14:textId="77777777">
        <w:trPr>
          <w:trHeight w:val="288"/>
        </w:trPr>
        <w:tc>
          <w:tcPr>
            <w:tcW w:w="4082" w:type="dxa"/>
            <w:gridSpan w:val="7"/>
            <w:vAlign w:val="center"/>
          </w:tcPr>
          <w:p w14:paraId="368CFFC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160" w:type="dxa"/>
            <w:gridSpan w:val="8"/>
            <w:vAlign w:val="center"/>
          </w:tcPr>
          <w:p w14:paraId="5A3D6430" w14:textId="723BA355" w:rsidR="002A73AD" w:rsidRDefault="00F2198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216</w:t>
            </w:r>
            <w:r w:rsidR="008C6E95">
              <w:rPr>
                <w:rFonts w:ascii="Times New Roman" w:eastAsia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2A73AD" w14:paraId="63050C87" w14:textId="77777777">
        <w:trPr>
          <w:trHeight w:val="288"/>
        </w:trPr>
        <w:tc>
          <w:tcPr>
            <w:tcW w:w="4082" w:type="dxa"/>
            <w:gridSpan w:val="7"/>
            <w:vAlign w:val="center"/>
          </w:tcPr>
          <w:p w14:paraId="330C03D9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160" w:type="dxa"/>
            <w:gridSpan w:val="8"/>
            <w:vAlign w:val="center"/>
          </w:tcPr>
          <w:p w14:paraId="6EFC603E" w14:textId="68C477A3" w:rsidR="002A73AD" w:rsidRPr="00F21986" w:rsidRDefault="00F21986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22</w:t>
            </w:r>
          </w:p>
        </w:tc>
      </w:tr>
      <w:tr w:rsidR="002A73AD" w14:paraId="40C9FCD8" w14:textId="77777777">
        <w:trPr>
          <w:trHeight w:val="288"/>
        </w:trPr>
        <w:tc>
          <w:tcPr>
            <w:tcW w:w="4082" w:type="dxa"/>
            <w:gridSpan w:val="7"/>
            <w:vAlign w:val="center"/>
          </w:tcPr>
          <w:p w14:paraId="53BE875C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1" w:type="dxa"/>
            <w:gridSpan w:val="4"/>
            <w:vAlign w:val="center"/>
          </w:tcPr>
          <w:p w14:paraId="4F5BB8FA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479" w:type="dxa"/>
            <w:gridSpan w:val="4"/>
            <w:vAlign w:val="center"/>
          </w:tcPr>
          <w:p w14:paraId="0CD41F86" w14:textId="35C5B7A8" w:rsidR="002A73AD" w:rsidRPr="00F21986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  <w:r w:rsidR="00F21986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: 1</w:t>
            </w:r>
          </w:p>
        </w:tc>
      </w:tr>
      <w:tr w:rsidR="002A73AD" w14:paraId="16C3D2E1" w14:textId="77777777">
        <w:trPr>
          <w:trHeight w:val="288"/>
        </w:trPr>
        <w:tc>
          <w:tcPr>
            <w:tcW w:w="1417" w:type="dxa"/>
            <w:gridSpan w:val="3"/>
            <w:vAlign w:val="center"/>
          </w:tcPr>
          <w:p w14:paraId="1FF5C7E8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Усавршавања </w:t>
            </w:r>
          </w:p>
        </w:tc>
        <w:tc>
          <w:tcPr>
            <w:tcW w:w="7825" w:type="dxa"/>
            <w:gridSpan w:val="12"/>
            <w:vAlign w:val="center"/>
          </w:tcPr>
          <w:p w14:paraId="3302D62A" w14:textId="77777777" w:rsidR="002A73AD" w:rsidRDefault="008C6E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Institut für Technische Mathematik, Geometrie und Bauinformatik, Innsbruck, 2005 </w:t>
            </w:r>
          </w:p>
          <w:p w14:paraId="0EDEDCA8" w14:textId="77777777" w:rsidR="002A73AD" w:rsidRDefault="008C6E95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Brown University, Division of Applied Mathematics, Providence, USA, 2009</w:t>
            </w:r>
          </w:p>
        </w:tc>
      </w:tr>
      <w:tr w:rsidR="002A73AD" w14:paraId="7FEB41A6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717DBDE7" w14:textId="77777777" w:rsidR="002A73AD" w:rsidRDefault="008C6E95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2A73AD" w14:paraId="3223D503" w14:textId="77777777">
        <w:trPr>
          <w:trHeight w:val="288"/>
        </w:trPr>
        <w:tc>
          <w:tcPr>
            <w:tcW w:w="9242" w:type="dxa"/>
            <w:gridSpan w:val="15"/>
            <w:vAlign w:val="center"/>
          </w:tcPr>
          <w:p w14:paraId="7F426B85" w14:textId="77777777" w:rsidR="002A73AD" w:rsidRDefault="008C6E95">
            <w:pPr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Члан редакције научног часописа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Filomat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Novi Sad Journal of Mathematics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Референт журнала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Mathematical Reviews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Zentralblatt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Поседује престижну диплому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Grosses Deutsches Sprachdiplom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(Goethe Institut) за познавање немачког језика на највишем нивоу.</w:t>
            </w:r>
          </w:p>
        </w:tc>
      </w:tr>
    </w:tbl>
    <w:p w14:paraId="23AFAC22" w14:textId="77777777"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sz w:val="20"/>
          <w:szCs w:val="20"/>
        </w:rPr>
      </w:pPr>
    </w:p>
    <w:p w14:paraId="256B583D" w14:textId="77777777" w:rsidR="002A73AD" w:rsidRDefault="002A73AD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14:paraId="2224E55E" w14:textId="77777777" w:rsidR="002A73AD" w:rsidRDefault="002A73AD"/>
    <w:sectPr w:rsidR="002A73AD" w:rsidSect="002A73AD">
      <w:pgSz w:w="11907" w:h="16839"/>
      <w:pgMar w:top="864" w:right="1152" w:bottom="864" w:left="1152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E686A"/>
    <w:multiLevelType w:val="multilevel"/>
    <w:tmpl w:val="E4ECB7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86022"/>
    <w:multiLevelType w:val="multilevel"/>
    <w:tmpl w:val="9F32B3B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67812045">
    <w:abstractNumId w:val="1"/>
  </w:num>
  <w:num w:numId="2" w16cid:durableId="116150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73AD"/>
    <w:rsid w:val="00017EE2"/>
    <w:rsid w:val="002A73AD"/>
    <w:rsid w:val="008C6E95"/>
    <w:rsid w:val="00F2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7DF25"/>
  <w15:docId w15:val="{EF80C7EA-5EBA-4F87-87F6-F1341E14A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748"/>
    <w:rPr>
      <w:rFonts w:cs="Times New Roman"/>
    </w:rPr>
  </w:style>
  <w:style w:type="paragraph" w:styleId="Heading1">
    <w:name w:val="heading 1"/>
    <w:basedOn w:val="Normal1"/>
    <w:next w:val="Normal1"/>
    <w:rsid w:val="002A73A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A73A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A73A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A73A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A73A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A73A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A73AD"/>
  </w:style>
  <w:style w:type="paragraph" w:styleId="Title">
    <w:name w:val="Title"/>
    <w:basedOn w:val="Normal1"/>
    <w:next w:val="Normal1"/>
    <w:rsid w:val="002A73AD"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445689"/>
    <w:pPr>
      <w:ind w:left="720"/>
      <w:contextualSpacing/>
    </w:pPr>
  </w:style>
  <w:style w:type="paragraph" w:styleId="Subtitle">
    <w:name w:val="Subtitle"/>
    <w:basedOn w:val="Normal"/>
    <w:next w:val="Normal"/>
    <w:rsid w:val="002A73A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A73AD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6RnnXMGfaEBzin8zkGb++xdIZQ==">AMUW2mUqvZ0rsETF607nFW41JETQB1/gcqNPCJGQ2syh19mH8DZF3K5yyN4LYyM5Xm00FW4QqLGGZJm5EO16VzTLnYM8BXnzDdxgrsOFM5Xd/GRj89DTW9+Is2Op/YNXAwlEwuiJiXSz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636</Words>
  <Characters>3834</Characters>
  <Application>Microsoft Office Word</Application>
  <DocSecurity>0</DocSecurity>
  <Lines>225</Lines>
  <Paragraphs>212</Paragraphs>
  <ScaleCrop>false</ScaleCrop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Dora</dc:creator>
  <cp:lastModifiedBy>Dora Seleši</cp:lastModifiedBy>
  <cp:revision>4</cp:revision>
  <dcterms:created xsi:type="dcterms:W3CDTF">2019-11-13T22:56:00Z</dcterms:created>
  <dcterms:modified xsi:type="dcterms:W3CDTF">2022-10-24T18:47:00Z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063a871901dcdadc7d85263cad6d8ad14dd1af30fab75d741b963d938cdfc7d9</vt:lpwstr>
  </property>
</Properties>
</file>