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94"/>
        <w:gridCol w:w="470"/>
        <w:gridCol w:w="444"/>
        <w:gridCol w:w="837"/>
        <w:gridCol w:w="893"/>
        <w:gridCol w:w="252"/>
        <w:gridCol w:w="112"/>
        <w:gridCol w:w="1049"/>
        <w:gridCol w:w="346"/>
        <w:gridCol w:w="1233"/>
        <w:gridCol w:w="322"/>
        <w:gridCol w:w="1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4306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596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Милица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 xml:space="preserve"> Бркић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" w:hRule="atLeast"/>
        </w:trPr>
        <w:tc>
          <w:tcPr>
            <w:tcW w:w="4306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596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Истраживач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-сарадник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306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596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Институт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 xml:space="preserve"> Биосенс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, Универзитет у Новом Саду, од 201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</w:trPr>
        <w:tc>
          <w:tcPr>
            <w:tcW w:w="4306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596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Информационе технологије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</w:trPr>
        <w:tc>
          <w:tcPr>
            <w:tcW w:w="8902" w:type="dxa"/>
            <w:gridSpan w:val="1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2.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Институт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 xml:space="preserve"> Биосенс, Универзитет у Новом Саду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Техничко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-технолошке науке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Информационе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 xml:space="preserve"> технологије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Наука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 xml:space="preserve"> о подацима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2324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Математика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 xml:space="preserve"> финансија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" w:hRule="atLeast"/>
        </w:trPr>
        <w:tc>
          <w:tcPr>
            <w:tcW w:w="8902" w:type="dxa"/>
            <w:gridSpan w:val="1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8" w:hRule="atLeast"/>
        </w:trPr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38" w:type="dxa"/>
            <w:gridSpan w:val="5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816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jc w:val="center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1.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МДС01</w:t>
            </w:r>
          </w:p>
        </w:tc>
        <w:tc>
          <w:tcPr>
            <w:tcW w:w="2538" w:type="dxa"/>
            <w:gridSpan w:val="5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fldChar w:fldCharType="begin"/>
            </w:r>
            <w:r>
              <w:rPr>
                <w:rFonts w:ascii="Times New Roman" w:hAnsi="Times New Roman"/>
                <w:iCs/>
                <w:sz w:val="20"/>
                <w:szCs w:val="20"/>
              </w:rPr>
              <w:instrText xml:space="preserve"> HYPERLINK "https://www.pmf.uns.ac.rs/wp-content/uploads/2017/03/MDS01.pdf" \t "https://www.pmf.uns.ac.rs/studije/studijski-programi/primenjena-matematika-nauka-o-podacima/_blank" </w:instrText>
            </w:r>
            <w:r>
              <w:rPr>
                <w:rFonts w:ascii="Times New Roman" w:hAnsi="Times New Roman"/>
                <w:iCs/>
                <w:sz w:val="20"/>
                <w:szCs w:val="20"/>
              </w:rPr>
              <w:fldChar w:fldCharType="separate"/>
            </w:r>
            <w:r>
              <w:rPr>
                <w:rFonts w:hint="default" w:ascii="Times New Roman" w:hAnsi="Times New Roman"/>
                <w:iCs/>
                <w:sz w:val="20"/>
                <w:szCs w:val="20"/>
              </w:rPr>
              <w:t>Програмирање у науци о подацима</w:t>
            </w:r>
            <w:r>
              <w:rPr>
                <w:rFonts w:hint="default" w:ascii="Times New Roman" w:hAnsi="Times New Roman"/>
                <w:iCs/>
                <w:sz w:val="20"/>
                <w:szCs w:val="20"/>
              </w:rPr>
              <w:fldChar w:fldCharType="end"/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jc w:val="left"/>
              <w:rPr>
                <w:rFonts w:hint="default"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вежбе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>атематика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 xml:space="preserve"> - </w:t>
            </w:r>
            <w:r>
              <w:rPr>
                <w:rFonts w:hint="default" w:ascii="Times New Roman" w:hAnsi="Times New Roman"/>
                <w:sz w:val="20"/>
                <w:szCs w:val="20"/>
                <w:lang w:val="sr-Cyrl-RS"/>
              </w:rPr>
              <w:t>наука о подацима</w:t>
            </w:r>
          </w:p>
        </w:tc>
        <w:tc>
          <w:tcPr>
            <w:tcW w:w="1534" w:type="dxa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iCs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sr-Cyrl-RS"/>
              </w:rPr>
              <w:t>МАС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8902" w:type="dxa"/>
            <w:gridSpan w:val="1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10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2" w:type="dxa"/>
            <w:gridSpan w:val="11"/>
            <w:shd w:val="clear" w:color="auto" w:fill="auto"/>
            <w:vAlign w:val="center"/>
          </w:tcPr>
          <w:p>
            <w:pPr>
              <w:pStyle w:val="7"/>
              <w:numPr>
                <w:numId w:val="0"/>
              </w:numPr>
              <w:spacing w:before="0" w:beforeAutospacing="0" w:after="0" w:afterAutospacing="0"/>
              <w:ind w:left="0" w:leftChars="0" w:firstLine="0" w:firstLineChars="0"/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</w:pP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Mimić G., Brdar S., </w:t>
            </w:r>
            <w:r>
              <w:rPr>
                <w:rFonts w:hint="default" w:ascii="Times New Roman" w:hAnsi="Times New Roman" w:cs="Times New Roman" w:eastAsiaTheme="minorHAnsi"/>
                <w:b/>
                <w:bCs/>
                <w:color w:val="000000"/>
                <w:sz w:val="20"/>
                <w:szCs w:val="20"/>
                <w:lang w:val="sr-Latn-CS" w:eastAsia="en-US" w:bidi="ar-SA"/>
              </w:rPr>
              <w:t>Brkić M.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, Panić M., Marko O., Crnojević V. (2020).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“E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ngineering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eteorological features to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elect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s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tress tolerant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h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 xml:space="preserve">ybrids in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m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aize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en-US" w:eastAsia="en-US" w:bidi="ar-SA"/>
              </w:rPr>
              <w:t>”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. Scientific reports, 10(1)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RS" w:eastAsia="en-US" w:bidi="ar-SA"/>
              </w:rPr>
              <w:t xml:space="preserve"> (2020)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, 1-10.</w:t>
            </w:r>
          </w:p>
          <w:p>
            <w:pPr>
              <w:pStyle w:val="7"/>
              <w:numPr>
                <w:numId w:val="0"/>
              </w:numPr>
              <w:spacing w:before="0" w:beforeAutospacing="0" w:after="0" w:afterAutospacing="0"/>
              <w:ind w:left="0" w:leftChars="0" w:firstLine="0" w:firstLineChars="0"/>
              <w:rPr>
                <w:rFonts w:ascii="Helvetica Neue" w:hAnsi="Helvetica Neue"/>
                <w:color w:val="333333"/>
                <w:sz w:val="27"/>
                <w:szCs w:val="27"/>
              </w:rPr>
            </w:pP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Cyrl-RS" w:eastAsia="en-US" w:bidi="ar-SA"/>
              </w:rPr>
              <w:t xml:space="preserve">М21, </w:t>
            </w:r>
            <w:r>
              <w:rPr>
                <w:rFonts w:hint="default" w:ascii="Times New Roman" w:hAnsi="Times New Roman" w:cs="Times New Roman" w:eastAsiaTheme="minorHAnsi"/>
                <w:color w:val="000000"/>
                <w:sz w:val="20"/>
                <w:szCs w:val="20"/>
                <w:lang w:val="sr-Latn-CS" w:eastAsia="en-US" w:bidi="ar-SA"/>
              </w:rPr>
              <w:t>DOI: 10.1038/s41598-020-60366-y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10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2" w:type="dxa"/>
            <w:gridSpan w:val="11"/>
            <w:shd w:val="clear" w:color="auto" w:fill="auto"/>
            <w:vAlign w:val="center"/>
          </w:tcPr>
          <w:p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</w:pPr>
            <w:r>
              <w:rPr>
                <w:rFonts w:hint="default" w:ascii="Times New Roman" w:hAnsi="Times New Roman" w:eastAsiaTheme="minorHAnsi"/>
                <w:b/>
                <w:bCs/>
                <w:color w:val="000000"/>
                <w:sz w:val="20"/>
                <w:szCs w:val="20"/>
                <w:lang w:val="sr-Latn-CS" w:eastAsia="zh-CN"/>
              </w:rPr>
              <w:t>Brkić M.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>, Brdar S., Crnojevi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 xml:space="preserve">ć V. 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(2019). “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Predicting crop yield using data fusion by matrix factorization algorithm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”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. Book of abstracts.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 xml:space="preserve"> 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European Federation for Information Technology in Agriculture, Food and the Environment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 xml:space="preserve"> (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EFITA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CS" w:eastAsia="zh-CN"/>
              </w:rPr>
              <w:t>)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, pp.47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 xml:space="preserve"> </w:t>
            </w:r>
          </w:p>
          <w:p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eastAsiaTheme="minorHAnsi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Cyrl-RS" w:eastAsia="zh-CN"/>
              </w:rPr>
              <w:t xml:space="preserve">М34, 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ISBN: 978-618-84798-0-7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10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2" w:type="dxa"/>
            <w:gridSpan w:val="11"/>
            <w:shd w:val="clear" w:color="auto" w:fill="auto"/>
            <w:vAlign w:val="center"/>
          </w:tcPr>
          <w:p>
            <w:pPr>
              <w:tabs>
                <w:tab w:val="left" w:pos="567"/>
              </w:tabs>
              <w:spacing w:after="60"/>
              <w:jc w:val="both"/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Grbović Ž., </w:t>
            </w:r>
            <w:r>
              <w:rPr>
                <w:rFonts w:hint="default" w:ascii="Times New Roman" w:hAnsi="Times New Roman"/>
                <w:b/>
                <w:bCs/>
                <w:sz w:val="20"/>
                <w:szCs w:val="20"/>
                <w:lang w:val="en-US" w:eastAsia="zh-CN"/>
              </w:rPr>
              <w:t>Brkić M.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, Panić M., Brdar S., Hogeveen-van Echtelt E., Chauhan A. (2021) .“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fldChar w:fldCharType="begin"/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instrText xml:space="preserve"> HYPERLINK "https://zenodo.org/record/4896828" </w:instrTex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fldChar w:fldCharType="separate"/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Semantic Segmentation of Tomato Sepals on Hyperspectral Images Using Deep Learning". Book of abstracts. European Federation for Information Technology in Agriculture, Food and the Environment (EFITA), pp.27.</w:t>
            </w:r>
          </w:p>
          <w:p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Cyrl-RS" w:eastAsia="zh-CN"/>
              </w:rPr>
              <w:t xml:space="preserve">М34, 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I</w:t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fldChar w:fldCharType="end"/>
            </w:r>
            <w:r>
              <w:rPr>
                <w:rFonts w:hint="default" w:ascii="Times New Roman" w:hAnsi="Times New Roman"/>
                <w:sz w:val="20"/>
                <w:szCs w:val="20"/>
                <w:lang w:val="en-US" w:eastAsia="zh-CN"/>
              </w:rPr>
              <w:t>SSN: 2504-3900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10" w:type="dxa"/>
            <w:gridSpan w:val="2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567"/>
                <w:tab w:val="clear" w:pos="720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492" w:type="dxa"/>
            <w:gridSpan w:val="11"/>
            <w:shd w:val="clear" w:color="auto" w:fill="auto"/>
            <w:vAlign w:val="center"/>
          </w:tcPr>
          <w:p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eastAsiaTheme="minorHAnsi"/>
                <w:color w:val="000000"/>
                <w:sz w:val="20"/>
                <w:szCs w:val="20"/>
              </w:rPr>
            </w:pP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en-US" w:eastAsia="zh-CN"/>
              </w:rPr>
              <w:t>Mimi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 xml:space="preserve">ć G., Marko O., Pandžić M., Grbović Ž., </w:t>
            </w:r>
            <w:r>
              <w:rPr>
                <w:rFonts w:hint="default" w:ascii="Times New Roman" w:hAnsi="Times New Roman" w:eastAsiaTheme="minorHAnsi"/>
                <w:b/>
                <w:bCs/>
                <w:color w:val="000000"/>
                <w:sz w:val="20"/>
                <w:szCs w:val="20"/>
                <w:lang w:val="sr-Latn-RS" w:eastAsia="zh-CN"/>
              </w:rPr>
              <w:t>Brkić M.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Latn-RS" w:eastAsia="zh-CN"/>
              </w:rPr>
              <w:t>, Crnojević V. (2021). Smart Agro aplikacija za digitalno osiguranje u poljoprivredi</w:t>
            </w:r>
            <w:r>
              <w:rPr>
                <w:rFonts w:hint="default" w:ascii="Times New Roman" w:hAnsi="Times New Roman" w:eastAsiaTheme="minorHAnsi"/>
                <w:color w:val="000000"/>
                <w:sz w:val="20"/>
                <w:szCs w:val="20"/>
                <w:lang w:val="sr-Cyrl-RS" w:eastAsia="zh-CN"/>
              </w:rPr>
              <w:t>, М82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8902" w:type="dxa"/>
            <w:gridSpan w:val="1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4054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848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(scholar.google)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4054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848" w:type="dxa"/>
            <w:gridSpan w:val="7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4054" w:type="dxa"/>
            <w:gridSpan w:val="6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13" w:type="dxa"/>
            <w:gridSpan w:val="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Домаћи 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3435" w:type="dxa"/>
            <w:gridSpan w:val="4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hint="default"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>
              <w:rPr>
                <w:rFonts w:hint="default"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410" w:type="dxa"/>
            <w:gridSpan w:val="2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492" w:type="dxa"/>
            <w:gridSpan w:val="11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8902" w:type="dxa"/>
            <w:gridSpan w:val="13"/>
            <w:vAlign w:val="center"/>
          </w:tcPr>
          <w:p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8902" w:type="dxa"/>
            <w:gridSpan w:val="13"/>
            <w:vAlign w:val="center"/>
          </w:tcPr>
          <w:p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 сме прећи једну А4 страну.</w:t>
            </w:r>
          </w:p>
        </w:tc>
      </w:tr>
    </w:tbl>
    <w:p/>
    <w:sectPr>
      <w:pgSz w:w="11900" w:h="16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Wingdings">
    <w:panose1 w:val="05000000000000000000"/>
    <w:charset w:val="4D"/>
    <w:family w:val="decorative"/>
    <w:pitch w:val="default"/>
    <w:sig w:usb0="00000000" w:usb1="00000000" w:usb2="00000000" w:usb3="00000000" w:csb0="80000000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URWPalladioL">
    <w:altName w:val="Cambria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0B2575"/>
    <w:multiLevelType w:val="multilevel"/>
    <w:tmpl w:val="350B2575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8F4"/>
    <w:rsid w:val="0000312F"/>
    <w:rsid w:val="00032717"/>
    <w:rsid w:val="00056720"/>
    <w:rsid w:val="000611E5"/>
    <w:rsid w:val="00081AFC"/>
    <w:rsid w:val="00083D8A"/>
    <w:rsid w:val="000B78C1"/>
    <w:rsid w:val="000C566B"/>
    <w:rsid w:val="000D2ECC"/>
    <w:rsid w:val="000E5E15"/>
    <w:rsid w:val="000F78F4"/>
    <w:rsid w:val="0014185B"/>
    <w:rsid w:val="00142518"/>
    <w:rsid w:val="00185C50"/>
    <w:rsid w:val="001C13E3"/>
    <w:rsid w:val="001D1FD0"/>
    <w:rsid w:val="001D3B42"/>
    <w:rsid w:val="001E5304"/>
    <w:rsid w:val="001E7438"/>
    <w:rsid w:val="001F4CD4"/>
    <w:rsid w:val="00241248"/>
    <w:rsid w:val="002757DB"/>
    <w:rsid w:val="0028619C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B336F"/>
    <w:rsid w:val="004C1FE4"/>
    <w:rsid w:val="004C2663"/>
    <w:rsid w:val="004C2A47"/>
    <w:rsid w:val="004D4890"/>
    <w:rsid w:val="004E3312"/>
    <w:rsid w:val="004F5CE1"/>
    <w:rsid w:val="004F78BC"/>
    <w:rsid w:val="00502191"/>
    <w:rsid w:val="005031C8"/>
    <w:rsid w:val="00507EA8"/>
    <w:rsid w:val="005275E1"/>
    <w:rsid w:val="00527E0E"/>
    <w:rsid w:val="0053490C"/>
    <w:rsid w:val="00535614"/>
    <w:rsid w:val="005462FC"/>
    <w:rsid w:val="00550AED"/>
    <w:rsid w:val="005922EA"/>
    <w:rsid w:val="005C7C9B"/>
    <w:rsid w:val="00631981"/>
    <w:rsid w:val="00683A1E"/>
    <w:rsid w:val="006A0BAA"/>
    <w:rsid w:val="006A5CC4"/>
    <w:rsid w:val="006D2AD9"/>
    <w:rsid w:val="006E0AFA"/>
    <w:rsid w:val="007029DC"/>
    <w:rsid w:val="007100F6"/>
    <w:rsid w:val="007103BD"/>
    <w:rsid w:val="00775C90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C3E90"/>
    <w:rsid w:val="008D1F16"/>
    <w:rsid w:val="008E1895"/>
    <w:rsid w:val="008E6D4C"/>
    <w:rsid w:val="008F2657"/>
    <w:rsid w:val="009552B1"/>
    <w:rsid w:val="00956E51"/>
    <w:rsid w:val="00996293"/>
    <w:rsid w:val="009A21FF"/>
    <w:rsid w:val="009D1880"/>
    <w:rsid w:val="009D5F83"/>
    <w:rsid w:val="009D6D31"/>
    <w:rsid w:val="00A2381E"/>
    <w:rsid w:val="00A52753"/>
    <w:rsid w:val="00A52FD9"/>
    <w:rsid w:val="00A62029"/>
    <w:rsid w:val="00A904F4"/>
    <w:rsid w:val="00A9317B"/>
    <w:rsid w:val="00A93C57"/>
    <w:rsid w:val="00AD22BB"/>
    <w:rsid w:val="00B51FE0"/>
    <w:rsid w:val="00B91430"/>
    <w:rsid w:val="00BB7D20"/>
    <w:rsid w:val="00BE7453"/>
    <w:rsid w:val="00C13442"/>
    <w:rsid w:val="00C533CC"/>
    <w:rsid w:val="00C871AF"/>
    <w:rsid w:val="00C9059D"/>
    <w:rsid w:val="00C96724"/>
    <w:rsid w:val="00CF55E0"/>
    <w:rsid w:val="00D06C63"/>
    <w:rsid w:val="00D146E1"/>
    <w:rsid w:val="00D418C3"/>
    <w:rsid w:val="00D76CD0"/>
    <w:rsid w:val="00DA2CF9"/>
    <w:rsid w:val="00DC1452"/>
    <w:rsid w:val="00DF324C"/>
    <w:rsid w:val="00E2588E"/>
    <w:rsid w:val="00E41FA4"/>
    <w:rsid w:val="00E67ACF"/>
    <w:rsid w:val="00E9305B"/>
    <w:rsid w:val="00EB3804"/>
    <w:rsid w:val="00F11860"/>
    <w:rsid w:val="00F35EC0"/>
    <w:rsid w:val="00F40CB7"/>
    <w:rsid w:val="00F55357"/>
    <w:rsid w:val="00F81922"/>
    <w:rsid w:val="00F95FA6"/>
    <w:rsid w:val="00FB5592"/>
    <w:rsid w:val="00FE1336"/>
    <w:rsid w:val="00FE228B"/>
    <w:rsid w:val="10D52651"/>
    <w:rsid w:val="2D772123"/>
    <w:rsid w:val="37603F8F"/>
    <w:rsid w:val="3EE86338"/>
    <w:rsid w:val="4F9F5CB1"/>
    <w:rsid w:val="523E1886"/>
    <w:rsid w:val="57C25403"/>
    <w:rsid w:val="5E432290"/>
    <w:rsid w:val="5EB339E8"/>
    <w:rsid w:val="5F644B92"/>
    <w:rsid w:val="61C61B20"/>
    <w:rsid w:val="649A686C"/>
    <w:rsid w:val="6BE648F5"/>
    <w:rsid w:val="6E6C6C08"/>
    <w:rsid w:val="6E761999"/>
    <w:rsid w:val="75321950"/>
    <w:rsid w:val="75673A41"/>
    <w:rsid w:val="7612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color w:val="auto"/>
      <w:sz w:val="22"/>
      <w:szCs w:val="22"/>
      <w:lang w:val="sr-Cyrl-R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annotation reference"/>
    <w:basedOn w:val="2"/>
    <w:semiHidden/>
    <w:unhideWhenUsed/>
    <w:qFormat/>
    <w:uiPriority w:val="99"/>
    <w:rPr>
      <w:sz w:val="16"/>
      <w:szCs w:val="16"/>
    </w:rPr>
  </w:style>
  <w:style w:type="paragraph" w:styleId="5">
    <w:name w:val="annotation text"/>
    <w:basedOn w:val="1"/>
    <w:link w:val="8"/>
    <w:semiHidden/>
    <w:unhideWhenUsed/>
    <w:uiPriority w:val="99"/>
    <w:rPr>
      <w:sz w:val="20"/>
      <w:szCs w:val="20"/>
    </w:rPr>
  </w:style>
  <w:style w:type="character" w:styleId="6">
    <w:name w:val="Hyperlink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Normal (Web)"/>
    <w:basedOn w:val="1"/>
    <w:unhideWhenUsed/>
    <w:uiPriority w:val="99"/>
    <w:pPr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val="zh-CN"/>
    </w:rPr>
  </w:style>
  <w:style w:type="character" w:customStyle="1" w:styleId="8">
    <w:name w:val="Comment Text Char"/>
    <w:basedOn w:val="2"/>
    <w:link w:val="5"/>
    <w:semiHidden/>
    <w:uiPriority w:val="99"/>
    <w:rPr>
      <w:rFonts w:ascii="Calibri" w:hAnsi="Calibri" w:eastAsia="Calibri"/>
      <w:color w:val="auto"/>
      <w:sz w:val="20"/>
      <w:szCs w:val="20"/>
      <w:lang w:val="sr-Cyrl-RS"/>
    </w:rPr>
  </w:style>
  <w:style w:type="character" w:customStyle="1" w:styleId="9">
    <w:name w:val="c-bibliographic-information__value"/>
    <w:basedOn w:val="2"/>
    <w:qFormat/>
    <w:uiPriority w:val="0"/>
  </w:style>
  <w:style w:type="character" w:customStyle="1" w:styleId="10">
    <w:name w:val="Unresolved Mention"/>
    <w:basedOn w:val="2"/>
    <w:semiHidden/>
    <w:unhideWhenUsed/>
    <w:uiPriority w:val="99"/>
    <w:rPr>
      <w:color w:val="605E5C"/>
      <w:shd w:val="clear" w:color="auto" w:fill="E1DFDD"/>
    </w:rPr>
  </w:style>
  <w:style w:type="paragraph" w:styleId="11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2560</Characters>
  <Lines>21</Lines>
  <Paragraphs>6</Paragraphs>
  <TotalTime>3</TotalTime>
  <ScaleCrop>false</ScaleCrop>
  <LinksUpToDate>false</LinksUpToDate>
  <CharactersWithSpaces>3003</CharactersWithSpaces>
  <Application>WPS Office_11.2.0.11341_F1E327BC-269C-435d-A152-05C5408002CA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2022-03-08T13:44:00Z</dcterms:created>
  <dc:creator>Nebojša Andrić</dc:creator>
  <cp:lastModifiedBy>Milica</cp:lastModifiedBy>
  <dcterms:modified xsi:type="dcterms:W3CDTF">2022-10-26T06:08:07Z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62B109C95B9C40ACACA93A862C74CF6C</vt:lpwstr>
  </property>
</Properties>
</file>