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935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760"/>
        <w:gridCol w:w="650"/>
        <w:gridCol w:w="364"/>
        <w:gridCol w:w="423"/>
        <w:gridCol w:w="689"/>
        <w:gridCol w:w="1660"/>
        <w:gridCol w:w="170"/>
        <w:gridCol w:w="208"/>
        <w:gridCol w:w="874"/>
        <w:gridCol w:w="373"/>
        <w:gridCol w:w="826"/>
        <w:gridCol w:w="1013"/>
        <w:gridCol w:w="1340"/>
      </w:tblGrid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4924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Име и презиме </w:t>
            </w:r>
          </w:p>
        </w:tc>
        <w:tc>
          <w:tcPr>
            <w:tcW w:type="dxa" w:w="442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Владимир Р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 xml:space="preserve">.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Костић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4924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Звање</w:t>
            </w:r>
          </w:p>
        </w:tc>
        <w:tc>
          <w:tcPr>
            <w:tcW w:type="dxa" w:w="442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Ванредни професор</w:t>
            </w:r>
          </w:p>
        </w:tc>
      </w:tr>
      <w:tr>
        <w:tblPrEx>
          <w:shd w:val="clear" w:color="auto" w:fill="ced7e7"/>
        </w:tblPrEx>
        <w:trPr>
          <w:trHeight w:val="499" w:hRule="atLeast"/>
        </w:trPr>
        <w:tc>
          <w:tcPr>
            <w:tcW w:type="dxa" w:w="4924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type="dxa" w:w="442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  <w:ind w:right="629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Природно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математички факултет  у Новом Саду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 xml:space="preserve">од 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30.06.2004.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4924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Ужа научна односно уметничка област</w:t>
            </w:r>
          </w:p>
        </w:tc>
        <w:tc>
          <w:tcPr>
            <w:tcW w:type="dxa" w:w="442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Нумеричка математика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935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Академска каријера</w:t>
            </w:r>
          </w:p>
        </w:tc>
      </w:tr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78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Година </w:t>
            </w:r>
          </w:p>
        </w:tc>
        <w:tc>
          <w:tcPr>
            <w:tcW w:type="dxa" w:w="251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Институција </w:t>
            </w:r>
          </w:p>
        </w:tc>
        <w:tc>
          <w:tcPr>
            <w:tcW w:type="dxa" w:w="228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Научна или уметничка област </w:t>
            </w:r>
          </w:p>
        </w:tc>
        <w:tc>
          <w:tcPr>
            <w:tcW w:type="dxa" w:w="235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Ужа научна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уметничка или стручна област</w:t>
            </w:r>
          </w:p>
        </w:tc>
      </w:tr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Избор у звање</w:t>
            </w:r>
          </w:p>
        </w:tc>
        <w:tc>
          <w:tcPr>
            <w:tcW w:type="dxa" w:w="78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2021</w:t>
            </w:r>
          </w:p>
        </w:tc>
        <w:tc>
          <w:tcPr>
            <w:tcW w:type="dxa" w:w="251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Природно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математички факултет  у Новом Саду</w:t>
            </w:r>
          </w:p>
        </w:tc>
        <w:tc>
          <w:tcPr>
            <w:tcW w:type="dxa" w:w="228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Примењена математика</w:t>
            </w:r>
          </w:p>
        </w:tc>
        <w:tc>
          <w:tcPr>
            <w:tcW w:type="dxa" w:w="235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Нумеричка математика</w:t>
            </w:r>
          </w:p>
        </w:tc>
      </w:tr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Докторат</w:t>
            </w:r>
          </w:p>
        </w:tc>
        <w:tc>
          <w:tcPr>
            <w:tcW w:type="dxa" w:w="78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2010</w:t>
            </w:r>
          </w:p>
        </w:tc>
        <w:tc>
          <w:tcPr>
            <w:tcW w:type="dxa" w:w="251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Природно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математички факултет  у Новом Саду</w:t>
            </w:r>
          </w:p>
        </w:tc>
        <w:tc>
          <w:tcPr>
            <w:tcW w:type="dxa" w:w="228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Примењена математика</w:t>
            </w:r>
          </w:p>
        </w:tc>
        <w:tc>
          <w:tcPr>
            <w:tcW w:type="dxa" w:w="235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Нумеричка математика</w:t>
            </w:r>
          </w:p>
        </w:tc>
      </w:tr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Магистратура</w:t>
            </w:r>
          </w:p>
        </w:tc>
        <w:tc>
          <w:tcPr>
            <w:tcW w:type="dxa" w:w="78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2009</w:t>
            </w:r>
          </w:p>
        </w:tc>
        <w:tc>
          <w:tcPr>
            <w:tcW w:type="dxa" w:w="251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Природно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математички факултет  у Новом Саду</w:t>
            </w:r>
          </w:p>
        </w:tc>
        <w:tc>
          <w:tcPr>
            <w:tcW w:type="dxa" w:w="228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Примењена математика</w:t>
            </w:r>
          </w:p>
        </w:tc>
        <w:tc>
          <w:tcPr>
            <w:tcW w:type="dxa" w:w="235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Нумеричка математика</w:t>
            </w:r>
          </w:p>
        </w:tc>
      </w:tr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Диплома</w:t>
            </w:r>
          </w:p>
        </w:tc>
        <w:tc>
          <w:tcPr>
            <w:tcW w:type="dxa" w:w="78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2003</w:t>
            </w:r>
          </w:p>
        </w:tc>
        <w:tc>
          <w:tcPr>
            <w:tcW w:type="dxa" w:w="2519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Природно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ru-RU"/>
              </w:rPr>
              <w:t>математички факултет  у Новом Саду</w:t>
            </w:r>
          </w:p>
        </w:tc>
        <w:tc>
          <w:tcPr>
            <w:tcW w:type="dxa" w:w="228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Примењена математика</w:t>
            </w:r>
          </w:p>
        </w:tc>
        <w:tc>
          <w:tcPr>
            <w:tcW w:type="dxa" w:w="235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hd w:val="clear" w:color="auto" w:fill="ffffff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</w:rPr>
              <w:t>Нумеричка математика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935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>
        <w:tblPrEx>
          <w:shd w:val="clear" w:color="auto" w:fill="ced7e7"/>
        </w:tblPrEx>
        <w:trPr>
          <w:trHeight w:val="662" w:hRule="atLeast"/>
        </w:trPr>
        <w:tc>
          <w:tcPr>
            <w:tcW w:type="dxa" w:w="7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>.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Б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>.</w:t>
            </w:r>
          </w:p>
        </w:tc>
        <w:tc>
          <w:tcPr>
            <w:tcW w:type="dxa" w:w="10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Ознака предмета</w:t>
            </w:r>
          </w:p>
        </w:tc>
        <w:tc>
          <w:tcPr>
            <w:tcW w:type="dxa" w:w="2942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Назив предмета     </w:t>
            </w:r>
          </w:p>
        </w:tc>
        <w:tc>
          <w:tcPr>
            <w:tcW w:type="dxa" w:w="108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Вид наставе</w:t>
            </w:r>
          </w:p>
        </w:tc>
        <w:tc>
          <w:tcPr>
            <w:tcW w:type="dxa" w:w="221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Назив студијског програма </w:t>
            </w:r>
          </w:p>
        </w:tc>
        <w:tc>
          <w:tcPr>
            <w:tcW w:type="dxa" w:w="1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Врста студија 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ОСС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ССС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ОАС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МАС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7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>1</w:t>
            </w:r>
          </w:p>
        </w:tc>
        <w:tc>
          <w:tcPr>
            <w:tcW w:type="dxa" w:w="10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МДС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03</w:t>
            </w:r>
          </w:p>
        </w:tc>
        <w:tc>
          <w:tcPr>
            <w:tcW w:type="dxa" w:w="2942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Numerical Linear Algebra 1</w:t>
            </w:r>
          </w:p>
        </w:tc>
        <w:tc>
          <w:tcPr>
            <w:tcW w:type="dxa" w:w="108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1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Примењена математика – наука о подацима</w:t>
            </w:r>
          </w:p>
        </w:tc>
        <w:tc>
          <w:tcPr>
            <w:tcW w:type="dxa" w:w="1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МАС</w:t>
            </w:r>
          </w:p>
        </w:tc>
      </w:tr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7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1013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МДС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15</w:t>
            </w:r>
          </w:p>
        </w:tc>
        <w:tc>
          <w:tcPr>
            <w:tcW w:type="dxa" w:w="2942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Numerical Linear Algebra 2</w:t>
            </w:r>
          </w:p>
        </w:tc>
        <w:tc>
          <w:tcPr>
            <w:tcW w:type="dxa" w:w="1081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212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uppressAutoHyphens w:val="1"/>
              <w:spacing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Примењена математика – наука о подацима</w:t>
            </w:r>
          </w:p>
        </w:tc>
        <w:tc>
          <w:tcPr>
            <w:tcW w:type="dxa" w:w="13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МАС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935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Репрезентативне референце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(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минимално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5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не више од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10)</w:t>
            </w:r>
          </w:p>
        </w:tc>
      </w:tr>
      <w:tr>
        <w:tblPrEx>
          <w:shd w:val="clear" w:color="auto" w:fill="ced7e7"/>
        </w:tblPrEx>
        <w:trPr>
          <w:trHeight w:val="66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1</w:t>
            </w:r>
          </w:p>
        </w:tc>
        <w:tc>
          <w:tcPr>
            <w:tcW w:type="dxa" w:w="7939"/>
            <w:gridSpan w:val="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Lj. Cvetkovi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and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E.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Š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anca, From pseudospectra of diagonal blocks to pseudospectrum of a full matrix, Journal of Comput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and App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Mathematics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386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, 113265 (20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21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DOI: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10.1016/j.cam.2020.113265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(M21)</w:t>
            </w:r>
          </w:p>
        </w:tc>
      </w:tr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2</w:t>
            </w:r>
          </w:p>
        </w:tc>
        <w:tc>
          <w:tcPr>
            <w:tcW w:type="dxa" w:w="7939"/>
            <w:gridSpan w:val="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E.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Š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anca,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and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Lj. Cvetkovi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F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ractional pseudospectra and their localizations, Linear Algebra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and its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Applications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559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, 244-269 (201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DOI: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10.1016/j.laa.2018.08.035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(M21)</w:t>
            </w:r>
          </w:p>
        </w:tc>
      </w:tr>
      <w:tr>
        <w:tblPrEx>
          <w:shd w:val="clear" w:color="auto" w:fill="ced7e7"/>
        </w:tblPrEx>
        <w:trPr>
          <w:trHeight w:val="66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</w:t>
            </w:r>
          </w:p>
        </w:tc>
        <w:tc>
          <w:tcPr>
            <w:tcW w:type="dxa" w:w="7939"/>
            <w:gridSpan w:val="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and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D. Garda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š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evi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, On the Ger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š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gorin-type localizations for nonlinear eigenvalue problems, Applied Mathematics and Computation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337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15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), 179-189 (201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DOI: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10.1016/j.amc.2018.05.018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(M21)</w:t>
            </w:r>
          </w:p>
        </w:tc>
      </w:tr>
      <w:tr>
        <w:tblPrEx>
          <w:shd w:val="clear" w:color="auto" w:fill="ced7e7"/>
        </w:tblPrEx>
        <w:trPr>
          <w:trHeight w:val="44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4</w:t>
            </w:r>
          </w:p>
        </w:tc>
        <w:tc>
          <w:tcPr>
            <w:tcW w:type="dxa" w:w="7939"/>
            <w:gridSpan w:val="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Lj. Cvetkovi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ć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, On the inertia of the block H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‐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matrices,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Numerical Linear Algebra with Applications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24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5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), 435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460 (2017)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DOI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: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10.1002/nla.2101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(M21)</w:t>
            </w:r>
          </w:p>
        </w:tc>
      </w:tr>
      <w:tr>
        <w:tblPrEx>
          <w:shd w:val="clear" w:color="auto" w:fill="ced7e7"/>
        </w:tblPrEx>
        <w:trPr>
          <w:trHeight w:val="882" w:hRule="atLeast"/>
        </w:trPr>
        <w:tc>
          <w:tcPr>
            <w:tcW w:type="dxa" w:w="14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233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153" w:right="0" w:hanging="153"/>
              <w:jc w:val="center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</w:p>
        </w:tc>
        <w:tc>
          <w:tcPr>
            <w:tcW w:type="dxa" w:w="7939"/>
            <w:gridSpan w:val="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widowControl w:val="0"/>
              <w:spacing w:line="240" w:lineRule="auto"/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V. Kosti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ć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S. Salzo and M. Pontil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, Batch Greenkhorn Algorithm for Entropic-Regularized Multimarginal Optimal Transport: Linear Rate of Convergence and Iteration Complexity,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Proceedings of the 39th International Conference on Machine Learning,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PMLR 162:11529-11558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2022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 xml:space="preserve">) 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  <w:lang w:val="en-US"/>
              </w:rPr>
              <w:t>(M33)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935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Збирни подаци научне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, 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односно уметничке и стручне активности наставника 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4546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Укупан број цитата</w:t>
            </w:r>
          </w:p>
        </w:tc>
        <w:tc>
          <w:tcPr>
            <w:tcW w:type="dxa" w:w="4803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752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4546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Укупан број радова са 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SCI (SSCI) </w:t>
            </w: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листе</w:t>
            </w:r>
          </w:p>
        </w:tc>
        <w:tc>
          <w:tcPr>
            <w:tcW w:type="dxa" w:w="4803"/>
            <w:gridSpan w:val="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tabs>
                <w:tab w:val="left" w:pos="567"/>
              </w:tabs>
              <w:suppressAutoHyphens w:val="0"/>
              <w:bidi w:val="0"/>
              <w:spacing w:before="0" w:after="6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38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4546"/>
            <w:gridSpan w:val="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Тренутно учешће на пројектима</w:t>
            </w:r>
          </w:p>
        </w:tc>
        <w:tc>
          <w:tcPr>
            <w:tcW w:type="dxa" w:w="162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Домаћи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            0</w:t>
            </w:r>
          </w:p>
        </w:tc>
        <w:tc>
          <w:tcPr>
            <w:tcW w:type="dxa" w:w="3178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Међународни</w:t>
            </w: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         1</w:t>
            </w:r>
          </w:p>
        </w:tc>
      </w:tr>
      <w:tr>
        <w:tblPrEx>
          <w:shd w:val="clear" w:color="auto" w:fill="ced7e7"/>
        </w:tblPrEx>
        <w:trPr>
          <w:trHeight w:val="1290" w:hRule="atLeast"/>
        </w:trPr>
        <w:tc>
          <w:tcPr>
            <w:tcW w:type="dxa" w:w="2886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Усавршавања </w:t>
            </w:r>
          </w:p>
        </w:tc>
        <w:tc>
          <w:tcPr>
            <w:tcW w:type="dxa" w:w="6463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Roman" w:hAnsi="Times Roman"/>
                <w:sz w:val="20"/>
                <w:szCs w:val="20"/>
                <w:rtl w:val="0"/>
              </w:rPr>
              <w:t xml:space="preserve">2013/14 Fellow of IMU Berlin Einstein Foundation Program, Technical University Berlin, Germany </w:t>
            </w:r>
          </w:p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Roman" w:hAnsi="Times Roman"/>
                <w:sz w:val="20"/>
                <w:szCs w:val="20"/>
                <w:rtl w:val="0"/>
              </w:rPr>
              <w:t>2020-2022 Researcher in Machine Learning and Statistical Computing, Italian Institute of Technology, Genova, Italy</w:t>
            </w:r>
          </w:p>
        </w:tc>
      </w:tr>
      <w:tr>
        <w:tblPrEx>
          <w:shd w:val="clear" w:color="auto" w:fill="ced7e7"/>
        </w:tblPrEx>
        <w:trPr>
          <w:trHeight w:val="222" w:hRule="atLeast"/>
        </w:trPr>
        <w:tc>
          <w:tcPr>
            <w:tcW w:type="dxa" w:w="9350"/>
            <w:gridSpan w:val="1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tabs>
                <w:tab w:val="left" w:pos="567"/>
              </w:tabs>
              <w:spacing w:after="60" w:line="240" w:lineRule="auto"/>
            </w:pPr>
            <w:r>
              <w:rPr>
                <w:rFonts w:ascii="Times New Roman" w:hAnsi="Times New Roman" w:hint="default"/>
                <w:sz w:val="20"/>
                <w:szCs w:val="20"/>
                <w:shd w:val="nil" w:color="auto" w:fill="auto"/>
                <w:rtl w:val="0"/>
                <w:lang w:val="en-US"/>
              </w:rPr>
              <w:t>Други подаци које сматрате релевантним</w:t>
            </w:r>
          </w:p>
        </w:tc>
      </w:tr>
    </w:tbl>
    <w:p>
      <w:pPr>
        <w:pStyle w:val="Body"/>
        <w:widowControl w:val="0"/>
        <w:spacing w:line="240" w:lineRule="auto"/>
      </w:pPr>
      <w:r/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