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63"/>
        <w:jc w:val="both"/>
        <w:spacing w:lineRule="atLeast" w:line="100" w:after="60" w:before="0"/>
        <w:tabs>
          <w:tab w:val="left" w:pos="567" w:leader="none"/>
        </w:tabs>
        <w:rPr>
          <w:position w:val="0"/>
          <w:sz w:val="22"/>
          <w:szCs w:val="22"/>
          <w:vertAlign w:val="baseline"/>
        </w:rPr>
      </w:pPr>
      <w:r>
        <w:rPr>
          <w:b/>
          <w:position w:val="0"/>
          <w:sz w:val="22"/>
          <w:szCs w:val="22"/>
          <w:vertAlign w:val="baseline"/>
        </w:rPr>
        <w:t xml:space="preserve">Табела 9.1.</w:t>
      </w:r>
      <w:r>
        <w:rPr>
          <w:position w:val="0"/>
          <w:sz w:val="22"/>
          <w:szCs w:val="22"/>
          <w:vertAlign w:val="baseline"/>
        </w:rPr>
        <w:t xml:space="preserve"> Научне, уметничке и стручне квалификације наставника и задужења у настави</w:t>
      </w:r>
      <w:r/>
    </w:p>
    <w:tbl>
      <w:tblPr>
        <w:tblInd w:w="-122" w:type="dxa"/>
        <w:tblBorders>
          <w:left w:val="single" w:color="000001" w:sz="4" w:space="0"/>
          <w:top w:val="single" w:color="000001" w:sz="4" w:space="0"/>
          <w:right w:val="single" w:color="000001" w:sz="4" w:space="0"/>
          <w:bottom w:val="single" w:color="000001" w:sz="4" w:space="0"/>
          <w:insideV w:val="single" w:color="000001" w:sz="4" w:space="0"/>
          <w:insideH w:val="single" w:color="000001" w:sz="4" w:space="0"/>
        </w:tblBorders>
        <w:tblCellMar>
          <w:left w:w="93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392"/>
        <w:gridCol w:w="2392"/>
        <w:gridCol w:w="2391"/>
        <w:gridCol w:w="2394"/>
      </w:tblGrid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Име и презиме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Јелена Алексић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Звање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Редовни професор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Назив институције у  којој наставник ради са пуним радним временом и од када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Департман за математику и информатику, Природно-математички факултет, Универзитет у Новом Саду, 2002.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Ужа научна односно уметничка област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rPr>
                <w:iCs/>
                <w:sz w:val="22"/>
                <w:szCs w:val="22"/>
                <w:lang w:val="sr-Cyrl-CS"/>
              </w:rPr>
            </w:pPr>
            <w:r>
              <w:rPr>
                <w:iCs/>
                <w:sz w:val="22"/>
                <w:szCs w:val="22"/>
                <w:lang w:val="sr-Cyrl-CS"/>
              </w:rPr>
              <w:t xml:space="preserve">Анализа и вероватноћа</w:t>
            </w:r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Академска каријера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Година 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Институција 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Област 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Избор у звање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  <w:lang w:val="sr-Cyrl-RS"/>
              </w:rPr>
              <w:t xml:space="preserve">20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Департман за математику и информатику, П</w:t>
            </w:r>
            <w:r>
              <w:rPr>
                <w:sz w:val="22"/>
                <w:szCs w:val="22"/>
              </w:rPr>
              <w:t xml:space="preserve">M</w:t>
            </w:r>
            <w:r>
              <w:rPr>
                <w:sz w:val="22"/>
                <w:szCs w:val="22"/>
                <w:lang w:val="sr-Cyrl-CS"/>
              </w:rPr>
              <w:t xml:space="preserve">Ф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Докторат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 xml:space="preserve">20</w:t>
            </w:r>
            <w:r>
              <w:rPr>
                <w:sz w:val="22"/>
                <w:szCs w:val="22"/>
                <w:lang w:val="sr-Cyrl-RS"/>
              </w:rPr>
              <w:t xml:space="preserve">09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ДМИ, П</w:t>
            </w:r>
            <w:r>
              <w:rPr>
                <w:sz w:val="22"/>
                <w:szCs w:val="22"/>
              </w:rPr>
              <w:t xml:space="preserve">M</w:t>
            </w:r>
            <w:r>
              <w:rPr>
                <w:sz w:val="22"/>
                <w:szCs w:val="22"/>
                <w:lang w:val="sr-Cyrl-CS"/>
              </w:rPr>
              <w:t xml:space="preserve">Ф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Специјализација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/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/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/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Магистратура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2006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ДМИ, П</w:t>
            </w:r>
            <w:r>
              <w:rPr>
                <w:sz w:val="22"/>
                <w:szCs w:val="22"/>
              </w:rPr>
              <w:t xml:space="preserve">M</w:t>
            </w:r>
            <w:r>
              <w:rPr>
                <w:sz w:val="22"/>
                <w:szCs w:val="22"/>
                <w:lang w:val="sr-Cyrl-CS"/>
              </w:rPr>
              <w:t xml:space="preserve">Ф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Диплома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2002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1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ДМИ, П</w:t>
            </w:r>
            <w:r>
              <w:rPr>
                <w:sz w:val="22"/>
                <w:szCs w:val="22"/>
              </w:rPr>
              <w:t xml:space="preserve">M</w:t>
            </w:r>
            <w:r>
              <w:rPr>
                <w:sz w:val="22"/>
                <w:szCs w:val="22"/>
                <w:lang w:val="sr-Cyrl-CS"/>
              </w:rPr>
              <w:t xml:space="preserve">Ф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4" w:type="dxa"/>
            <w:vAlign w:val="center"/>
            <w:textDirection w:val="lrTb"/>
            <w:noWrap w:val="false"/>
          </w:tcPr>
          <w:p>
            <w:pPr>
              <w:pStyle w:val="163"/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 xml:space="preserve">математика</w:t>
            </w:r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Списак предмета које наставник држи у текућој школској години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Р.Б.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назив предмета     </w:t>
            </w:r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врста студија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1.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  <w:t xml:space="preserve">Анализа 2</w:t>
            </w:r>
            <w:r/>
          </w:p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М</w:t>
            </w:r>
            <w:r>
              <w:t xml:space="preserve">5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2.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  <w:t xml:space="preserve">Анализа 3</w:t>
            </w:r>
            <w:r/>
          </w:p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М</w:t>
            </w:r>
            <w:r>
              <w:t xml:space="preserve">5, М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4.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Моделирање динамичких система</w:t>
            </w:r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МАП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none" w:color="000000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3.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none" w:color="000000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</w:pPr>
            <w:r>
              <w:rPr>
                <w:rFonts w:ascii="Verdana" w:hAnsi="Verdana"/>
                <w:b w:val="false"/>
                <w:i w:val="false"/>
                <w:strike w:val="false"/>
                <w:dstrike w:val="false"/>
                <w:sz w:val="18"/>
                <w:u w:val="none"/>
              </w:rPr>
              <w:t xml:space="preserve">Обичне диференцијалне једначине</w:t>
            </w:r>
            <w:r/>
          </w:p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none" w:color="000000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М5</w:t>
            </w:r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Репрезентативне референце (минимално 5 не више од 10)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numPr>
                <w:ilvl w:val="0"/>
                <w:numId w:val="1"/>
              </w:numPr>
              <w:ind w:left="720" w:right="0" w:firstLine="360"/>
              <w:spacing w:lineRule="atLeast" w:line="100" w:after="60" w:before="0"/>
              <w:widowControl/>
              <w:tabs>
                <w:tab w:val="left" w:pos="1287" w:leader="none"/>
              </w:tabs>
            </w:pPr>
            <w:r/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ind w:left="0" w:hanging="0"/>
              <w:jc w:val="left"/>
            </w:pPr>
            <w:r>
              <w:rPr>
                <w:szCs w:val="20"/>
              </w:rPr>
              <w:t xml:space="preserve">Aleksić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Jelena</w:t>
            </w:r>
            <w:r>
              <w:rPr>
                <w:szCs w:val="20"/>
              </w:rPr>
              <w:t xml:space="preserve">; </w:t>
            </w:r>
            <w:r>
              <w:rPr>
                <w:szCs w:val="20"/>
              </w:rPr>
              <w:t xml:space="preserve">Mitrović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Darko</w:t>
            </w:r>
            <w:r>
              <w:rPr>
                <w:szCs w:val="20"/>
              </w:rPr>
              <w:t xml:space="preserve"> Strong traces for averaged solutions of heterogeneous ultra-parabolic transport equations. </w:t>
            </w:r>
            <w:r>
              <w:rPr>
                <w:rStyle w:val="169"/>
                <w:i w:val="false"/>
                <w:iCs w:val="false"/>
                <w:szCs w:val="20"/>
              </w:rPr>
              <w:t xml:space="preserve">J. Hyperbolic Differ. </w:t>
            </w:r>
            <w:r>
              <w:rPr>
                <w:rStyle w:val="169"/>
                <w:i w:val="false"/>
                <w:iCs w:val="false"/>
                <w:szCs w:val="20"/>
              </w:rPr>
              <w:t xml:space="preserve">Equ</w:t>
            </w:r>
            <w:r>
              <w:rPr>
                <w:rStyle w:val="169"/>
                <w:i w:val="false"/>
                <w:iCs w:val="false"/>
                <w:szCs w:val="20"/>
              </w:rPr>
              <w:t xml:space="preserve">.</w:t>
            </w:r>
            <w:r>
              <w:rPr>
                <w:szCs w:val="20"/>
              </w:rPr>
              <w:t xml:space="preserve"> 10 (2013), no. 4, 659–676. ISSN 0219-8916 DOI number </w:t>
            </w:r>
            <w:r>
              <w:rPr>
                <w:rStyle w:val="66"/>
                <w:color w:val="auto"/>
                <w:szCs w:val="20"/>
                <w:u w:val="none"/>
              </w:rPr>
              <w:t xml:space="preserve">10.1142/S0219891613500239</w:t>
            </w:r>
            <w:r>
              <w:rPr>
                <w:szCs w:val="20"/>
              </w:rPr>
              <w:t xml:space="preserve">,</w:t>
            </w:r>
            <w:r>
              <w:rPr>
                <w:szCs w:val="20"/>
              </w:rPr>
              <w:t xml:space="preserve"> i</w:t>
            </w:r>
            <w:r>
              <w:rPr>
                <w:szCs w:val="20"/>
              </w:rPr>
              <w:t xml:space="preserve">mpact factor 0.426,  category M23-Mathematics, Applied</w:t>
            </w:r>
            <w:r>
              <w:rPr>
                <w:szCs w:val="20"/>
              </w:rPr>
            </w:r>
            <w:r/>
          </w:p>
          <w:p>
            <w:pPr>
              <w:pStyle w:val="163"/>
              <w:jc w:val="both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numPr>
                <w:ilvl w:val="0"/>
                <w:numId w:val="1"/>
              </w:numPr>
              <w:ind w:left="720" w:right="0" w:firstLine="360"/>
              <w:spacing w:lineRule="atLeast" w:line="100" w:after="60" w:before="0"/>
              <w:widowControl/>
              <w:tabs>
                <w:tab w:val="left" w:pos="1287" w:leader="none"/>
              </w:tabs>
            </w:pPr>
            <w:r/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hyperlink r:id="rId8" w:history="1">
              <w:r>
                <w:rPr>
                  <w:rStyle w:val="167"/>
                </w:rPr>
                <w:t xml:space="preserve">Aleksić, J.</w:t>
              </w:r>
            </w:hyperlink>
            <w:r>
              <w:t xml:space="preserve">; </w:t>
            </w:r>
            <w:hyperlink r:id="rId9" w:history="1">
              <w:r>
                <w:rPr>
                  <w:rStyle w:val="167"/>
                </w:rPr>
                <w:t xml:space="preserve">Pilipović, S.</w:t>
              </w:r>
            </w:hyperlink>
            <w:r>
              <w:t xml:space="preserve">; </w:t>
            </w:r>
            <w:hyperlink r:id="rId10" w:history="1">
              <w:r>
                <w:rPr>
                  <w:rStyle w:val="167"/>
                </w:rPr>
                <w:t xml:space="preserve">Vojnović, I.</w:t>
              </w:r>
            </w:hyperlink>
            <w:r>
              <w:t xml:space="preserve"> </w:t>
            </w:r>
            <w:bookmarkStart w:id="0" w:name="MathJax-Element-1-Frame"/>
            <w:r/>
            <w:bookmarkStart w:id="1" w:name="MathJax-Span-1"/>
            <w:r/>
            <w:bookmarkStart w:id="2" w:name="MathJax-Span-2"/>
            <w:r/>
            <w:bookmarkStart w:id="3" w:name="MathJax-Span-3"/>
            <w:r/>
            <w:bookmarkEnd w:id="0"/>
            <w:r/>
            <w:bookmarkEnd w:id="1"/>
            <w:r/>
            <w:bookmarkEnd w:id="2"/>
            <w:r/>
            <w:bookmarkEnd w:id="3"/>
            <w:r>
              <w:rPr>
                <w:rFonts w:ascii="STIXGeneral" w:hAnsi="STIXGeneral"/>
                <w:i/>
              </w:rPr>
              <w:t xml:space="preserve">H</w:t>
            </w:r>
            <w:r>
              <w:t xml:space="preserve">-distributions via Sobolev spaces. </w:t>
            </w:r>
            <w:hyperlink r:id="rId11" w:history="1">
              <w:r>
                <w:rPr>
                  <w:rStyle w:val="169"/>
                </w:rPr>
                <w:t xml:space="preserve">Mediterr. J. Math.</w:t>
              </w:r>
            </w:hyperlink>
            <w:r>
              <w:t xml:space="preserve"> </w:t>
            </w:r>
            <w:hyperlink r:id="rId12" w:history="1">
              <w:r>
                <w:rPr>
                  <w:rStyle w:val="167"/>
                </w:rPr>
                <w:t xml:space="preserve">13 </w:t>
              </w:r>
            </w:hyperlink>
            <w:r/>
            <w:hyperlink r:id="rId13" w:history="1">
              <w:r>
                <w:rPr>
                  <w:rStyle w:val="167"/>
                </w:rPr>
                <w:t xml:space="preserve">(2016), </w:t>
              </w:r>
            </w:hyperlink>
            <w:r/>
            <w:hyperlink r:id="rId14" w:history="1">
              <w:r>
                <w:rPr>
                  <w:rStyle w:val="167"/>
                </w:rPr>
                <w:t xml:space="preserve">no. 5,</w:t>
              </w:r>
            </w:hyperlink>
            <w:r>
              <w:t xml:space="preserve"> 3499–3512. </w:t>
            </w:r>
            <w:r>
              <w:t xml:space="preserve">https://doi.org/10.1007/s00009-016-0699-3,  </w:t>
            </w:r>
            <w:r>
              <w:rPr>
                <w:rFonts w:ascii="Times" w:hAnsi="Times" w:cs="Times" w:eastAsia="Times"/>
                <w:color w:val="000000"/>
                <w:sz w:val="24"/>
              </w:rPr>
              <w:t xml:space="preserve">impact factor </w:t>
            </w:r>
            <w:r>
              <w:t xml:space="preserve">1.305, </w:t>
            </w:r>
            <w:r>
              <w:rPr>
                <w:color w:val="000000"/>
                <w:szCs w:val="20"/>
              </w:rPr>
              <w:t xml:space="preserve">category M21-Mathematics </w:t>
            </w:r>
            <w:r/>
            <w:r/>
            <w:r/>
            <w:r/>
          </w:p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numPr>
                <w:ilvl w:val="0"/>
                <w:numId w:val="1"/>
              </w:numPr>
              <w:ind w:left="720" w:right="0" w:firstLine="360"/>
              <w:spacing w:lineRule="atLeast" w:line="100" w:after="60" w:before="0"/>
              <w:widowControl/>
              <w:tabs>
                <w:tab w:val="left" w:pos="1287" w:leader="none"/>
              </w:tabs>
            </w:pPr>
            <w:r/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ind w:left="0" w:hanging="0"/>
              <w:jc w:val="left"/>
            </w:pPr>
            <w:r>
              <w:rPr>
                <w:szCs w:val="20"/>
              </w:rPr>
              <w:t xml:space="preserve">Aleksić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Jelena</w:t>
            </w:r>
            <w:r>
              <w:rPr>
                <w:szCs w:val="20"/>
              </w:rPr>
              <w:t xml:space="preserve">; </w:t>
            </w:r>
            <w:r>
              <w:rPr>
                <w:szCs w:val="20"/>
              </w:rPr>
              <w:t xml:space="preserve">Pilipović</w:t>
            </w:r>
            <w:r>
              <w:rPr>
                <w:szCs w:val="20"/>
              </w:rPr>
              <w:t xml:space="preserve">, </w:t>
            </w:r>
            <w:r>
              <w:rPr>
                <w:szCs w:val="20"/>
              </w:rPr>
              <w:t xml:space="preserve">Stevan</w:t>
            </w:r>
            <w:r>
              <w:rPr>
                <w:szCs w:val="20"/>
              </w:rPr>
              <w:t xml:space="preserve"> </w:t>
            </w:r>
            <w:r>
              <w:rPr>
                <w:color w:val="000000"/>
                <w:szCs w:val="20"/>
              </w:rPr>
              <w:t xml:space="preserve">Two scale defect measure and linear equations with oscillating coefficients, accepted in </w:t>
            </w:r>
            <w:r>
              <w:rPr>
                <w:color w:val="000000"/>
                <w:szCs w:val="20"/>
              </w:rPr>
              <w:t xml:space="preserve">Filomat</w:t>
            </w:r>
            <w:r>
              <w:rPr>
                <w:color w:val="000000"/>
                <w:szCs w:val="20"/>
              </w:rPr>
              <w:t xml:space="preserve"> 2019, ISSN </w:t>
            </w:r>
            <w:r>
              <w:rPr>
                <w:szCs w:val="20"/>
              </w:rPr>
              <w:t xml:space="preserve">0354-5180, </w:t>
            </w:r>
            <w:r>
              <w:rPr>
                <w:color w:val="000000"/>
                <w:szCs w:val="20"/>
              </w:rPr>
              <w:t xml:space="preserve">impact factor 0.789,  category M22-Mathematics </w:t>
            </w:r>
            <w:hyperlink r:id="rId15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https://doi.org/10.2298/FIL1909867A</w:t>
              </w:r>
            </w:hyperlink>
            <w:r>
              <w:rPr>
                <w:color w:val="000000"/>
                <w:szCs w:val="20"/>
              </w:rPr>
            </w:r>
            <w:r>
              <w:rPr>
                <w:szCs w:val="20"/>
              </w:rPr>
            </w:r>
            <w:r/>
          </w:p>
          <w:p>
            <w:pPr>
              <w:pStyle w:val="163"/>
              <w:jc w:val="both"/>
              <w:spacing w:lineRule="atLeast" w:line="100" w:after="60" w:before="0"/>
              <w:tabs>
                <w:tab w:val="left" w:pos="567" w:leader="none"/>
              </w:tabs>
            </w:pPr>
            <w:r/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numPr>
                <w:ilvl w:val="0"/>
                <w:numId w:val="1"/>
              </w:numPr>
              <w:ind w:left="720" w:right="0" w:firstLine="360"/>
              <w:spacing w:lineRule="atLeast" w:line="100" w:after="60" w:before="0"/>
              <w:widowControl/>
              <w:tabs>
                <w:tab w:val="left" w:pos="1287" w:leader="none"/>
              </w:tabs>
            </w:pPr>
            <w:r/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jc w:val="both"/>
              <w:spacing w:lineRule="atLeast" w:line="100" w:after="60" w:before="0"/>
              <w:tabs>
                <w:tab w:val="left" w:pos="567" w:leader="none"/>
              </w:tabs>
            </w:pPr>
            <w:r/>
            <w:hyperlink r:id="rId16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Aleksić, Jelena</w:t>
              </w:r>
            </w:hyperlink>
            <w:r>
              <w:rPr>
                <w:rFonts w:ascii="Times" w:hAnsi="Times" w:cs="Times" w:eastAsia="Times"/>
                <w:color w:val="000000"/>
                <w:sz w:val="24"/>
              </w:rPr>
              <w:t xml:space="preserve">; </w:t>
            </w:r>
            <w:hyperlink r:id="rId17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Pilipović, Stevan</w:t>
              </w:r>
            </w:hyperlink>
            <w:r>
              <w:rPr>
                <w:rFonts w:ascii="Times" w:hAnsi="Times" w:cs="Times" w:eastAsia="Times"/>
                <w:color w:val="000000"/>
                <w:sz w:val="24"/>
              </w:rPr>
              <w:t xml:space="preserve">; </w:t>
            </w:r>
            <w:hyperlink r:id="rId18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Vojnović, Ivana</w:t>
              </w:r>
            </w:hyperlink>
            <w:r>
              <w:rPr>
                <w:rFonts w:ascii="Times" w:hAnsi="Times" w:cs="Times" w:eastAsia="Times"/>
                <w:color w:val="000000"/>
                <w:sz w:val="24"/>
              </w:rPr>
              <w:t xml:space="preserve"> H-distributions with unbounded multipliers.</w:t>
            </w:r>
            <w:hyperlink r:id="rId19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 </w:t>
              </w:r>
              <w:r>
                <w:rPr>
                  <w:rStyle w:val="66"/>
                  <w:rFonts w:ascii="Times" w:hAnsi="Times" w:cs="Times" w:eastAsia="Times"/>
                  <w:i/>
                  <w:color w:val="0000EE"/>
                  <w:sz w:val="24"/>
                  <w:u w:val="single"/>
                </w:rPr>
                <w:t xml:space="preserve">J. Pseudo-Differ. Oper. Appl.</w:t>
              </w:r>
            </w:hyperlink>
            <w:r>
              <w:rPr>
                <w:rFonts w:ascii="Times" w:hAnsi="Times" w:cs="Times" w:eastAsia="Times"/>
                <w:color w:val="000000"/>
                <w:sz w:val="24"/>
              </w:rPr>
              <w:t xml:space="preserve"> </w:t>
            </w:r>
            <w:hyperlink r:id="rId20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 9 </w:t>
              </w:r>
            </w:hyperlink>
            <w:hyperlink r:id="rId21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 (2018), </w:t>
              </w:r>
            </w:hyperlink>
            <w:hyperlink r:id="rId22" w:history="1">
              <w:r>
                <w:rPr>
                  <w:rStyle w:val="66"/>
                  <w:rFonts w:ascii="Times" w:hAnsi="Times" w:cs="Times" w:eastAsia="Times"/>
                  <w:color w:val="0000EE"/>
                  <w:sz w:val="24"/>
                  <w:u w:val="single"/>
                </w:rPr>
                <w:t xml:space="preserve"> no. 3,</w:t>
              </w:r>
            </w:hyperlink>
            <w:r>
              <w:rPr>
                <w:rFonts w:ascii="Times" w:hAnsi="Times" w:cs="Times" w:eastAsia="Times"/>
                <w:color w:val="000000"/>
                <w:sz w:val="24"/>
              </w:rPr>
              <w:t xml:space="preserve"> 615–641. </w:t>
            </w:r>
            <w:r>
              <w:rPr>
                <w:color w:val="000000"/>
                <w:szCs w:val="20"/>
              </w:rPr>
              <w:t xml:space="preserve">impact factor </w:t>
            </w:r>
            <w:r/>
            <w:r>
              <w:t xml:space="preserve">1.260, </w:t>
            </w:r>
            <w:r>
              <w:rPr>
                <w:color w:val="000000"/>
                <w:szCs w:val="20"/>
              </w:rPr>
              <w:t xml:space="preserve"> category M22-Mathematics, Applied Mathematics, </w:t>
            </w:r>
            <w:r>
              <w:t xml:space="preserve">https://doi.org/10.1007/s11868-017-0200-5</w:t>
            </w:r>
            <w:r>
              <w:rPr>
                <w:color w:val="000000"/>
                <w:szCs w:val="20"/>
              </w:rPr>
            </w:r>
            <w:r/>
            <w:r/>
            <w:r/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numPr>
                <w:ilvl w:val="0"/>
                <w:numId w:val="1"/>
              </w:numPr>
              <w:ind w:left="720" w:right="0" w:firstLine="360"/>
              <w:spacing w:lineRule="atLeast" w:line="100" w:after="60" w:before="0"/>
              <w:widowControl/>
              <w:tabs>
                <w:tab w:val="left" w:pos="1287" w:leader="none"/>
              </w:tabs>
            </w:pPr>
            <w:r/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/>
            <w:r>
              <w:rPr>
                <w:rFonts w:ascii="Times" w:hAnsi="Times" w:cs="Times" w:eastAsia="Times"/>
                <w:color w:val="000000"/>
                <w:sz w:val="24"/>
              </w:rPr>
              <w:t xml:space="preserve">Aleksić, J., Pilipović, S. &amp; Vojnović, I. Defect Distributions Related to Weakly Convergent Sequences in Bessel-Type Spaces </w:t>
            </w:r>
            <w:r>
              <w:rPr>
                <w:rFonts w:ascii="STIXGeneral" w:hAnsi="STIXGeneral" w:cs="STIXGeneral" w:eastAsia="STIXGeneral"/>
                <w:i/>
                <w:color w:val="000000"/>
                <w:sz w:val="28"/>
              </w:rPr>
              <w:t xml:space="preserve">𝐻</w:t>
            </w:r>
            <w:r>
              <w:rPr>
                <w:rFonts w:ascii="STIXGeneral" w:hAnsi="STIXGeneral" w:cs="STIXGeneral" w:eastAsia="STIXGeneral"/>
                <w:color w:val="000000"/>
              </w:rPr>
              <w:t xml:space="preserve">−</w:t>
            </w:r>
            <w:r>
              <w:rPr>
                <w:rFonts w:ascii="STIXGeneral" w:hAnsi="STIXGeneral" w:cs="STIXGeneral" w:eastAsia="STIXGeneral"/>
                <w:i/>
                <w:color w:val="000000"/>
              </w:rPr>
              <w:t xml:space="preserve">𝑠</w:t>
            </w:r>
            <w:r>
              <w:rPr>
                <w:rFonts w:ascii="STIXGeneral" w:hAnsi="STIXGeneral" w:cs="STIXGeneral" w:eastAsia="STIXGeneral"/>
                <w:color w:val="000000"/>
              </w:rPr>
              <w:t xml:space="preserve">,</w:t>
            </w:r>
            <w:r>
              <w:rPr>
                <w:rFonts w:ascii="STIXGeneral" w:hAnsi="STIXGeneral" w:cs="STIXGeneral" w:eastAsia="STIXGeneral"/>
                <w:i/>
                <w:color w:val="000000"/>
              </w:rPr>
              <w:t xml:space="preserve">𝑝</w:t>
            </w:r>
            <w:r>
              <w:rPr>
                <w:rFonts w:ascii="STIXGeneral" w:hAnsi="STIXGeneral" w:cs="STIXGeneral" w:eastAsia="STIXGeneral"/>
                <w:color w:val="000000"/>
              </w:rPr>
              <w:t xml:space="preserve">Λ</w:t>
            </w:r>
            <w:r>
              <w:rPr>
                <w:rFonts w:ascii="Times" w:hAnsi="Times" w:cs="Times" w:eastAsia="Times"/>
                <w:color w:val="000000"/>
                <w:sz w:val="24"/>
              </w:rPr>
              <w:t xml:space="preserve">. </w:t>
            </w:r>
            <w:r>
              <w:rPr>
                <w:rFonts w:ascii="Times" w:hAnsi="Times" w:cs="Times" w:eastAsia="Times"/>
                <w:i/>
                <w:color w:val="000000"/>
                <w:sz w:val="24"/>
              </w:rPr>
              <w:t xml:space="preserve">Mediterr. J. Math.</w:t>
            </w:r>
            <w:r>
              <w:rPr>
                <w:rFonts w:ascii="Times" w:hAnsi="Times" w:cs="Times" w:eastAsia="Times"/>
                <w:color w:val="000000"/>
                <w:sz w:val="24"/>
              </w:rPr>
              <w:t xml:space="preserve"> </w:t>
            </w:r>
            <w:r>
              <w:rPr>
                <w:rFonts w:ascii="Times" w:hAnsi="Times" w:cs="Times" w:eastAsia="Times"/>
                <w:b/>
                <w:color w:val="000000"/>
                <w:sz w:val="24"/>
              </w:rPr>
              <w:t xml:space="preserve">15</w:t>
            </w:r>
            <w:r>
              <w:rPr>
                <w:rFonts w:ascii="Times" w:hAnsi="Times" w:cs="Times" w:eastAsia="Times"/>
                <w:color w:val="000000"/>
                <w:sz w:val="24"/>
              </w:rPr>
              <w:t xml:space="preserve">, 142 (2018). https://doi.org/10.1007/s00009-018-1185-x, impact factor </w:t>
            </w:r>
            <w:r>
              <w:t xml:space="preserve">1.305, </w:t>
            </w:r>
            <w:r>
              <w:rPr>
                <w:color w:val="000000"/>
                <w:szCs w:val="20"/>
              </w:rPr>
              <w:t xml:space="preserve">category M21-Mathematics </w:t>
            </w:r>
            <w:r/>
            <w:r/>
            <w:r>
              <w:rPr>
                <w:rFonts w:ascii="Times" w:hAnsi="Times" w:cs="Times" w:eastAsia="Times"/>
                <w:color w:val="000000"/>
                <w:sz w:val="24"/>
              </w:rPr>
            </w:r>
            <w:r/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b/>
                <w:position w:val="0"/>
                <w:sz w:val="24"/>
                <w:vertAlign w:val="baseline"/>
              </w:rPr>
            </w:pPr>
            <w:r>
              <w:rPr>
                <w:b/>
                <w:position w:val="0"/>
                <w:sz w:val="24"/>
                <w:vertAlign w:val="baseline"/>
              </w:rPr>
              <w:t xml:space="preserve">Збирни подаци научне, односно уметничке и стручне активности наставника 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Укупан број цитата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45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Укупан број радова са SCI (SSCI) листе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</w:pPr>
            <w:r>
              <w:t xml:space="preserve">13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Тренутно учешће на пројектима</w:t>
            </w:r>
            <w:r/>
          </w:p>
        </w:tc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Домаћи</w:t>
            </w:r>
            <w:r/>
          </w:p>
        </w:tc>
        <w:tc>
          <w:tcPr>
            <w:gridSpan w:val="2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4785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Међународни</w:t>
            </w:r>
            <w:r/>
          </w:p>
        </w:tc>
      </w:tr>
      <w:tr>
        <w:trPr>
          <w:cantSplit w:val="false"/>
          <w:trHeight w:val="220"/>
        </w:trPr>
        <w:tc>
          <w:tcPr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2392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Усавршавања </w:t>
            </w:r>
            <w:r/>
          </w:p>
        </w:tc>
        <w:tc>
          <w:tcPr>
            <w:gridSpan w:val="3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7177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 xml:space="preserve">Institut für Technische Mathematik, Geometrie und Bauinformatik, Innsbruck, Austria, 200</w:t>
            </w:r>
            <w:r>
              <w:rPr>
                <w:sz w:val="22"/>
                <w:szCs w:val="22"/>
                <w:lang w:val="sr-Cyrl-CS"/>
              </w:rPr>
              <w:t xml:space="preserve">4</w:t>
            </w:r>
            <w:r>
              <w:rPr>
                <w:sz w:val="22"/>
                <w:szCs w:val="22"/>
                <w:lang w:val="de-DE"/>
              </w:rPr>
              <w:t xml:space="preserve"> (ÖAD stipendija).</w:t>
            </w:r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spacing w:lineRule="atLeast" w:line="100" w:after="60" w:before="0"/>
              <w:tabs>
                <w:tab w:val="left" w:pos="567" w:leader="none"/>
              </w:tabs>
              <w:rPr>
                <w:position w:val="0"/>
                <w:sz w:val="24"/>
                <w:vertAlign w:val="baseline"/>
              </w:rPr>
            </w:pPr>
            <w:r>
              <w:rPr>
                <w:position w:val="0"/>
                <w:sz w:val="24"/>
                <w:vertAlign w:val="baseline"/>
              </w:rPr>
              <w:t xml:space="preserve">Други подаци које сматрате релевантним</w:t>
            </w:r>
            <w:r/>
          </w:p>
        </w:tc>
      </w:tr>
      <w:tr>
        <w:trPr>
          <w:cantSplit w:val="false"/>
          <w:trHeight w:val="220"/>
        </w:trPr>
        <w:tc>
          <w:tcPr>
            <w:gridSpan w:val="4"/>
            <w:shd w:val="clear" w:color="auto" w:fill="FFFFFF"/>
            <w:tcBorders>
              <w:left w:val="single" w:color="000001" w:sz="4" w:space="0"/>
              <w:top w:val="single" w:color="000001" w:sz="4" w:space="0"/>
              <w:right w:val="single" w:color="000001" w:sz="4" w:space="0"/>
              <w:bottom w:val="single" w:color="000001" w:sz="4" w:space="0"/>
              <w:insideV w:val="single" w:color="000001" w:sz="4" w:space="0"/>
              <w:insideH w:val="single" w:color="000001" w:sz="4" w:space="0"/>
            </w:tcBorders>
            <w:tcMar>
              <w:left w:w="93" w:type="dxa"/>
              <w:top w:w="0" w:type="auto"/>
              <w:right w:w="0" w:type="auto"/>
              <w:bottom w:w="0" w:type="auto"/>
            </w:tcMar>
            <w:tcW w:w="9569" w:type="dxa"/>
            <w:vAlign w:val="center"/>
            <w:textDirection w:val="lrTb"/>
            <w:noWrap w:val="false"/>
          </w:tcPr>
          <w:p>
            <w:pPr>
              <w:pStyle w:val="163"/>
              <w:jc w:val="both"/>
              <w:spacing w:lineRule="exact" w:line="280" w:after="60" w:before="0"/>
              <w:tabs>
                <w:tab w:val="left" w:pos="567" w:leader="none"/>
              </w:tabs>
              <w:rPr>
                <w:bCs/>
                <w:position w:val="0"/>
                <w:sz w:val="24"/>
                <w:vertAlign w:val="baseline"/>
              </w:rPr>
            </w:pPr>
            <w:r>
              <w:rPr>
                <w:position w:val="0"/>
                <w:sz w:val="22"/>
                <w:szCs w:val="22"/>
                <w:vertAlign w:val="baseline"/>
                <w:lang w:val="sr-Cyrl-CS"/>
              </w:rPr>
              <w:t xml:space="preserve">Члан центра изврсности </w:t>
            </w:r>
            <w:r>
              <w:rPr>
                <w:bCs/>
                <w:i/>
                <w:position w:val="0"/>
                <w:sz w:val="22"/>
                <w:szCs w:val="22"/>
                <w:vertAlign w:val="baseline"/>
              </w:rPr>
              <w:t xml:space="preserve">Centre for Mathematical Research of Nonlinear Phenomena</w:t>
            </w:r>
            <w:r>
              <w:rPr>
                <w:bCs/>
                <w:i/>
                <w:position w:val="0"/>
                <w:sz w:val="22"/>
                <w:szCs w:val="22"/>
                <w:vertAlign w:val="baseline"/>
                <w:lang w:val="sr-Cyrl-CS"/>
              </w:rPr>
              <w:t xml:space="preserve"> (</w:t>
            </w:r>
            <w:r>
              <w:rPr>
                <w:bCs/>
                <w:i/>
                <w:position w:val="0"/>
                <w:sz w:val="22"/>
                <w:szCs w:val="22"/>
                <w:vertAlign w:val="baseline"/>
              </w:rPr>
              <w:t xml:space="preserve">CMRNP</w:t>
            </w:r>
            <w:r>
              <w:rPr>
                <w:bCs/>
                <w:i/>
                <w:position w:val="0"/>
                <w:sz w:val="22"/>
                <w:szCs w:val="22"/>
                <w:vertAlign w:val="baseline"/>
                <w:lang w:val="sr-Cyrl-CS"/>
              </w:rPr>
              <w:t xml:space="preserve">) </w:t>
            </w:r>
            <w:r>
              <w:rPr>
                <w:position w:val="0"/>
                <w:sz w:val="22"/>
                <w:szCs w:val="22"/>
                <w:vertAlign w:val="baseline"/>
                <w:lang w:val="sr-Cyrl-CS"/>
              </w:rPr>
              <w:t xml:space="preserve"> у Новом Саду. Регионални координатор удружења </w:t>
            </w:r>
            <w:r>
              <w:rPr>
                <w:position w:val="0"/>
                <w:sz w:val="22"/>
                <w:szCs w:val="22"/>
                <w:vertAlign w:val="baseline"/>
                <w:lang w:val="sr-Latn-RS"/>
              </w:rPr>
              <w:t xml:space="preserve">“</w:t>
            </w:r>
            <w:r>
              <w:rPr>
                <w:position w:val="0"/>
                <w:sz w:val="22"/>
                <w:szCs w:val="22"/>
                <w:vertAlign w:val="baseline"/>
                <w:lang w:val="sr-Cyrl-CS"/>
              </w:rPr>
              <w:t xml:space="preserve">Europian </w:t>
            </w:r>
            <w:r>
              <w:rPr>
                <w:position w:val="0"/>
                <w:sz w:val="22"/>
                <w:szCs w:val="22"/>
                <w:vertAlign w:val="baseline"/>
                <w:lang w:val="sr-Latn-RS"/>
              </w:rPr>
              <w:t xml:space="preserve">Women in Mathematics“.</w:t>
            </w:r>
            <w:r>
              <w:rPr>
                <w:position w:val="0"/>
                <w:sz w:val="22"/>
                <w:szCs w:val="22"/>
                <w:vertAlign w:val="baseline"/>
                <w:lang w:val="sr-Cyrl-RS"/>
              </w:rPr>
              <w:t xml:space="preserve"> </w:t>
            </w:r>
            <w:r>
              <w:rPr>
                <w:position w:val="0"/>
                <w:sz w:val="22"/>
                <w:szCs w:val="22"/>
                <w:vertAlign w:val="baseline"/>
                <w:lang w:val="sr-Latn-RS"/>
              </w:rPr>
              <w:t xml:space="preserve">Reviewer za Mathematical Reviews </w:t>
            </w:r>
            <w:r>
              <w:rPr>
                <w:position w:val="0"/>
                <w:sz w:val="24"/>
                <w:vertAlign w:val="baseline"/>
              </w:rPr>
              <w:t xml:space="preserve">MR Author ID: </w:t>
            </w:r>
            <w:r>
              <w:rPr>
                <w:bCs/>
                <w:position w:val="0"/>
                <w:sz w:val="24"/>
                <w:vertAlign w:val="baseline"/>
              </w:rPr>
              <w:t xml:space="preserve">866427.</w:t>
            </w:r>
            <w:r/>
          </w:p>
        </w:tc>
      </w:tr>
    </w:tbl>
    <w:p>
      <w:pPr>
        <w:pStyle w:val="163"/>
        <w:jc w:val="both"/>
        <w:spacing w:lineRule="atLeast" w:line="100" w:after="60" w:before="0"/>
        <w:tabs>
          <w:tab w:val="left" w:pos="567" w:leader="none"/>
        </w:tabs>
      </w:pPr>
      <w:r/>
      <w:r/>
    </w:p>
    <w:sectPr>
      <w:footnotePr/>
      <w:type w:val="nextPage"/>
      <w:pgSz w:w="11906" w:h="16838"/>
      <w:pgMar w:top="1134" w:right="1134" w:bottom="1134" w:left="1134" w:gutter="0" w:header="0" w:footer="0"/>
      <w:cols w:num="1" w:sep="0" w:space="170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</w:font>
  <w:font w:name="STIXGeneral"/>
  <w:font w:name="Verdana">
    <w:panose1 w:val="020B0604030504040204"/>
  </w:font>
  <w:font w:name="Symbol">
    <w:panose1 w:val="02000000000000000000"/>
  </w:font>
  <w:font w:name="Wingdings">
    <w:panose1 w:val="05000000000000000000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Arial Unicode MS">
    <w:panose1 w:val="020B0604020202020204"/>
  </w:font>
  <w:font w:name="Liberation Serif">
    <w:panose1 w:val="0205070206050A020403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/>
      <w:r>
        <w:separator/>
      </w:r>
    </w:p>
  </w:footnote>
  <w:footnote w:type="continuationSeparator" w:id="0">
    <w:p>
      <w:pPr>
        <w:spacing w:lineRule="auto" w:line="240" w:after="0"/>
      </w:pPr>
      <w:r/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720" w:hanging="359"/>
      </w:pPr>
      <w:rPr>
        <w:position w:val="0"/>
        <w:sz w:val="24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1079"/>
      </w:pPr>
      <w:rPr>
        <w:position w:val="0"/>
        <w:sz w:val="24"/>
        <w:vertAlign w:val="baseline"/>
      </w:rPr>
    </w:lvl>
    <w:lvl w:ilvl="2">
      <w:start w:val="1"/>
      <w:numFmt w:val="lowerRoman"/>
      <w:suff w:val="tab"/>
      <w:lvlText w:val="%3."/>
      <w:lvlJc w:val="right"/>
      <w:pPr>
        <w:ind w:left="2160" w:hanging="1979"/>
      </w:pPr>
      <w:rPr>
        <w:position w:val="0"/>
        <w:sz w:val="24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2519"/>
      </w:pPr>
      <w:rPr>
        <w:position w:val="0"/>
        <w:sz w:val="24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239"/>
      </w:pPr>
      <w:rPr>
        <w:position w:val="0"/>
        <w:sz w:val="24"/>
        <w:vertAlign w:val="baseline"/>
      </w:rPr>
    </w:lvl>
    <w:lvl w:ilvl="5">
      <w:start w:val="1"/>
      <w:numFmt w:val="lowerRoman"/>
      <w:suff w:val="tab"/>
      <w:lvlText w:val="%6."/>
      <w:lvlJc w:val="right"/>
      <w:pPr>
        <w:ind w:left="4320" w:hanging="4139"/>
      </w:pPr>
      <w:rPr>
        <w:position w:val="0"/>
        <w:sz w:val="24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4679"/>
      </w:pPr>
      <w:rPr>
        <w:position w:val="0"/>
        <w:sz w:val="24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5399"/>
      </w:pPr>
      <w:rPr>
        <w:position w:val="0"/>
        <w:sz w:val="24"/>
        <w:vertAlign w:val="baseline"/>
      </w:rPr>
    </w:lvl>
    <w:lvl w:ilvl="8">
      <w:start w:val="1"/>
      <w:numFmt w:val="lowerRoman"/>
      <w:suff w:val="tab"/>
      <w:lvlText w:val="%9."/>
      <w:lvlJc w:val="right"/>
      <w:pPr>
        <w:ind w:left="6480" w:hanging="6299"/>
      </w:pPr>
      <w:rPr>
        <w:position w:val="0"/>
        <w:sz w:val="24"/>
        <w:vertAlign w:val="baseline"/>
      </w:rPr>
    </w:lvl>
  </w:abstractNum>
  <w:abstractNum w:abstractNumId="1">
    <w:multiLevelType w:val="hybridMultilevel"/>
    <w:lvl w:ilvl="0">
      <w:start w:val="1"/>
      <w:numFmt w:val="none"/>
      <w:suff w:val="nothing"/>
      <w:lvlText w:val=""/>
      <w:lvlJc w:val="left"/>
      <w:pPr>
        <w:ind w:left="432" w:hanging="431"/>
        <w:tabs>
          <w:tab w:val="left" w:pos="432" w:leader="none"/>
        </w:tabs>
      </w:pPr>
    </w:lvl>
    <w:lvl w:ilvl="1">
      <w:start w:val="1"/>
      <w:numFmt w:val="none"/>
      <w:suff w:val="nothing"/>
      <w:lvlText w:val=""/>
      <w:lvlJc w:val="left"/>
      <w:pPr>
        <w:ind w:left="576" w:hanging="575"/>
        <w:tabs>
          <w:tab w:val="left" w:pos="576" w:leader="none"/>
        </w:tabs>
      </w:pPr>
    </w:lvl>
    <w:lvl w:ilvl="2">
      <w:start w:val="1"/>
      <w:numFmt w:val="none"/>
      <w:suff w:val="nothing"/>
      <w:lvlText w:val=""/>
      <w:lvlJc w:val="left"/>
      <w:pPr>
        <w:ind w:left="720" w:hanging="719"/>
        <w:tabs>
          <w:tab w:val="left" w:pos="720" w:leader="none"/>
        </w:tabs>
      </w:pPr>
    </w:lvl>
    <w:lvl w:ilvl="3">
      <w:start w:val="1"/>
      <w:numFmt w:val="none"/>
      <w:suff w:val="nothing"/>
      <w:lvlText w:val=""/>
      <w:lvlJc w:val="left"/>
      <w:pPr>
        <w:ind w:left="864" w:hanging="863"/>
        <w:tabs>
          <w:tab w:val="left" w:pos="864" w:leader="none"/>
        </w:tabs>
      </w:pPr>
    </w:lvl>
    <w:lvl w:ilvl="4">
      <w:start w:val="1"/>
      <w:numFmt w:val="none"/>
      <w:suff w:val="nothing"/>
      <w:lvlText w:val=""/>
      <w:lvlJc w:val="left"/>
      <w:pPr>
        <w:ind w:left="1008" w:hanging="1007"/>
        <w:tabs>
          <w:tab w:val="left" w:pos="1008" w:leader="none"/>
        </w:tabs>
      </w:pPr>
    </w:lvl>
    <w:lvl w:ilvl="5">
      <w:start w:val="1"/>
      <w:numFmt w:val="none"/>
      <w:suff w:val="nothing"/>
      <w:lvlText w:val=""/>
      <w:lvlJc w:val="left"/>
      <w:pPr>
        <w:ind w:left="1152" w:hanging="1151"/>
        <w:tabs>
          <w:tab w:val="left" w:pos="1152" w:leader="none"/>
        </w:tabs>
      </w:pPr>
    </w:lvl>
    <w:lvl w:ilvl="6">
      <w:start w:val="1"/>
      <w:numFmt w:val="none"/>
      <w:suff w:val="nothing"/>
      <w:lvlText w:val=""/>
      <w:lvlJc w:val="left"/>
      <w:pPr>
        <w:ind w:left="1296" w:hanging="1295"/>
        <w:tabs>
          <w:tab w:val="left" w:pos="1296" w:leader="none"/>
        </w:tabs>
      </w:pPr>
    </w:lvl>
    <w:lvl w:ilvl="7">
      <w:start w:val="1"/>
      <w:numFmt w:val="none"/>
      <w:suff w:val="nothing"/>
      <w:lvlText w:val=""/>
      <w:lvlJc w:val="left"/>
      <w:pPr>
        <w:ind w:left="1440" w:hanging="1439"/>
        <w:tabs>
          <w:tab w:val="left" w:pos="1440" w:leader="none"/>
        </w:tabs>
      </w:pPr>
    </w:lvl>
    <w:lvl w:ilvl="8">
      <w:start w:val="1"/>
      <w:numFmt w:val="none"/>
      <w:suff w:val="nothing"/>
      <w:lvlText w:val=""/>
      <w:lvlJc w:val="left"/>
      <w:pPr>
        <w:ind w:left="1584" w:hanging="1583"/>
        <w:tabs>
          <w:tab w:val="left" w:pos="1584" w:leader="none"/>
        </w:tabs>
      </w:pPr>
    </w:lvl>
  </w:abstractNum>
  <w:abstractNum w:abstractNumId="2">
    <w:multiLevelType w:val="hybridMultilevel"/>
    <w:lvl w:ilvl="0">
      <w:start w:val="1"/>
      <w:numFmt w:val="bullet"/>
      <w:suff w:val="tab"/>
      <w:lvlText w:val="o"/>
      <w:lvlJc w:val="left"/>
      <w:pPr>
        <w:ind w:left="648" w:hanging="287"/>
        <w:tabs>
          <w:tab w:val="left" w:pos="360" w:leader="none"/>
        </w:tabs>
      </w:pPr>
      <w:rPr>
        <w:rFonts w:ascii="Courier New" w:hAnsi="Courier New" w:cs="Courier New"/>
        <w:color w:val="000000"/>
        <w:sz w:val="20"/>
        <w:szCs w:val="20"/>
      </w:rPr>
    </w:lvl>
    <w:lvl w:ilvl="1">
      <w:start w:val="1"/>
      <w:numFmt w:val="bullet"/>
      <w:suff w:val="tab"/>
      <w:lvlText w:val="o"/>
      <w:lvlJc w:val="left"/>
      <w:pPr>
        <w:ind w:left="1440" w:hanging="359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9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9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9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9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9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9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9"/>
      </w:pPr>
      <w:rPr>
        <w:rFonts w:ascii="Wingdings" w:hAnsi="Wingdings" w:cs="Wingdings" w:eastAsia="Wingdings" w:hint="default"/>
      </w:rPr>
    </w:lvl>
  </w:abstractNum>
  <w:abstractNum w:abstractNumId="3">
    <w:multiLevelType w:val="hybridMultilevel"/>
    <w:lvl w:ilvl="0">
      <w:start w:val="1"/>
      <w:numFmt w:val="bullet"/>
      <w:suff w:val="tab"/>
      <w:lvlText w:val="o"/>
      <w:lvlJc w:val="left"/>
      <w:pPr>
        <w:ind w:left="648" w:hanging="286"/>
        <w:tabs>
          <w:tab w:val="left" w:pos="360" w:leader="none"/>
        </w:tabs>
      </w:pPr>
      <w:rPr>
        <w:rFonts w:ascii="Courier New" w:hAnsi="Courier New" w:cs="Courier New"/>
        <w:color w:val="000000"/>
        <w:sz w:val="20"/>
        <w:szCs w:val="20"/>
      </w:rPr>
    </w:lvl>
    <w:lvl w:ilvl="1">
      <w:start w:val="1"/>
      <w:numFmt w:val="bullet"/>
      <w:suff w:val="tab"/>
      <w:lvlText w:val="o"/>
      <w:lvlJc w:val="left"/>
      <w:pPr>
        <w:ind w:left="1440" w:hanging="358"/>
      </w:pPr>
      <w:rPr>
        <w:rFonts w:ascii="Courier New" w:hAnsi="Courier New" w:cs="Courier New" w:eastAsia="Courier New" w:hint="default"/>
      </w:rPr>
    </w:lvl>
    <w:lvl w:ilvl="2">
      <w:start w:val="1"/>
      <w:numFmt w:val="bullet"/>
      <w:suff w:val="tab"/>
      <w:lvlText w:val="§"/>
      <w:lvlJc w:val="left"/>
      <w:pPr>
        <w:ind w:left="2160" w:hanging="358"/>
      </w:pPr>
      <w:rPr>
        <w:rFonts w:ascii="Wingdings" w:hAnsi="Wingdings" w:cs="Wingdings" w:eastAsia="Wingdings" w:hint="default"/>
      </w:rPr>
    </w:lvl>
    <w:lvl w:ilvl="3">
      <w:start w:val="1"/>
      <w:numFmt w:val="bullet"/>
      <w:suff w:val="tab"/>
      <w:lvlText w:val="·"/>
      <w:lvlJc w:val="left"/>
      <w:pPr>
        <w:ind w:left="2880" w:hanging="358"/>
      </w:pPr>
      <w:rPr>
        <w:rFonts w:ascii="Symbol" w:hAnsi="Symbol" w:cs="Symbol" w:eastAsia="Symbol" w:hint="default"/>
      </w:rPr>
    </w:lvl>
    <w:lvl w:ilvl="4">
      <w:start w:val="1"/>
      <w:numFmt w:val="bullet"/>
      <w:suff w:val="tab"/>
      <w:lvlText w:val="o"/>
      <w:lvlJc w:val="left"/>
      <w:pPr>
        <w:ind w:left="3600" w:hanging="358"/>
      </w:pPr>
      <w:rPr>
        <w:rFonts w:ascii="Courier New" w:hAnsi="Courier New" w:cs="Courier New" w:eastAsia="Courier New" w:hint="default"/>
      </w:rPr>
    </w:lvl>
    <w:lvl w:ilvl="5">
      <w:start w:val="1"/>
      <w:numFmt w:val="bullet"/>
      <w:suff w:val="tab"/>
      <w:lvlText w:val="§"/>
      <w:lvlJc w:val="left"/>
      <w:pPr>
        <w:ind w:left="4320" w:hanging="358"/>
      </w:pPr>
      <w:rPr>
        <w:rFonts w:ascii="Wingdings" w:hAnsi="Wingdings" w:cs="Wingdings" w:eastAsia="Wingdings" w:hint="default"/>
      </w:rPr>
    </w:lvl>
    <w:lvl w:ilvl="6">
      <w:start w:val="1"/>
      <w:numFmt w:val="bullet"/>
      <w:suff w:val="tab"/>
      <w:lvlText w:val="·"/>
      <w:lvlJc w:val="left"/>
      <w:pPr>
        <w:ind w:left="5040" w:hanging="358"/>
      </w:pPr>
      <w:rPr>
        <w:rFonts w:ascii="Symbol" w:hAnsi="Symbol" w:cs="Symbol" w:eastAsia="Symbol" w:hint="default"/>
      </w:rPr>
    </w:lvl>
    <w:lvl w:ilvl="7">
      <w:start w:val="1"/>
      <w:numFmt w:val="bullet"/>
      <w:suff w:val="tab"/>
      <w:lvlText w:val="o"/>
      <w:lvlJc w:val="left"/>
      <w:pPr>
        <w:ind w:left="5760" w:hanging="358"/>
      </w:pPr>
      <w:rPr>
        <w:rFonts w:ascii="Courier New" w:hAnsi="Courier New" w:cs="Courier New" w:eastAsia="Courier New" w:hint="default"/>
      </w:rPr>
    </w:lvl>
    <w:lvl w:ilvl="8">
      <w:start w:val="1"/>
      <w:numFmt w:val="bullet"/>
      <w:suff w:val="tab"/>
      <w:lvlText w:val="§"/>
      <w:lvlJc w:val="left"/>
      <w:pPr>
        <w:ind w:left="6480" w:hanging="358"/>
      </w:pPr>
      <w:rPr>
        <w:rFonts w:ascii="Wingdings" w:hAnsi="Wingdings" w:cs="Wingdings" w:eastAsia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4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Arial Unicode MS" w:eastAsia="Arial Unicode MS"/>
        <w:color w:val="auto"/>
        <w:spacing w:val="0"/>
        <w:position w:val="0"/>
        <w:sz w:val="24"/>
        <w:szCs w:val="24"/>
        <w:lang w:val="en-US" w:bidi="hi-IN" w:eastAsia="zh-CN"/>
      </w:rPr>
    </w:rPrDefault>
    <w:pPrDefault>
      <w:pPr>
        <w:ind w:left="0" w:right="0" w:hanging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163"/>
    <w:next w:val="163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166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163"/>
    <w:next w:val="163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166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163"/>
    <w:next w:val="163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166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163"/>
    <w:next w:val="163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166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163"/>
    <w:next w:val="163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166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163"/>
    <w:next w:val="163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166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163"/>
    <w:next w:val="163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166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163"/>
    <w:next w:val="163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166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163"/>
    <w:next w:val="163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166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163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character" w:styleId="33">
    <w:name w:val="Title Char"/>
    <w:basedOn w:val="166"/>
    <w:link w:val="168"/>
    <w:uiPriority w:val="10"/>
    <w:rPr>
      <w:sz w:val="48"/>
      <w:szCs w:val="48"/>
    </w:rPr>
  </w:style>
  <w:style w:type="paragraph" w:styleId="34">
    <w:name w:val="Subtitle"/>
    <w:basedOn w:val="163"/>
    <w:next w:val="163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166"/>
    <w:link w:val="34"/>
    <w:uiPriority w:val="11"/>
    <w:rPr>
      <w:sz w:val="24"/>
      <w:szCs w:val="24"/>
    </w:rPr>
  </w:style>
  <w:style w:type="paragraph" w:styleId="36">
    <w:name w:val="Quote"/>
    <w:basedOn w:val="163"/>
    <w:next w:val="163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163"/>
    <w:next w:val="163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163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166"/>
    <w:link w:val="40"/>
    <w:uiPriority w:val="99"/>
  </w:style>
  <w:style w:type="paragraph" w:styleId="42">
    <w:name w:val="Footer"/>
    <w:basedOn w:val="163"/>
    <w:link w:val="4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166"/>
    <w:link w:val="42"/>
    <w:uiPriority w:val="99"/>
  </w:style>
  <w:style w:type="table" w:styleId="44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5">
    <w:name w:val="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46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47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48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559"/>
      </w:tcPr>
    </w:tblStylePr>
  </w:style>
  <w:style w:type="table" w:styleId="49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50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51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table" w:styleId="52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7F7F7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/>
        </w:tcBorders>
      </w:tcPr>
    </w:tblStylePr>
  </w:style>
  <w:style w:type="table" w:styleId="53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4F81BD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/>
        </w:tcBorders>
      </w:tcPr>
    </w:tblStylePr>
  </w:style>
  <w:style w:type="table" w:styleId="54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D99594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594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594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594" w:sz="12" w:space="0"/>
        </w:tcBorders>
      </w:tcPr>
    </w:tblStylePr>
  </w:style>
  <w:style w:type="table" w:styleId="55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C2D69B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2D69B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2D69B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2D69B" w:sz="12" w:space="0"/>
        </w:tcBorders>
      </w:tcPr>
    </w:tblStylePr>
  </w:style>
  <w:style w:type="table" w:styleId="56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B2A1C7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7" w:sz="12" w:space="0"/>
        </w:tcBorders>
      </w:tcPr>
    </w:tblStylePr>
  </w:style>
  <w:style w:type="table" w:styleId="57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92CDDC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DDC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DDC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DDC" w:sz="12" w:space="0"/>
        </w:tcBorders>
      </w:tcPr>
    </w:tblStylePr>
  </w:style>
  <w:style w:type="table" w:styleId="58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rFonts w:ascii="Arial" w:hAnsi="Arial"/>
        <w:color w:val="404040"/>
        <w:sz w:val="22"/>
      </w:rPr>
      <w:tcPr>
        <w:tcBorders>
          <w:right w:val="single" w:color="FABF8F" w:sz="12" w:space="0"/>
        </w:tcBorders>
      </w:tc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BF8F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BF8F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BF8F" w:sz="12" w:space="0"/>
        </w:tcBorders>
      </w:tcPr>
    </w:tblStylePr>
  </w:style>
  <w:style w:type="table" w:styleId="59">
    <w:name w:val="Bordered &amp; Lined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60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48DD4"/>
      </w:tcPr>
    </w:tblStylePr>
  </w:style>
  <w:style w:type="table" w:styleId="61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D99594"/>
      </w:tcPr>
    </w:tblStylePr>
  </w:style>
  <w:style w:type="table" w:styleId="62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9BBB59"/>
      </w:tcPr>
    </w:tblStylePr>
  </w:style>
  <w:style w:type="table" w:styleId="63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B2A1C7"/>
      </w:tcPr>
    </w:tblStylePr>
  </w:style>
  <w:style w:type="table" w:styleId="64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BACC6"/>
      </w:tcPr>
    </w:tblStylePr>
  </w:style>
  <w:style w:type="table" w:styleId="65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79646"/>
      </w:tcPr>
    </w:tblStylePr>
  </w:style>
  <w:style w:type="character" w:styleId="66">
    <w:name w:val="Hyperlink"/>
    <w:uiPriority w:val="99"/>
    <w:unhideWhenUsed/>
    <w:rPr>
      <w:color w:val="0000FF" w:themeColor="hyperlink"/>
      <w:u w:val="single"/>
    </w:rPr>
  </w:style>
  <w:style w:type="paragraph" w:styleId="67">
    <w:name w:val="footnote text"/>
    <w:basedOn w:val="163"/>
    <w:link w:val="68"/>
    <w:uiPriority w:val="99"/>
    <w:semiHidden/>
    <w:unhideWhenUsed/>
    <w:rPr>
      <w:sz w:val="18"/>
    </w:rPr>
    <w:pPr>
      <w:spacing w:lineRule="auto" w:line="240" w:after="40"/>
    </w:pPr>
  </w:style>
  <w:style w:type="character" w:styleId="68">
    <w:name w:val="Footnote Text Char"/>
    <w:link w:val="67"/>
    <w:uiPriority w:val="99"/>
    <w:rPr>
      <w:sz w:val="18"/>
    </w:rPr>
  </w:style>
  <w:style w:type="character" w:styleId="69">
    <w:name w:val="footnote reference"/>
    <w:basedOn w:val="166"/>
    <w:uiPriority w:val="99"/>
    <w:unhideWhenUsed/>
    <w:rPr>
      <w:vertAlign w:val="superscript"/>
    </w:rPr>
  </w:style>
  <w:style w:type="paragraph" w:styleId="70">
    <w:name w:val="toc 1"/>
    <w:basedOn w:val="163"/>
    <w:next w:val="163"/>
    <w:uiPriority w:val="39"/>
    <w:unhideWhenUsed/>
    <w:pPr>
      <w:ind w:left="0" w:right="0" w:hanging="0"/>
      <w:spacing w:after="57"/>
    </w:pPr>
  </w:style>
  <w:style w:type="paragraph" w:styleId="71">
    <w:name w:val="toc 2"/>
    <w:basedOn w:val="163"/>
    <w:next w:val="163"/>
    <w:uiPriority w:val="39"/>
    <w:unhideWhenUsed/>
    <w:pPr>
      <w:ind w:left="283" w:right="0" w:hanging="0"/>
      <w:spacing w:after="57"/>
    </w:pPr>
  </w:style>
  <w:style w:type="paragraph" w:styleId="72">
    <w:name w:val="toc 3"/>
    <w:basedOn w:val="163"/>
    <w:next w:val="163"/>
    <w:uiPriority w:val="39"/>
    <w:unhideWhenUsed/>
    <w:pPr>
      <w:ind w:left="567" w:right="0" w:hanging="0"/>
      <w:spacing w:after="57"/>
    </w:pPr>
  </w:style>
  <w:style w:type="paragraph" w:styleId="73">
    <w:name w:val="toc 4"/>
    <w:basedOn w:val="163"/>
    <w:next w:val="163"/>
    <w:uiPriority w:val="39"/>
    <w:unhideWhenUsed/>
    <w:pPr>
      <w:ind w:left="850" w:right="0" w:hanging="0"/>
      <w:spacing w:after="57"/>
    </w:pPr>
  </w:style>
  <w:style w:type="paragraph" w:styleId="74">
    <w:name w:val="toc 5"/>
    <w:basedOn w:val="163"/>
    <w:next w:val="163"/>
    <w:uiPriority w:val="39"/>
    <w:unhideWhenUsed/>
    <w:pPr>
      <w:ind w:left="1134" w:right="0" w:hanging="0"/>
      <w:spacing w:after="57"/>
    </w:pPr>
  </w:style>
  <w:style w:type="paragraph" w:styleId="75">
    <w:name w:val="toc 6"/>
    <w:basedOn w:val="163"/>
    <w:next w:val="163"/>
    <w:uiPriority w:val="39"/>
    <w:unhideWhenUsed/>
    <w:pPr>
      <w:ind w:left="1417" w:right="0" w:hanging="0"/>
      <w:spacing w:after="57"/>
    </w:pPr>
  </w:style>
  <w:style w:type="paragraph" w:styleId="76">
    <w:name w:val="toc 7"/>
    <w:basedOn w:val="163"/>
    <w:next w:val="163"/>
    <w:uiPriority w:val="39"/>
    <w:unhideWhenUsed/>
    <w:pPr>
      <w:ind w:left="1701" w:right="0" w:hanging="0"/>
      <w:spacing w:after="57"/>
    </w:pPr>
  </w:style>
  <w:style w:type="paragraph" w:styleId="77">
    <w:name w:val="toc 8"/>
    <w:basedOn w:val="163"/>
    <w:next w:val="163"/>
    <w:uiPriority w:val="39"/>
    <w:unhideWhenUsed/>
    <w:pPr>
      <w:ind w:left="1984" w:right="0" w:hanging="0"/>
      <w:spacing w:after="57"/>
    </w:pPr>
  </w:style>
  <w:style w:type="paragraph" w:styleId="78">
    <w:name w:val="toc 9"/>
    <w:basedOn w:val="163"/>
    <w:next w:val="163"/>
    <w:uiPriority w:val="39"/>
    <w:unhideWhenUsed/>
    <w:pPr>
      <w:ind w:left="2268" w:right="0" w:hanging="0"/>
      <w:spacing w:after="57"/>
    </w:pPr>
  </w:style>
  <w:style w:type="paragraph" w:styleId="79">
    <w:name w:val="TOC Heading"/>
    <w:uiPriority w:val="39"/>
    <w:unhideWhenUsed/>
  </w:style>
  <w:style w:type="paragraph" w:styleId="163" w:default="1">
    <w:name w:val="Normal"/>
    <w:rPr>
      <w:rFonts w:ascii="Times New Roman" w:hAnsi="Times New Roman" w:cs="Arial Unicode MS" w:eastAsia="Arial Unicode MS"/>
      <w:color w:val="00000A"/>
      <w:sz w:val="24"/>
      <w:szCs w:val="24"/>
      <w:lang w:val="en" w:bidi="hi-IN" w:eastAsia="zh-CN"/>
    </w:rPr>
    <w:pPr>
      <w:jc w:val="left"/>
      <w:widowControl w:val="off"/>
    </w:pPr>
  </w:style>
  <w:style w:type="character" w:styleId="164">
    <w:name w:val="ListLabel 1"/>
    <w:rPr>
      <w:position w:val="0"/>
      <w:sz w:val="24"/>
      <w:vertAlign w:val="baseline"/>
    </w:rPr>
  </w:style>
  <w:style w:type="character" w:styleId="165">
    <w:name w:val="ListLabel 2"/>
    <w:rPr>
      <w:position w:val="0"/>
      <w:sz w:val="24"/>
      <w:vertAlign w:val="baseline"/>
    </w:rPr>
  </w:style>
  <w:style w:type="character" w:styleId="166" w:default="1">
    <w:name w:val="Default Paragraph Font"/>
  </w:style>
  <w:style w:type="character" w:styleId="167">
    <w:name w:val="Internet Link"/>
    <w:basedOn w:val="166"/>
    <w:rPr>
      <w:color w:val="0000FF"/>
      <w:u w:val="single"/>
    </w:rPr>
  </w:style>
  <w:style w:type="character" w:styleId="168">
    <w:name w:val="Title"/>
    <w:basedOn w:val="166"/>
  </w:style>
  <w:style w:type="character" w:styleId="169">
    <w:name w:val="Emphasis"/>
    <w:basedOn w:val="166"/>
    <w:rPr>
      <w:i/>
      <w:iCs/>
    </w:rPr>
  </w:style>
  <w:style w:type="character" w:styleId="170">
    <w:name w:val="ListLabel 3"/>
    <w:rPr>
      <w:position w:val="0"/>
      <w:sz w:val="24"/>
      <w:vertAlign w:val="baseline"/>
    </w:rPr>
  </w:style>
  <w:style w:type="character" w:styleId="171">
    <w:name w:val="ListLabel 4"/>
    <w:rPr>
      <w:position w:val="0"/>
      <w:sz w:val="24"/>
      <w:vertAlign w:val="baseline"/>
    </w:rPr>
  </w:style>
  <w:style w:type="paragraph" w:styleId="172">
    <w:name w:val="Heading"/>
    <w:basedOn w:val="163"/>
    <w:next w:val="173"/>
    <w:rPr>
      <w:rFonts w:ascii="Arial" w:hAnsi="Arial" w:cs="Arial Unicode MS" w:eastAsia="Arial Unicode MS"/>
      <w:sz w:val="28"/>
      <w:szCs w:val="28"/>
    </w:rPr>
    <w:pPr>
      <w:keepNext/>
      <w:spacing w:after="120" w:before="240"/>
    </w:pPr>
  </w:style>
  <w:style w:type="paragraph" w:styleId="173">
    <w:name w:val="Text Body"/>
    <w:basedOn w:val="163"/>
    <w:pPr>
      <w:spacing w:lineRule="auto" w:line="288" w:after="120" w:before="0"/>
    </w:pPr>
  </w:style>
  <w:style w:type="paragraph" w:styleId="174">
    <w:name w:val="List"/>
    <w:basedOn w:val="173"/>
  </w:style>
  <w:style w:type="paragraph" w:styleId="175">
    <w:name w:val="Caption"/>
    <w:basedOn w:val="163"/>
    <w:rPr>
      <w:i/>
      <w:iCs/>
      <w:sz w:val="24"/>
      <w:szCs w:val="24"/>
    </w:rPr>
    <w:pPr>
      <w:spacing w:after="120" w:before="120"/>
    </w:pPr>
  </w:style>
  <w:style w:type="paragraph" w:styleId="176">
    <w:name w:val="Index"/>
    <w:basedOn w:val="163"/>
  </w:style>
  <w:style w:type="paragraph" w:styleId="177">
    <w:name w:val="Table Contents"/>
    <w:basedOn w:val="163"/>
  </w:style>
  <w:style w:type="paragraph" w:styleId="178">
    <w:name w:val="Table Heading"/>
    <w:basedOn w:val="177"/>
  </w:style>
  <w:style w:type="numbering" w:styleId="1097" w:default="1">
    <w:name w:val="No List"/>
    <w:uiPriority w:val="99"/>
    <w:semiHidden/>
    <w:unhideWhenUsed/>
  </w:style>
  <w:style w:type="table" w:styleId="109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://www.ams.org/mathscinet/search/author.html?mrauthid=866427" TargetMode="External"/><Relationship Id="rId9" Type="http://schemas.openxmlformats.org/officeDocument/2006/relationships/hyperlink" Target="http://www.ams.org/mathscinet/search/author.html?mrauthid=139595" TargetMode="External"/><Relationship Id="rId10" Type="http://schemas.openxmlformats.org/officeDocument/2006/relationships/hyperlink" Target="http://www.ams.org/mathscinet/search/author.html?mrauthid=1091657" TargetMode="External"/><Relationship Id="rId11" Type="http://schemas.openxmlformats.org/officeDocument/2006/relationships/hyperlink" Target="http://www.ams.org/mathscinet/search/journaldoc.html?id=6001" TargetMode="External"/><Relationship Id="rId12" Type="http://schemas.openxmlformats.org/officeDocument/2006/relationships/hyperlink" Target="http://www.ams.org/mathscinet/search/publications.html?pg1=ISSI&amp;s1=346245&amp;sort=oldest" TargetMode="External"/><Relationship Id="rId13" Type="http://schemas.openxmlformats.org/officeDocument/2006/relationships/hyperlink" Target="http://www.ams.org/mathscinet/search/publications.html?pg1=ISSI&amp;s1=346245&amp;sort=oldest" TargetMode="External"/><Relationship Id="rId14" Type="http://schemas.openxmlformats.org/officeDocument/2006/relationships/hyperlink" Target="http://www.ams.org/mathscinet/search/publications.html?pg1=ISSI&amp;s1=346245&amp;sort=oldest" TargetMode="External"/><Relationship Id="rId15" Type="http://schemas.openxmlformats.org/officeDocument/2006/relationships/hyperlink" Target="https://doi.org/10.2298/FIL1909867A" TargetMode="External"/><Relationship Id="rId16" Type="http://schemas.openxmlformats.org/officeDocument/2006/relationships/hyperlink" Target="https://mathscinet.ams.org/mathscinet/search/author.html?mrauthid=866427" TargetMode="External"/><Relationship Id="rId17" Type="http://schemas.openxmlformats.org/officeDocument/2006/relationships/hyperlink" Target="https://mathscinet.ams.org/mathscinet/search/author.html?mrauthid=139595" TargetMode="External"/><Relationship Id="rId18" Type="http://schemas.openxmlformats.org/officeDocument/2006/relationships/hyperlink" Target="https://mathscinet.ams.org/mathscinet/search/author.html?mrauthid=1091657" TargetMode="External"/><Relationship Id="rId19" Type="http://schemas.openxmlformats.org/officeDocument/2006/relationships/hyperlink" Target="https://mathscinet.ams.org/mathscinet/search/journaldoc.html?id=7173" TargetMode="External"/><Relationship Id="rId20" Type="http://schemas.openxmlformats.org/officeDocument/2006/relationships/hyperlink" Target="https://mathscinet.ams.org/mathscinet/search/publications.html?pg1=ISSI&amp;s1=364739" TargetMode="External"/><Relationship Id="rId21" Type="http://schemas.openxmlformats.org/officeDocument/2006/relationships/hyperlink" Target="https://mathscinet.ams.org/mathscinet/search/publications.html?pg1=ISSI&amp;s1=364739" TargetMode="External"/><Relationship Id="rId22" Type="http://schemas.openxmlformats.org/officeDocument/2006/relationships/hyperlink" Target="https://mathscinet.ams.org/mathscinet/search/publications.html?pg1=ISSI&amp;s1=364739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ONLYOFFICE/2.4.556.0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