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5BFD" w14:textId="40DA4121" w:rsidR="000F78F4" w:rsidRPr="008E3936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8E3936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8E3936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14"/>
        <w:gridCol w:w="242"/>
        <w:gridCol w:w="302"/>
        <w:gridCol w:w="113"/>
        <w:gridCol w:w="957"/>
        <w:gridCol w:w="737"/>
        <w:gridCol w:w="256"/>
        <w:gridCol w:w="112"/>
        <w:gridCol w:w="1066"/>
        <w:gridCol w:w="235"/>
        <w:gridCol w:w="224"/>
        <w:gridCol w:w="1241"/>
        <w:gridCol w:w="301"/>
        <w:gridCol w:w="1485"/>
      </w:tblGrid>
      <w:tr w:rsidR="00D77DEE" w:rsidRPr="008E3936" w14:paraId="59C0DE28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3EFEB59A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664" w:type="dxa"/>
            <w:gridSpan w:val="7"/>
            <w:vAlign w:val="center"/>
          </w:tcPr>
          <w:p w14:paraId="4C89B3BB" w14:textId="7198AD2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Љиљана Цветковић</w:t>
            </w:r>
          </w:p>
        </w:tc>
      </w:tr>
      <w:tr w:rsidR="00D77DEE" w:rsidRPr="008E3936" w14:paraId="4D266626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57177A7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664" w:type="dxa"/>
            <w:gridSpan w:val="7"/>
            <w:vAlign w:val="center"/>
          </w:tcPr>
          <w:p w14:paraId="3AC25AE9" w14:textId="2E748B5A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редовни професор</w:t>
            </w:r>
          </w:p>
        </w:tc>
      </w:tr>
      <w:tr w:rsidR="00D77DEE" w:rsidRPr="008E3936" w14:paraId="0DB61FD3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5529A0E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8E3936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664" w:type="dxa"/>
            <w:gridSpan w:val="7"/>
            <w:vAlign w:val="center"/>
          </w:tcPr>
          <w:p w14:paraId="390EF412" w14:textId="526DC141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Природно-математички факултет, Универзитет у Новом Саду, од 1982.</w:t>
            </w:r>
          </w:p>
        </w:tc>
      </w:tr>
      <w:tr w:rsidR="00D77DEE" w:rsidRPr="008E3936" w14:paraId="0399B8B0" w14:textId="77777777" w:rsidTr="00D62A23">
        <w:trPr>
          <w:trHeight w:val="427"/>
        </w:trPr>
        <w:tc>
          <w:tcPr>
            <w:tcW w:w="4238" w:type="dxa"/>
            <w:gridSpan w:val="8"/>
            <w:vAlign w:val="center"/>
          </w:tcPr>
          <w:p w14:paraId="1EEF877E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664" w:type="dxa"/>
            <w:gridSpan w:val="7"/>
            <w:vAlign w:val="center"/>
          </w:tcPr>
          <w:p w14:paraId="662DBC32" w14:textId="5DF35963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D77DEE" w:rsidRPr="008E3936" w14:paraId="5D34387B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3B4EE857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D77DEE" w:rsidRPr="008E3936" w14:paraId="3B8C8141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3767AF96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57" w:type="dxa"/>
            <w:vAlign w:val="center"/>
          </w:tcPr>
          <w:p w14:paraId="1FC7CC5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4EF7A81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DF906FA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258D5F44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D77DEE" w:rsidRPr="008E3936" w14:paraId="2379B17E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1847746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57" w:type="dxa"/>
            <w:vAlign w:val="center"/>
          </w:tcPr>
          <w:p w14:paraId="084877F2" w14:textId="456E8D14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1997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5F2E360F" w14:textId="3D2710C2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ADCD1AB" w14:textId="1EBAA9D0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54643608" w14:textId="7A11410A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D77DEE" w:rsidRPr="008E3936" w14:paraId="2BF952BF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0E9AE76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57" w:type="dxa"/>
            <w:vAlign w:val="center"/>
          </w:tcPr>
          <w:p w14:paraId="67ACD9FF" w14:textId="02F90A7B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1987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6D33FB94" w14:textId="2713CF40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7E4744D6" w14:textId="3E02976E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0F28D17D" w14:textId="047824E4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D77DEE" w:rsidRPr="008E3936" w14:paraId="0AE0DE93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16E834EB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957" w:type="dxa"/>
            <w:vAlign w:val="center"/>
          </w:tcPr>
          <w:p w14:paraId="6542D27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4F90264C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681A050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493ED79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77DEE" w:rsidRPr="008E3936" w14:paraId="1C271D57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6FC75B68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57" w:type="dxa"/>
            <w:vAlign w:val="center"/>
          </w:tcPr>
          <w:p w14:paraId="4E0A92DA" w14:textId="102BEEB6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1985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06B08898" w14:textId="00717238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3D74E910" w14:textId="1B37875E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491DED58" w14:textId="3C50DD64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нумеричка математика</w:t>
            </w:r>
          </w:p>
        </w:tc>
      </w:tr>
      <w:tr w:rsidR="00D77DEE" w:rsidRPr="008E3936" w14:paraId="288DD330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239D5A50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57" w:type="dxa"/>
            <w:vAlign w:val="center"/>
          </w:tcPr>
          <w:p w14:paraId="669E826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69FCC2D7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20CB98C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3DB01E7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77DEE" w:rsidRPr="008E3936" w14:paraId="0751770D" w14:textId="77777777" w:rsidTr="008E3936">
        <w:trPr>
          <w:trHeight w:val="427"/>
        </w:trPr>
        <w:tc>
          <w:tcPr>
            <w:tcW w:w="2288" w:type="dxa"/>
            <w:gridSpan w:val="5"/>
            <w:vAlign w:val="center"/>
          </w:tcPr>
          <w:p w14:paraId="63EB99FF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57" w:type="dxa"/>
            <w:vAlign w:val="center"/>
          </w:tcPr>
          <w:p w14:paraId="607FC95D" w14:textId="054A2C2C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1982</w:t>
            </w:r>
          </w:p>
        </w:tc>
        <w:tc>
          <w:tcPr>
            <w:tcW w:w="2171" w:type="dxa"/>
            <w:gridSpan w:val="4"/>
            <w:shd w:val="clear" w:color="auto" w:fill="auto"/>
            <w:vAlign w:val="center"/>
          </w:tcPr>
          <w:p w14:paraId="215CED0C" w14:textId="098D3FE5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</w:p>
        </w:tc>
        <w:tc>
          <w:tcPr>
            <w:tcW w:w="1700" w:type="dxa"/>
            <w:gridSpan w:val="3"/>
            <w:shd w:val="clear" w:color="auto" w:fill="auto"/>
            <w:vAlign w:val="center"/>
          </w:tcPr>
          <w:p w14:paraId="04FEAD4B" w14:textId="0AD8F89B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786" w:type="dxa"/>
            <w:gridSpan w:val="2"/>
            <w:shd w:val="clear" w:color="auto" w:fill="auto"/>
            <w:vAlign w:val="center"/>
          </w:tcPr>
          <w:p w14:paraId="394AD81C" w14:textId="40C5FF91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D77DEE" w:rsidRPr="008E3936" w14:paraId="4AF2DB25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5B50EF22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8E3936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D77DEE" w:rsidRPr="008E3936" w14:paraId="46762301" w14:textId="77777777" w:rsidTr="00D62A23">
        <w:trPr>
          <w:trHeight w:val="822"/>
        </w:trPr>
        <w:tc>
          <w:tcPr>
            <w:tcW w:w="817" w:type="dxa"/>
            <w:shd w:val="clear" w:color="auto" w:fill="auto"/>
            <w:vAlign w:val="center"/>
          </w:tcPr>
          <w:p w14:paraId="61CDF494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 w:rsidRPr="008E3936"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10B428F9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6A9481D1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8E393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5E4512F4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1AF5074A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452563E5" w14:textId="77777777" w:rsidR="00D77DEE" w:rsidRPr="008E3936" w:rsidRDefault="00D77DEE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8E3936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 (</w:t>
            </w:r>
            <w:r w:rsidRPr="008E3936"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D77DEE" w:rsidRPr="008E3936" w14:paraId="63451D39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748C96D3" w14:textId="3C0689F8" w:rsidR="00D77DEE" w:rsidRPr="008E3936" w:rsidRDefault="004C4AE9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D62A23"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508314C3" w14:textId="0DADEECB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ОБ008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4FC05D46" w14:textId="507072DF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 са статистиком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21C71781" w14:textId="47901B8B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6DDD77DE" w14:textId="76EA1577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Дипломирани биолог, Дипломирани еколог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644C6ED7" w14:textId="20265C4E" w:rsidR="00D77DEE" w:rsidRPr="008E3936" w:rsidRDefault="00D62A23" w:rsidP="00D77DEE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ОАС</w:t>
            </w:r>
          </w:p>
        </w:tc>
      </w:tr>
      <w:tr w:rsidR="00D62A23" w:rsidRPr="008E3936" w14:paraId="53150FA8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6D7EFBDB" w14:textId="1142CAF6" w:rsidR="00D62A23" w:rsidRPr="008E3936" w:rsidRDefault="004C4AE9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3B90ECD5" w14:textId="307E74A2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01 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41DA6CFD" w14:textId="7E4D28BD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Нумеричке методе линеарне алгебре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1 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7393F5EE" w14:textId="7120DC35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0E4EAB5E" w14:textId="0FD60ED0" w:rsidR="00D62A23" w:rsidRPr="008E3936" w:rsidRDefault="004C4AE9" w:rsidP="004C4AE9">
            <w:pPr>
              <w:pStyle w:val="NormalWeb"/>
              <w:rPr>
                <w:sz w:val="20"/>
                <w:szCs w:val="20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(MA),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Примењена 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Мастер професор математике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М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5)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7B10EB05" w14:textId="470EDF5F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D62A23" w:rsidRPr="008E3936" w14:paraId="595A4AE3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6A068F26" w14:textId="69D93D5F" w:rsidR="00D62A23" w:rsidRPr="008E3936" w:rsidRDefault="004C4AE9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18AE8CF5" w14:textId="0D453978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0</w:t>
            </w:r>
            <w:r w:rsidRPr="008E3936">
              <w:rPr>
                <w:rFonts w:ascii="Times" w:hAnsi="Times"/>
                <w:color w:val="000007"/>
                <w:sz w:val="20"/>
                <w:szCs w:val="20"/>
                <w:lang w:val="en-US"/>
              </w:rPr>
              <w:t>4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 </w:t>
            </w: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7B6258E9" w14:textId="29BFBB96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Нумеричке методе линеарне алгебре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  <w:lang w:val="en-US"/>
              </w:rPr>
              <w:t>2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 </w:t>
            </w: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06F9CE8C" w14:textId="183C5DDE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традиционални</w:t>
            </w: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3875738D" w14:textId="76E3C311" w:rsidR="00D62A23" w:rsidRPr="008E3936" w:rsidRDefault="004C4AE9" w:rsidP="004C4AE9">
            <w:pPr>
              <w:pStyle w:val="NormalWeb"/>
              <w:rPr>
                <w:sz w:val="20"/>
                <w:szCs w:val="20"/>
              </w:rPr>
            </w:pP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(MA),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Примењена математика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(M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Б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 xml:space="preserve">), 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 xml:space="preserve">Мастер професор математике 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(</w:t>
            </w:r>
            <w:r w:rsidRPr="008E3936">
              <w:rPr>
                <w:rFonts w:ascii="TimesNewRoman" w:hAnsi="TimesNewRoman"/>
                <w:color w:val="000007"/>
                <w:sz w:val="20"/>
                <w:szCs w:val="20"/>
              </w:rPr>
              <w:t>М</w:t>
            </w:r>
            <w:r w:rsidRPr="008E3936">
              <w:rPr>
                <w:rFonts w:ascii="Times" w:hAnsi="Times"/>
                <w:color w:val="000007"/>
                <w:sz w:val="20"/>
                <w:szCs w:val="20"/>
              </w:rPr>
              <w:t>5)</w:t>
            </w:r>
          </w:p>
        </w:tc>
        <w:tc>
          <w:tcPr>
            <w:tcW w:w="1485" w:type="dxa"/>
            <w:shd w:val="clear" w:color="auto" w:fill="auto"/>
            <w:vAlign w:val="center"/>
          </w:tcPr>
          <w:p w14:paraId="0CDEC5E3" w14:textId="4A18697C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</w:rPr>
              <w:t>МАС</w:t>
            </w:r>
          </w:p>
        </w:tc>
      </w:tr>
      <w:tr w:rsidR="00D62A23" w:rsidRPr="008E3936" w14:paraId="45DF3FD3" w14:textId="77777777" w:rsidTr="00D62A23">
        <w:trPr>
          <w:trHeight w:val="427"/>
        </w:trPr>
        <w:tc>
          <w:tcPr>
            <w:tcW w:w="817" w:type="dxa"/>
            <w:shd w:val="clear" w:color="auto" w:fill="auto"/>
            <w:vAlign w:val="center"/>
          </w:tcPr>
          <w:p w14:paraId="77F7D3DB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56" w:type="dxa"/>
            <w:gridSpan w:val="2"/>
            <w:shd w:val="clear" w:color="auto" w:fill="auto"/>
            <w:vAlign w:val="center"/>
          </w:tcPr>
          <w:p w14:paraId="79878040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77" w:type="dxa"/>
            <w:gridSpan w:val="6"/>
            <w:shd w:val="clear" w:color="auto" w:fill="auto"/>
            <w:vAlign w:val="center"/>
          </w:tcPr>
          <w:p w14:paraId="5E5015A7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25" w:type="dxa"/>
            <w:gridSpan w:val="3"/>
            <w:shd w:val="clear" w:color="auto" w:fill="auto"/>
            <w:vAlign w:val="center"/>
          </w:tcPr>
          <w:p w14:paraId="415B91FE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42" w:type="dxa"/>
            <w:gridSpan w:val="2"/>
            <w:shd w:val="clear" w:color="auto" w:fill="auto"/>
            <w:vAlign w:val="center"/>
          </w:tcPr>
          <w:p w14:paraId="70FC8D72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485" w:type="dxa"/>
            <w:shd w:val="clear" w:color="auto" w:fill="auto"/>
            <w:vAlign w:val="center"/>
          </w:tcPr>
          <w:p w14:paraId="23CB35E4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62A23" w:rsidRPr="008E3936" w14:paraId="40B23BAA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20A04CE2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C4AE9" w:rsidRPr="008E3936" w14:paraId="3A4AA59D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10A7C021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0E825D86" w14:textId="7ABDCA6D" w:rsidR="004C4AE9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Kostić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Vladimir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, Cvetković Lj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iljana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, Šanca E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rnest,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 xml:space="preserve"> From pseudospectra of diagonal blocks to pseudospectrum of a full matrix. J. Comput. Appl. Math. 386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, 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2021, 113265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Latn-RS"/>
              </w:rPr>
              <w:t xml:space="preserve">     </w:t>
            </w:r>
            <w:hyperlink r:id="rId7" w:tgtFrame="_blank" w:tooltip="Persistent link using digital object identifier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https://doi.org/10.1016/j.cam.2020.113</w:t>
              </w:r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2</w:t>
              </w:r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65</w:t>
              </w:r>
            </w:hyperlink>
          </w:p>
        </w:tc>
      </w:tr>
      <w:tr w:rsidR="00923BC0" w:rsidRPr="008E3936" w14:paraId="7F1642D2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04CEB46F" w14:textId="77777777" w:rsidR="00923BC0" w:rsidRPr="008E3936" w:rsidRDefault="00923BC0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0A34D04E" w14:textId="77777777" w:rsid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Cvetković Dragana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, 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Cvetković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Ljiljana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,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 xml:space="preserve"> Li C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haoqian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, CKV-type matrices with applications. Linear Algebra Appl. 608, 2021, pp.158–184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 </w:t>
            </w:r>
          </w:p>
          <w:p w14:paraId="08ECCA37" w14:textId="2727F4DD" w:rsidR="00923BC0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Latn-RS"/>
              </w:rPr>
              <w:t xml:space="preserve">     </w:t>
            </w:r>
            <w:hyperlink r:id="rId8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</w:t>
              </w:r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:</w:t>
              </w:r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//doi.org/10.1016/j.laa.2020.08.028</w:t>
              </w:r>
            </w:hyperlink>
          </w:p>
        </w:tc>
      </w:tr>
      <w:tr w:rsidR="00923BC0" w:rsidRPr="008E3936" w14:paraId="2BCE12AF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7DE02EB9" w14:textId="77777777" w:rsidR="00923BC0" w:rsidRPr="008E3936" w:rsidRDefault="00923BC0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7D29A613" w14:textId="77777777" w:rsid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</w:pP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Nedović Maja, Cvetković Ljiljana, The Schur Complement of PH-matrices, Applied Mathematics and Computation 362, 2019</w:t>
            </w: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>, 124541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sr-Latn-RS"/>
              </w:rPr>
              <w:t xml:space="preserve"> </w:t>
            </w:r>
          </w:p>
          <w:p w14:paraId="1C6D6526" w14:textId="5CC0909C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Latn-RS"/>
              </w:rPr>
              <w:t xml:space="preserve">    </w:t>
            </w:r>
            <w:hyperlink r:id="rId9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https://doi.org/10.1016/j.amc.2019.06.055</w:t>
              </w:r>
            </w:hyperlink>
          </w:p>
        </w:tc>
      </w:tr>
      <w:tr w:rsidR="00923BC0" w:rsidRPr="008E3936" w14:paraId="1E01BDBB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10084896" w14:textId="77777777" w:rsidR="00923BC0" w:rsidRPr="008E3936" w:rsidRDefault="00923BC0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1E9DD910" w14:textId="77777777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  <w:t>Li Chaoqian, Cvetković Ljiljana, Wei Yimin, Zhao Jianxing, An infinity norm bound for the inverse of Dashnic- Zusmanovich type matrices with applications, Linear Algebra and Its Applications 565, 2019, pp. 99-122</w:t>
            </w:r>
          </w:p>
          <w:p w14:paraId="28D567F4" w14:textId="7EC890FC" w:rsidR="00923BC0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color w:val="000000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sr-Latn-RS"/>
              </w:rPr>
              <w:t xml:space="preserve">     </w:t>
            </w:r>
            <w:hyperlink r:id="rId10" w:tgtFrame="_blank" w:tooltip="Persistent link using digital object identifier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https://doi.org/10.1016/j.laa.2018.12.013</w:t>
              </w:r>
            </w:hyperlink>
          </w:p>
        </w:tc>
      </w:tr>
      <w:tr w:rsidR="004C4AE9" w:rsidRPr="008E3936" w14:paraId="4362D8BD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5CC039E5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5B8C1C6D" w14:textId="77777777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 xml:space="preserve">Šanca Ernest, Kostić Vladimir, Cvetković Ljiljana, Fractional pseudospectra and their localizations, Linear Algebra and </w:t>
            </w:r>
            <w:r w:rsidRPr="00923BC0">
              <w:rPr>
                <w:rFonts w:ascii="Times New Roman" w:hAnsi="Times New Roman"/>
                <w:sz w:val="20"/>
                <w:szCs w:val="20"/>
                <w:lang w:val="sr-Latn-RS"/>
              </w:rPr>
              <w:t>i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>ts Applications 559, 2018, pp. 244-269</w:t>
            </w:r>
          </w:p>
          <w:p w14:paraId="5579F96E" w14:textId="5424E594" w:rsidR="004C4AE9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ab/>
            </w:r>
            <w:hyperlink r:id="rId11" w:tgtFrame="_blank" w:tooltip="Persistent link using digital object identifier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https://doi.org/10.1016/j.laa.2018.08.035</w:t>
              </w:r>
            </w:hyperlink>
          </w:p>
        </w:tc>
      </w:tr>
      <w:tr w:rsidR="004C4AE9" w:rsidRPr="008E3936" w14:paraId="7DF49F51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42219417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7ECD09F6" w14:textId="77777777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>Kostić Vladimir, Cvetković Ljiljana, On the inertia of the block H-matrices, Numerical Linear Algebra with Applications 24,5, 201</w:t>
            </w:r>
            <w:r w:rsidRPr="00923BC0">
              <w:rPr>
                <w:rFonts w:ascii="Times New Roman" w:hAnsi="Times New Roman"/>
                <w:sz w:val="20"/>
                <w:szCs w:val="20"/>
                <w:lang w:val="sr-Latn-RS"/>
              </w:rPr>
              <w:t>7, e2101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 xml:space="preserve"> </w:t>
            </w:r>
          </w:p>
          <w:p w14:paraId="1D3B107F" w14:textId="54A34C0D" w:rsidR="004C4AE9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ab/>
            </w:r>
            <w:hyperlink r:id="rId12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https://doi.org/10.1002/nla.2101</w:t>
              </w:r>
            </w:hyperlink>
          </w:p>
        </w:tc>
      </w:tr>
      <w:tr w:rsidR="004C4AE9" w:rsidRPr="008E3936" w14:paraId="2AD6E2DE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2C90D5B2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471808A1" w14:textId="77777777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>Kostić Vladimir, Cvetković Ljiljana, Cvetković Dragana, Pseudospectra localizations and their applications, Numerical Linear Algebra with Applications 23,2, 2016, pp. 356-372</w:t>
            </w:r>
          </w:p>
          <w:p w14:paraId="4B62DD76" w14:textId="17A97980" w:rsidR="004C4AE9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ab/>
            </w:r>
            <w:hyperlink r:id="rId13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https://doi.org/10.1002/nla.2028</w:t>
              </w:r>
            </w:hyperlink>
          </w:p>
        </w:tc>
      </w:tr>
      <w:tr w:rsidR="004C4AE9" w:rsidRPr="008E3936" w14:paraId="47A77A92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10CA20D0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7DBFA939" w14:textId="77777777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>Kostić Vladimir, Miedlar Agnieszka, Cvetković Ljiljana, An algorithm for computing minimal Geršgorin sets, Numerical Linear Algebra with Applications 23,2, 2016, pp. 272-290</w:t>
            </w:r>
          </w:p>
          <w:p w14:paraId="35598DF3" w14:textId="5BA6D0C1" w:rsidR="004C4AE9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M21a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ab/>
            </w:r>
            <w:hyperlink r:id="rId14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https://doi.org/10.1002/nla.2024</w:t>
              </w:r>
            </w:hyperlink>
          </w:p>
        </w:tc>
      </w:tr>
      <w:tr w:rsidR="004C4AE9" w:rsidRPr="008E3936" w14:paraId="2DC9765E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7F15FDF7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3C2C0E37" w14:textId="77777777" w:rsidR="00923BC0" w:rsidRPr="00923BC0" w:rsidRDefault="00923BC0" w:rsidP="00923BC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>Cvetković Ljiljana, Kostić Vladimir, Doroslovački Ksenija, Cvetković Dragana, Euclidean norm estimates of the inverse of some special block matrices, Applied Mathematics and Computation 284, 2016, pp. 12-23</w:t>
            </w:r>
          </w:p>
          <w:p w14:paraId="09BCDF26" w14:textId="750388BB" w:rsidR="004C4AE9" w:rsidRPr="00923BC0" w:rsidRDefault="00923BC0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ab/>
            </w:r>
            <w:hyperlink r:id="rId15" w:tgtFrame="_blank" w:tooltip="Persistent link using digital object identifier" w:history="1">
              <w:r w:rsidRPr="00923BC0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https://doi.org/10.1016/j.amc.2016.02.048</w:t>
              </w:r>
            </w:hyperlink>
            <w:r w:rsidRPr="00923BC0">
              <w:rPr>
                <w:rFonts w:ascii="Times New Roman" w:hAnsi="Times New Roman"/>
                <w:sz w:val="20"/>
                <w:szCs w:val="20"/>
                <w:lang w:val="en-RS"/>
              </w:rPr>
              <w:t xml:space="preserve"> </w:t>
            </w:r>
          </w:p>
        </w:tc>
      </w:tr>
      <w:tr w:rsidR="004C4AE9" w:rsidRPr="008E3936" w14:paraId="53F76B20" w14:textId="77777777" w:rsidTr="00D62A23">
        <w:trPr>
          <w:trHeight w:val="427"/>
        </w:trPr>
        <w:tc>
          <w:tcPr>
            <w:tcW w:w="1631" w:type="dxa"/>
            <w:gridSpan w:val="2"/>
            <w:vAlign w:val="center"/>
          </w:tcPr>
          <w:p w14:paraId="24CECB84" w14:textId="77777777" w:rsidR="004C4AE9" w:rsidRPr="008E3936" w:rsidRDefault="004C4AE9" w:rsidP="004C4AE9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271" w:type="dxa"/>
            <w:gridSpan w:val="13"/>
            <w:shd w:val="clear" w:color="auto" w:fill="auto"/>
            <w:vAlign w:val="center"/>
          </w:tcPr>
          <w:p w14:paraId="30280DCD" w14:textId="77777777" w:rsidR="0021757C" w:rsidRPr="0021757C" w:rsidRDefault="0021757C" w:rsidP="0021757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21757C">
              <w:rPr>
                <w:rFonts w:ascii="Times New Roman" w:hAnsi="Times New Roman"/>
                <w:sz w:val="20"/>
                <w:szCs w:val="20"/>
                <w:lang w:val="en-RS"/>
              </w:rPr>
              <w:t>Cvetković Ljiljana, Kostić Vladimir, Šanca Ernest, A wider convergence area for the MSTMAOR iteration methods for LCP, Numerical Algorithms 71,1, 2015, pp. 77-88</w:t>
            </w:r>
          </w:p>
          <w:p w14:paraId="2C6258DA" w14:textId="11EFCED9" w:rsidR="004C4AE9" w:rsidRPr="0021757C" w:rsidRDefault="0021757C" w:rsidP="004C4AE9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RS"/>
              </w:rPr>
            </w:pPr>
            <w:r w:rsidRPr="008E393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M21</w:t>
            </w:r>
            <w:r w:rsidRPr="0021757C">
              <w:rPr>
                <w:rFonts w:ascii="Times New Roman" w:hAnsi="Times New Roman"/>
                <w:sz w:val="20"/>
                <w:szCs w:val="20"/>
                <w:lang w:val="en-RS"/>
              </w:rPr>
              <w:tab/>
            </w:r>
            <w:hyperlink r:id="rId16" w:history="1">
              <w:r w:rsidRPr="0021757C">
                <w:rPr>
                  <w:rStyle w:val="Hyperlink"/>
                  <w:rFonts w:ascii="Times New Roman" w:hAnsi="Times New Roman"/>
                  <w:sz w:val="20"/>
                  <w:szCs w:val="20"/>
                  <w:lang w:val="en-RS"/>
                </w:rPr>
                <w:t>https://doi.org/10.1007/s11075-015-9985-6</w:t>
              </w:r>
            </w:hyperlink>
            <w:r w:rsidRPr="0021757C">
              <w:rPr>
                <w:rFonts w:ascii="Times New Roman" w:hAnsi="Times New Roman"/>
                <w:sz w:val="20"/>
                <w:szCs w:val="20"/>
                <w:lang w:val="en-RS"/>
              </w:rPr>
              <w:t xml:space="preserve"> </w:t>
            </w:r>
          </w:p>
        </w:tc>
      </w:tr>
      <w:tr w:rsidR="00D62A23" w:rsidRPr="008E3936" w14:paraId="2AA07B0C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4751DD38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62A23" w:rsidRPr="008E3936" w14:paraId="1E5ED6AC" w14:textId="77777777" w:rsidTr="00D62A23">
        <w:trPr>
          <w:trHeight w:val="427"/>
        </w:trPr>
        <w:tc>
          <w:tcPr>
            <w:tcW w:w="3982" w:type="dxa"/>
            <w:gridSpan w:val="7"/>
            <w:vAlign w:val="center"/>
          </w:tcPr>
          <w:p w14:paraId="699D3CB2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920" w:type="dxa"/>
            <w:gridSpan w:val="8"/>
            <w:vAlign w:val="center"/>
          </w:tcPr>
          <w:p w14:paraId="502E617D" w14:textId="59ABC3BE" w:rsidR="00D62A23" w:rsidRPr="008E3936" w:rsidRDefault="00C82C0C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bCs/>
                <w:sz w:val="20"/>
                <w:szCs w:val="20"/>
                <w:lang w:val="sr-Latn-CS"/>
              </w:rPr>
              <w:t>11</w:t>
            </w:r>
            <w:r w:rsidR="00D66C55">
              <w:rPr>
                <w:bCs/>
                <w:sz w:val="20"/>
                <w:szCs w:val="20"/>
                <w:lang w:val="sr-Latn-CS"/>
              </w:rPr>
              <w:t>83</w:t>
            </w:r>
            <w:r w:rsidRPr="008E3936">
              <w:rPr>
                <w:bCs/>
                <w:sz w:val="20"/>
                <w:szCs w:val="20"/>
                <w:lang w:val="sr-Latn-CS"/>
              </w:rPr>
              <w:t xml:space="preserve"> (scholar.google)</w:t>
            </w:r>
          </w:p>
        </w:tc>
      </w:tr>
      <w:tr w:rsidR="00D62A23" w:rsidRPr="008E3936" w14:paraId="0F9FD2D1" w14:textId="77777777" w:rsidTr="00D62A23">
        <w:trPr>
          <w:trHeight w:val="427"/>
        </w:trPr>
        <w:tc>
          <w:tcPr>
            <w:tcW w:w="3982" w:type="dxa"/>
            <w:gridSpan w:val="7"/>
            <w:vAlign w:val="center"/>
          </w:tcPr>
          <w:p w14:paraId="375E4B4B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920" w:type="dxa"/>
            <w:gridSpan w:val="8"/>
            <w:vAlign w:val="center"/>
          </w:tcPr>
          <w:p w14:paraId="377B48AC" w14:textId="508025D3" w:rsidR="00D62A23" w:rsidRPr="008E3936" w:rsidRDefault="008E3936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>7</w:t>
            </w:r>
            <w:r w:rsidR="00D66C55">
              <w:rPr>
                <w:rFonts w:ascii="Times New Roman" w:hAnsi="Times New Roman"/>
                <w:sz w:val="20"/>
                <w:szCs w:val="20"/>
                <w:lang w:val="sr-Latn-RS"/>
              </w:rPr>
              <w:t>7</w:t>
            </w:r>
          </w:p>
        </w:tc>
      </w:tr>
      <w:tr w:rsidR="00D62A23" w:rsidRPr="008E3936" w14:paraId="473612A8" w14:textId="77777777" w:rsidTr="00D62A23">
        <w:trPr>
          <w:trHeight w:val="278"/>
        </w:trPr>
        <w:tc>
          <w:tcPr>
            <w:tcW w:w="3982" w:type="dxa"/>
            <w:gridSpan w:val="7"/>
            <w:vAlign w:val="center"/>
          </w:tcPr>
          <w:p w14:paraId="016757B9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669" w:type="dxa"/>
            <w:gridSpan w:val="4"/>
            <w:vAlign w:val="center"/>
          </w:tcPr>
          <w:p w14:paraId="749D05BB" w14:textId="51C991B9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8E3936"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          1</w:t>
            </w:r>
          </w:p>
        </w:tc>
        <w:tc>
          <w:tcPr>
            <w:tcW w:w="3251" w:type="dxa"/>
            <w:gridSpan w:val="4"/>
            <w:vAlign w:val="center"/>
          </w:tcPr>
          <w:p w14:paraId="46F1D99C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D62A23" w:rsidRPr="008E3936" w14:paraId="6DD809AC" w14:textId="77777777" w:rsidTr="00D62A23">
        <w:trPr>
          <w:trHeight w:val="427"/>
        </w:trPr>
        <w:tc>
          <w:tcPr>
            <w:tcW w:w="2175" w:type="dxa"/>
            <w:gridSpan w:val="4"/>
            <w:vAlign w:val="center"/>
          </w:tcPr>
          <w:p w14:paraId="0076A0D6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727" w:type="dxa"/>
            <w:gridSpan w:val="11"/>
            <w:vAlign w:val="center"/>
          </w:tcPr>
          <w:p w14:paraId="6204D123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D62A23" w:rsidRPr="008E3936" w14:paraId="2E554BB8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13F80E9D" w14:textId="0DED4FF1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  <w:r w:rsidR="008E3936" w:rsidRPr="008E3936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. </w:t>
            </w:r>
            <w:r w:rsidR="008E3936" w:rsidRPr="008E3936">
              <w:rPr>
                <w:rFonts w:ascii="Times New Roman" w:hAnsi="Times New Roman"/>
                <w:sz w:val="20"/>
                <w:szCs w:val="20"/>
              </w:rPr>
              <w:t>Гост уредник за 8 часописа категорије М21-М23</w:t>
            </w:r>
          </w:p>
        </w:tc>
      </w:tr>
      <w:tr w:rsidR="00D62A23" w:rsidRPr="008E3936" w14:paraId="426401BA" w14:textId="77777777" w:rsidTr="00D77DEE">
        <w:trPr>
          <w:trHeight w:val="427"/>
        </w:trPr>
        <w:tc>
          <w:tcPr>
            <w:tcW w:w="8902" w:type="dxa"/>
            <w:gridSpan w:val="15"/>
            <w:vAlign w:val="center"/>
          </w:tcPr>
          <w:p w14:paraId="19468B8B" w14:textId="77777777" w:rsidR="00D62A23" w:rsidRPr="008E3936" w:rsidRDefault="00D62A23" w:rsidP="00D62A2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несме прећи једну А4 страну.</w:t>
            </w:r>
          </w:p>
        </w:tc>
      </w:tr>
    </w:tbl>
    <w:p w14:paraId="7C7FDB92" w14:textId="77777777" w:rsidR="00CF55E0" w:rsidRPr="008E3936" w:rsidRDefault="00CF55E0">
      <w:pPr>
        <w:rPr>
          <w:sz w:val="20"/>
          <w:szCs w:val="20"/>
        </w:rPr>
      </w:pPr>
    </w:p>
    <w:sectPr w:rsidR="00CF55E0" w:rsidRPr="008E3936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62BB" w14:textId="77777777" w:rsidR="002439ED" w:rsidRDefault="002439ED" w:rsidP="00A97106">
      <w:r>
        <w:separator/>
      </w:r>
    </w:p>
  </w:endnote>
  <w:endnote w:type="continuationSeparator" w:id="0">
    <w:p w14:paraId="3801F62B" w14:textId="77777777" w:rsidR="002439ED" w:rsidRDefault="002439ED" w:rsidP="00A9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NewRoman">
    <w:altName w:val="Times New Roman"/>
    <w:panose1 w:val="020B0604020202020204"/>
    <w:charset w:val="00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0E664" w14:textId="77777777" w:rsidR="002439ED" w:rsidRDefault="002439ED" w:rsidP="00A97106">
      <w:r>
        <w:separator/>
      </w:r>
    </w:p>
  </w:footnote>
  <w:footnote w:type="continuationSeparator" w:id="0">
    <w:p w14:paraId="2C85A917" w14:textId="77777777" w:rsidR="002439ED" w:rsidRDefault="002439ED" w:rsidP="00A97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0206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B78C1"/>
    <w:rsid w:val="000D2ECC"/>
    <w:rsid w:val="000E5E15"/>
    <w:rsid w:val="000F78F4"/>
    <w:rsid w:val="00142518"/>
    <w:rsid w:val="00185C50"/>
    <w:rsid w:val="001C13E3"/>
    <w:rsid w:val="001E5304"/>
    <w:rsid w:val="001E7438"/>
    <w:rsid w:val="001F4CD4"/>
    <w:rsid w:val="0021757C"/>
    <w:rsid w:val="00241248"/>
    <w:rsid w:val="002439ED"/>
    <w:rsid w:val="002757DB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C1FE4"/>
    <w:rsid w:val="004C2663"/>
    <w:rsid w:val="004C4AE9"/>
    <w:rsid w:val="004D4890"/>
    <w:rsid w:val="004E3312"/>
    <w:rsid w:val="004F5CE1"/>
    <w:rsid w:val="004F78BC"/>
    <w:rsid w:val="00502191"/>
    <w:rsid w:val="005031C8"/>
    <w:rsid w:val="00507EA8"/>
    <w:rsid w:val="005275E1"/>
    <w:rsid w:val="0053490C"/>
    <w:rsid w:val="005462FC"/>
    <w:rsid w:val="00550AED"/>
    <w:rsid w:val="005922EA"/>
    <w:rsid w:val="005C7C9B"/>
    <w:rsid w:val="00631981"/>
    <w:rsid w:val="00683A1E"/>
    <w:rsid w:val="006A5CC4"/>
    <w:rsid w:val="006D2AD9"/>
    <w:rsid w:val="006E0AFA"/>
    <w:rsid w:val="007029DC"/>
    <w:rsid w:val="007100F6"/>
    <w:rsid w:val="007103BD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D1F16"/>
    <w:rsid w:val="008E1895"/>
    <w:rsid w:val="008E3936"/>
    <w:rsid w:val="008E6D4C"/>
    <w:rsid w:val="008F2657"/>
    <w:rsid w:val="00923BC0"/>
    <w:rsid w:val="009552B1"/>
    <w:rsid w:val="00956E51"/>
    <w:rsid w:val="00996293"/>
    <w:rsid w:val="009A21FF"/>
    <w:rsid w:val="009D5F83"/>
    <w:rsid w:val="00A2381E"/>
    <w:rsid w:val="00A52753"/>
    <w:rsid w:val="00A52FD9"/>
    <w:rsid w:val="00A62029"/>
    <w:rsid w:val="00A904F4"/>
    <w:rsid w:val="00A9317B"/>
    <w:rsid w:val="00A93C57"/>
    <w:rsid w:val="00A97106"/>
    <w:rsid w:val="00B51FE0"/>
    <w:rsid w:val="00B91430"/>
    <w:rsid w:val="00BB7D20"/>
    <w:rsid w:val="00BE7453"/>
    <w:rsid w:val="00C82C0C"/>
    <w:rsid w:val="00C871AF"/>
    <w:rsid w:val="00C9059D"/>
    <w:rsid w:val="00CF55E0"/>
    <w:rsid w:val="00D06C63"/>
    <w:rsid w:val="00D146E1"/>
    <w:rsid w:val="00D418C3"/>
    <w:rsid w:val="00D62A23"/>
    <w:rsid w:val="00D66C55"/>
    <w:rsid w:val="00D77DEE"/>
    <w:rsid w:val="00DA2CF9"/>
    <w:rsid w:val="00DC1452"/>
    <w:rsid w:val="00DF324C"/>
    <w:rsid w:val="00E2588E"/>
    <w:rsid w:val="00E41FA4"/>
    <w:rsid w:val="00E67ACF"/>
    <w:rsid w:val="00EB3804"/>
    <w:rsid w:val="00F11860"/>
    <w:rsid w:val="00F35EC0"/>
    <w:rsid w:val="00F40CB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78F4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NormalWeb">
    <w:name w:val="Normal (Web)"/>
    <w:basedOn w:val="Normal"/>
    <w:uiPriority w:val="99"/>
    <w:unhideWhenUsed/>
    <w:rsid w:val="00D77DE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  <w:style w:type="character" w:styleId="Hyperlink">
    <w:name w:val="Hyperlink"/>
    <w:basedOn w:val="DefaultParagraphFont"/>
    <w:uiPriority w:val="99"/>
    <w:unhideWhenUsed/>
    <w:rsid w:val="00923B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3BC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23BC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971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106"/>
    <w:rPr>
      <w:rFonts w:ascii="Calibri" w:eastAsia="Calibri" w:hAnsi="Calibri"/>
      <w:color w:val="auto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A971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106"/>
    <w:rPr>
      <w:rFonts w:ascii="Calibri" w:eastAsia="Calibri" w:hAnsi="Calibri"/>
      <w:color w:val="auto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87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1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8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46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3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6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5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87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34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6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0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1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55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0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96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4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573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3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laa.2020.08.028" TargetMode="External"/><Relationship Id="rId13" Type="http://schemas.openxmlformats.org/officeDocument/2006/relationships/hyperlink" Target="https://doi.org/10.1002/nla.202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i.org/10.1016/j.cam.2020.113265" TargetMode="External"/><Relationship Id="rId12" Type="http://schemas.openxmlformats.org/officeDocument/2006/relationships/hyperlink" Target="https://doi.org/10.1002/nla.210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/10.1007/s11075-015-9985-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1016/j.laa.2018.08.03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016/j.amc.2016.02.048" TargetMode="External"/><Relationship Id="rId10" Type="http://schemas.openxmlformats.org/officeDocument/2006/relationships/hyperlink" Target="https://doi.org/10.1016/j.laa.2018.12.0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1016/j.amc.2019.06.055" TargetMode="External"/><Relationship Id="rId14" Type="http://schemas.openxmlformats.org/officeDocument/2006/relationships/hyperlink" Target="https://doi.org/10.1002/nla.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Ljiljana Cvetković</cp:lastModifiedBy>
  <cp:revision>4</cp:revision>
  <dcterms:created xsi:type="dcterms:W3CDTF">2022-10-28T13:45:00Z</dcterms:created>
  <dcterms:modified xsi:type="dcterms:W3CDTF">2022-10-28T13:56:00Z</dcterms:modified>
</cp:coreProperties>
</file>