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F2E5B" w14:textId="77777777" w:rsidR="00055C34" w:rsidRDefault="006202BF">
      <w:pPr>
        <w:tabs>
          <w:tab w:val="left" w:pos="567"/>
        </w:tabs>
        <w:spacing w:after="60"/>
        <w:jc w:val="both"/>
        <w:rPr>
          <w:rFonts w:hint="eastAsia"/>
        </w:rPr>
      </w:pPr>
      <w:r>
        <w:rPr>
          <w:b/>
          <w:sz w:val="22"/>
          <w:szCs w:val="22"/>
        </w:rPr>
        <w:t>Табела 9.1.</w:t>
      </w:r>
      <w:r>
        <w:rPr>
          <w:sz w:val="22"/>
          <w:szCs w:val="22"/>
        </w:rPr>
        <w:t xml:space="preserve">  </w:t>
      </w:r>
    </w:p>
    <w:tbl>
      <w:tblPr>
        <w:tblW w:w="957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000" w:firstRow="0" w:lastRow="0" w:firstColumn="0" w:lastColumn="0" w:noHBand="0" w:noVBand="0"/>
      </w:tblPr>
      <w:tblGrid>
        <w:gridCol w:w="789"/>
        <w:gridCol w:w="350"/>
        <w:gridCol w:w="766"/>
        <w:gridCol w:w="143"/>
        <w:gridCol w:w="1005"/>
        <w:gridCol w:w="931"/>
        <w:gridCol w:w="944"/>
        <w:gridCol w:w="1091"/>
        <w:gridCol w:w="160"/>
        <w:gridCol w:w="472"/>
        <w:gridCol w:w="2922"/>
      </w:tblGrid>
      <w:tr w:rsidR="00055C34" w14:paraId="2D0F2E5E" w14:textId="77777777" w:rsidTr="00EA4B02">
        <w:trPr>
          <w:trHeight w:val="220"/>
        </w:trPr>
        <w:tc>
          <w:tcPr>
            <w:tcW w:w="492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5C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b/>
              </w:rPr>
              <w:t xml:space="preserve">Име и презиме </w:t>
            </w:r>
          </w:p>
        </w:tc>
        <w:tc>
          <w:tcPr>
            <w:tcW w:w="46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5D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Ђорђе Херцег</w:t>
            </w:r>
          </w:p>
        </w:tc>
      </w:tr>
      <w:tr w:rsidR="00055C34" w14:paraId="2D0F2E61" w14:textId="77777777" w:rsidTr="00EA4B02">
        <w:trPr>
          <w:trHeight w:val="220"/>
        </w:trPr>
        <w:tc>
          <w:tcPr>
            <w:tcW w:w="492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5F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b/>
              </w:rPr>
              <w:t>Звање</w:t>
            </w:r>
          </w:p>
        </w:tc>
        <w:tc>
          <w:tcPr>
            <w:tcW w:w="46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0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редовни професор</w:t>
            </w:r>
          </w:p>
        </w:tc>
      </w:tr>
      <w:tr w:rsidR="00055C34" w14:paraId="2D0F2E64" w14:textId="77777777" w:rsidTr="00EA4B02">
        <w:trPr>
          <w:trHeight w:val="220"/>
        </w:trPr>
        <w:tc>
          <w:tcPr>
            <w:tcW w:w="492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2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b/>
              </w:rPr>
              <w:t>Назив институције у  којој наставник ради са пуним радним временом и од када</w:t>
            </w:r>
          </w:p>
        </w:tc>
        <w:tc>
          <w:tcPr>
            <w:tcW w:w="46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3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Природно-математички факултет у Новом Саду, 1995.</w:t>
            </w:r>
          </w:p>
        </w:tc>
      </w:tr>
      <w:tr w:rsidR="00055C34" w14:paraId="2D0F2E67" w14:textId="77777777" w:rsidTr="00EA4B02">
        <w:trPr>
          <w:trHeight w:val="220"/>
        </w:trPr>
        <w:tc>
          <w:tcPr>
            <w:tcW w:w="492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5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b/>
              </w:rPr>
              <w:t>Ужа научна односно уметничка област</w:t>
            </w:r>
          </w:p>
        </w:tc>
        <w:tc>
          <w:tcPr>
            <w:tcW w:w="464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6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Нумеричка математика</w:t>
            </w:r>
          </w:p>
        </w:tc>
      </w:tr>
      <w:tr w:rsidR="00055C34" w14:paraId="2D0F2E69" w14:textId="77777777" w:rsidTr="00CD59E8">
        <w:trPr>
          <w:trHeight w:val="220"/>
        </w:trPr>
        <w:tc>
          <w:tcPr>
            <w:tcW w:w="957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8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b/>
              </w:rPr>
              <w:t>Академска каријера</w:t>
            </w:r>
          </w:p>
        </w:tc>
      </w:tr>
      <w:tr w:rsidR="00055C34" w14:paraId="2D0F2E6E" w14:textId="77777777" w:rsidTr="00CD59E8">
        <w:trPr>
          <w:trHeight w:val="220"/>
        </w:trPr>
        <w:tc>
          <w:tcPr>
            <w:tcW w:w="20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A" w14:textId="77777777" w:rsidR="00055C34" w:rsidRDefault="00055C34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B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 xml:space="preserve">Година </w:t>
            </w:r>
          </w:p>
        </w:tc>
        <w:tc>
          <w:tcPr>
            <w:tcW w:w="359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C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 xml:space="preserve">Институција </w:t>
            </w:r>
          </w:p>
        </w:tc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D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 xml:space="preserve">Област </w:t>
            </w:r>
          </w:p>
        </w:tc>
      </w:tr>
      <w:tr w:rsidR="00055C34" w14:paraId="2D0F2E73" w14:textId="77777777" w:rsidTr="00CD59E8">
        <w:trPr>
          <w:trHeight w:val="220"/>
        </w:trPr>
        <w:tc>
          <w:tcPr>
            <w:tcW w:w="20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6F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Избор у звање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0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2010</w:t>
            </w:r>
          </w:p>
        </w:tc>
        <w:tc>
          <w:tcPr>
            <w:tcW w:w="359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1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Природно-математички факултет у Новом Саду</w:t>
            </w:r>
          </w:p>
        </w:tc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2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Нумеричка математика</w:t>
            </w:r>
          </w:p>
        </w:tc>
      </w:tr>
      <w:tr w:rsidR="00055C34" w14:paraId="2D0F2E78" w14:textId="77777777" w:rsidTr="00CD59E8">
        <w:trPr>
          <w:trHeight w:val="220"/>
        </w:trPr>
        <w:tc>
          <w:tcPr>
            <w:tcW w:w="20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4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Докторат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5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1999</w:t>
            </w:r>
          </w:p>
        </w:tc>
        <w:tc>
          <w:tcPr>
            <w:tcW w:w="359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6" w14:textId="77777777" w:rsidR="00055C34" w:rsidRDefault="00CD59E8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lang w:val="sr-Cyrl-RS"/>
              </w:rPr>
              <w:t>Природно-математички факултет у Новом Саду</w:t>
            </w:r>
          </w:p>
        </w:tc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7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Нумеричка математика</w:t>
            </w:r>
          </w:p>
        </w:tc>
      </w:tr>
      <w:tr w:rsidR="00055C34" w14:paraId="2D0F2E7D" w14:textId="77777777" w:rsidTr="00CD59E8">
        <w:trPr>
          <w:trHeight w:val="220"/>
        </w:trPr>
        <w:tc>
          <w:tcPr>
            <w:tcW w:w="20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9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Магистратура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A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1997</w:t>
            </w:r>
          </w:p>
        </w:tc>
        <w:tc>
          <w:tcPr>
            <w:tcW w:w="359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B" w14:textId="77777777" w:rsidR="00055C34" w:rsidRDefault="00CD59E8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lang w:val="sr-Cyrl-RS"/>
              </w:rPr>
              <w:t>Природно-математички факултет у Новом Саду</w:t>
            </w:r>
          </w:p>
        </w:tc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C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Информатика</w:t>
            </w:r>
          </w:p>
        </w:tc>
      </w:tr>
      <w:tr w:rsidR="00055C34" w14:paraId="2D0F2E82" w14:textId="77777777" w:rsidTr="00CD59E8">
        <w:trPr>
          <w:trHeight w:val="220"/>
        </w:trPr>
        <w:tc>
          <w:tcPr>
            <w:tcW w:w="204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E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Диплома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7F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1995</w:t>
            </w:r>
          </w:p>
        </w:tc>
        <w:tc>
          <w:tcPr>
            <w:tcW w:w="359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0" w14:textId="77777777" w:rsidR="00055C34" w:rsidRDefault="00CD59E8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lang w:val="sr-Cyrl-RS"/>
              </w:rPr>
              <w:t>Природно-математички факултет у Новом Саду</w:t>
            </w:r>
          </w:p>
        </w:tc>
        <w:tc>
          <w:tcPr>
            <w:tcW w:w="2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1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Информатика</w:t>
            </w:r>
          </w:p>
        </w:tc>
      </w:tr>
      <w:tr w:rsidR="00055C34" w14:paraId="2D0F2E84" w14:textId="77777777" w:rsidTr="00CD59E8">
        <w:trPr>
          <w:trHeight w:val="220"/>
        </w:trPr>
        <w:tc>
          <w:tcPr>
            <w:tcW w:w="957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3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b/>
              </w:rPr>
              <w:t>Списак предмета које наставник држи у текућој школској години</w:t>
            </w:r>
          </w:p>
        </w:tc>
      </w:tr>
      <w:tr w:rsidR="00055C34" w14:paraId="2D0F2E88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5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Р.Б.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6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 xml:space="preserve">назив предмета     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7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врста студија</w:t>
            </w:r>
          </w:p>
        </w:tc>
      </w:tr>
      <w:tr w:rsidR="00055C34" w14:paraId="2D0F2E8C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9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1.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A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Савремена наставна средства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B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Основне</w:t>
            </w:r>
          </w:p>
        </w:tc>
      </w:tr>
      <w:tr w:rsidR="00055C34" w14:paraId="2D0F2E90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D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2.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E" w14:textId="77777777" w:rsidR="00055C34" w:rsidRPr="00CD59E8" w:rsidRDefault="00CD59E8" w:rsidP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Нумеричка анализа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8F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Основне</w:t>
            </w:r>
          </w:p>
        </w:tc>
      </w:tr>
      <w:tr w:rsidR="00055C34" w14:paraId="2D0F2E94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1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3.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2" w14:textId="7E93FEE4" w:rsidR="00055C34" w:rsidRPr="00CD59E8" w:rsidRDefault="009375CD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Базе података и п</w:t>
            </w:r>
            <w:r w:rsidR="00CD59E8">
              <w:rPr>
                <w:lang w:val="sr-Cyrl-RS"/>
              </w:rPr>
              <w:t>ословна информатика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3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Основне</w:t>
            </w:r>
          </w:p>
        </w:tc>
      </w:tr>
      <w:tr w:rsidR="00055C34" w14:paraId="2D0F2E98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5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4.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6" w14:textId="58C88E5D" w:rsidR="00055C34" w:rsidRPr="00451D70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Latn-RS"/>
              </w:rPr>
            </w:pPr>
            <w:r>
              <w:rPr>
                <w:lang w:val="sr-Cyrl-RS"/>
              </w:rPr>
              <w:t xml:space="preserve">Програмирање </w:t>
            </w:r>
            <w:r w:rsidR="00451D70">
              <w:rPr>
                <w:lang w:val="sr-Latn-RS"/>
              </w:rPr>
              <w:t>3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7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Основне</w:t>
            </w:r>
          </w:p>
        </w:tc>
      </w:tr>
      <w:tr w:rsidR="00BB2B3E" w14:paraId="37AF7395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8E43846" w14:textId="11A98124" w:rsidR="00BB2B3E" w:rsidRPr="005A0090" w:rsidRDefault="005A0090">
            <w:pPr>
              <w:tabs>
                <w:tab w:val="left" w:pos="567"/>
              </w:tabs>
              <w:spacing w:after="60"/>
            </w:pPr>
            <w:r>
              <w:t>5.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64FBF73" w14:textId="29444D80" w:rsidR="00BB2B3E" w:rsidRPr="006772B2" w:rsidRDefault="005A0090">
            <w:pPr>
              <w:tabs>
                <w:tab w:val="left" w:pos="567"/>
              </w:tabs>
              <w:spacing w:after="60"/>
            </w:pPr>
            <w:r>
              <w:rPr>
                <w:lang w:val="sr-Cyrl-RS"/>
              </w:rPr>
              <w:t>Интернет ствари</w:t>
            </w:r>
            <w:r w:rsidR="006772B2">
              <w:rPr>
                <w:lang w:val="sr-Cyrl-RS"/>
              </w:rPr>
              <w:t xml:space="preserve"> (</w:t>
            </w:r>
            <w:r w:rsidR="006772B2">
              <w:t>Internet of Things)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6C709FCD" w14:textId="07EF2A24" w:rsidR="00BB2B3E" w:rsidRPr="006772B2" w:rsidRDefault="006772B2">
            <w:pPr>
              <w:tabs>
                <w:tab w:val="left" w:pos="567"/>
              </w:tabs>
              <w:spacing w:after="60"/>
              <w:rPr>
                <w:lang w:val="sr-Cyrl-RS"/>
              </w:rPr>
            </w:pPr>
            <w:r>
              <w:rPr>
                <w:lang w:val="sr-Latn-RS"/>
              </w:rPr>
              <w:t>O</w:t>
            </w:r>
            <w:r>
              <w:rPr>
                <w:lang w:val="sr-Cyrl-RS"/>
              </w:rPr>
              <w:t>сновне</w:t>
            </w:r>
          </w:p>
        </w:tc>
      </w:tr>
      <w:tr w:rsidR="00055C34" w14:paraId="2D0F2E9C" w14:textId="77777777" w:rsidTr="00CD59E8">
        <w:trPr>
          <w:trHeight w:val="220"/>
        </w:trPr>
        <w:tc>
          <w:tcPr>
            <w:tcW w:w="7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9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5.</w:t>
            </w:r>
          </w:p>
        </w:tc>
        <w:tc>
          <w:tcPr>
            <w:tcW w:w="539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A" w14:textId="1177513A" w:rsidR="00055C34" w:rsidRPr="00BB2B3E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Latn-RS"/>
              </w:rPr>
            </w:pPr>
            <w:r>
              <w:rPr>
                <w:lang w:val="sr-Cyrl-RS"/>
              </w:rPr>
              <w:t>Семинарски рад Д</w:t>
            </w:r>
            <w:r w:rsidR="00891203">
              <w:rPr>
                <w:lang w:val="sr-Latn-RS"/>
              </w:rPr>
              <w:t xml:space="preserve"> </w:t>
            </w:r>
            <w:r w:rsidR="00595427">
              <w:rPr>
                <w:lang w:val="sr-Latn-RS"/>
              </w:rPr>
              <w:t>–</w:t>
            </w:r>
            <w:r w:rsidR="00891203">
              <w:rPr>
                <w:lang w:val="sr-Latn-RS"/>
              </w:rPr>
              <w:t xml:space="preserve"> </w:t>
            </w:r>
            <w:r w:rsidR="00595427">
              <w:rPr>
                <w:lang w:val="sr-Cyrl-RS"/>
              </w:rPr>
              <w:t>Напредн</w:t>
            </w:r>
            <w:r w:rsidR="00BB2B3E">
              <w:t>o</w:t>
            </w:r>
            <w:r w:rsidR="00595427">
              <w:rPr>
                <w:lang w:val="sr-Cyrl-RS"/>
              </w:rPr>
              <w:t xml:space="preserve"> .</w:t>
            </w:r>
            <w:r w:rsidR="00595427">
              <w:t>NET</w:t>
            </w:r>
            <w:r w:rsidR="00595427">
              <w:rPr>
                <w:lang w:val="sr-Cyrl-RS"/>
              </w:rPr>
              <w:t xml:space="preserve"> </w:t>
            </w:r>
            <w:r w:rsidR="00BB2B3E">
              <w:rPr>
                <w:lang w:val="sr-Cyrl-RS"/>
              </w:rPr>
              <w:t>програмирање</w:t>
            </w:r>
          </w:p>
        </w:tc>
        <w:tc>
          <w:tcPr>
            <w:tcW w:w="33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B" w14:textId="77777777" w:rsidR="00055C34" w:rsidRPr="00CD59E8" w:rsidRDefault="00CD59E8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Мастер</w:t>
            </w:r>
          </w:p>
        </w:tc>
      </w:tr>
      <w:tr w:rsidR="00055C34" w14:paraId="2D0F2E9E" w14:textId="77777777" w:rsidTr="00CD59E8">
        <w:trPr>
          <w:trHeight w:val="220"/>
        </w:trPr>
        <w:tc>
          <w:tcPr>
            <w:tcW w:w="957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D" w14:textId="77777777" w:rsidR="00055C34" w:rsidRDefault="006202BF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b/>
              </w:rPr>
              <w:t>Репрезентативне референце (минимално 5 не више од 10)</w:t>
            </w:r>
          </w:p>
        </w:tc>
      </w:tr>
      <w:tr w:rsidR="00AB50CC" w14:paraId="3063C782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DFD65B1" w14:textId="77777777" w:rsidR="00AB50CC" w:rsidRDefault="00AB50CC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D333421" w14:textId="4EB71E58" w:rsidR="00AB50CC" w:rsidRPr="00AB50CC" w:rsidRDefault="00AB50CC" w:rsidP="00AB50CC">
            <w:pPr>
              <w:pStyle w:val="Rad"/>
              <w:numPr>
                <w:ilvl w:val="0"/>
                <w:numId w:val="0"/>
              </w:numPr>
              <w:ind w:left="360" w:hanging="360"/>
            </w:pPr>
            <w:r w:rsidRPr="00AB50CC">
              <w:rPr>
                <w:b/>
                <w:bCs/>
              </w:rPr>
              <w:t>Herceg, Đ.</w:t>
            </w:r>
            <w:r w:rsidRPr="00771A4D">
              <w:t>, Petković, I., Computer visualization and dynamic study of new families of root-solvers</w:t>
            </w:r>
            <w:r>
              <w:t>,</w:t>
            </w:r>
            <w:r w:rsidRPr="00771A4D">
              <w:t xml:space="preserve"> </w:t>
            </w:r>
            <w:r w:rsidRPr="00E67700">
              <w:t>Journal of Computational and Applied Mathematics (202</w:t>
            </w:r>
            <w:r>
              <w:t>1</w:t>
            </w:r>
            <w:r w:rsidRPr="00E67700">
              <w:t>)</w:t>
            </w:r>
            <w:r>
              <w:t xml:space="preserve">, </w:t>
            </w:r>
            <w:r>
              <w:br/>
              <w:t xml:space="preserve">DOI: </w:t>
            </w:r>
            <w:r w:rsidRPr="00771A4D">
              <w:t>10.1016/j.cam.2021.113775</w:t>
            </w:r>
            <w:r>
              <w:t xml:space="preserve"> – M21</w:t>
            </w:r>
          </w:p>
        </w:tc>
      </w:tr>
      <w:tr w:rsidR="00D23725" w14:paraId="40129F6F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7F787DC" w14:textId="77777777" w:rsidR="00D23725" w:rsidRDefault="00D23725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7E23D796" w14:textId="2D7E6D0B" w:rsidR="00D23725" w:rsidRPr="005B67D1" w:rsidRDefault="0073425B" w:rsidP="00087EDD">
            <w:pPr>
              <w:pStyle w:val="Rad"/>
              <w:numPr>
                <w:ilvl w:val="0"/>
                <w:numId w:val="0"/>
              </w:numPr>
              <w:ind w:left="360" w:hanging="360"/>
              <w:rPr>
                <w:b/>
                <w:bCs/>
              </w:rPr>
            </w:pPr>
            <w:r w:rsidRPr="00087EDD">
              <w:t xml:space="preserve">Petković, I., </w:t>
            </w:r>
            <w:r w:rsidRPr="00087EDD">
              <w:rPr>
                <w:b/>
                <w:bCs/>
              </w:rPr>
              <w:t>Herceg, Đ.</w:t>
            </w:r>
            <w:r w:rsidRPr="00087EDD">
              <w:t xml:space="preserve">, </w:t>
            </w:r>
            <w:r w:rsidR="00FF4B8B">
              <w:t>C</w:t>
            </w:r>
            <w:r w:rsidR="00F41918" w:rsidRPr="00087EDD">
              <w:t>omputer tools for solving mathematical problems: a review</w:t>
            </w:r>
            <w:r w:rsidRPr="00087EDD">
              <w:t xml:space="preserve">, </w:t>
            </w:r>
            <w:r w:rsidR="00F41918">
              <w:t>F</w:t>
            </w:r>
            <w:r w:rsidR="00F41918" w:rsidRPr="00087EDD">
              <w:t xml:space="preserve">acta </w:t>
            </w:r>
            <w:r w:rsidR="00F41918">
              <w:t>U</w:t>
            </w:r>
            <w:r w:rsidR="00F41918" w:rsidRPr="00087EDD">
              <w:t xml:space="preserve">niversitatis </w:t>
            </w:r>
            <w:r w:rsidR="00087EDD" w:rsidRPr="00087EDD">
              <w:rPr>
                <w:rFonts w:hint="eastAsia"/>
              </w:rPr>
              <w:t>(N</w:t>
            </w:r>
            <w:r w:rsidR="00087EDD" w:rsidRPr="00087EDD">
              <w:t>iš</w:t>
            </w:r>
            <w:r w:rsidR="00087EDD">
              <w:t>)</w:t>
            </w:r>
            <w:r w:rsidR="00087EDD" w:rsidRPr="00F41918">
              <w:t xml:space="preserve"> </w:t>
            </w:r>
            <w:r w:rsidR="00087EDD" w:rsidRPr="00F41918">
              <w:rPr>
                <w:rFonts w:hint="eastAsia"/>
              </w:rPr>
              <w:t>Ser. Math. Inform. Vol. 36, No 1 (2021), 205-236</w:t>
            </w:r>
            <w:r w:rsidR="00087EDD" w:rsidRPr="00F41918">
              <w:br/>
              <w:t xml:space="preserve">DOI: </w:t>
            </w:r>
            <w:r w:rsidR="00087EDD" w:rsidRPr="00F41918">
              <w:rPr>
                <w:rFonts w:hint="eastAsia"/>
              </w:rPr>
              <w:t>10.22190/FUMI201203017P</w:t>
            </w:r>
          </w:p>
        </w:tc>
      </w:tr>
      <w:tr w:rsidR="00097311" w14:paraId="03D71F31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9630756" w14:textId="77777777" w:rsidR="00097311" w:rsidRDefault="00097311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71D2312" w14:textId="560E929F" w:rsidR="00097311" w:rsidRDefault="00097311" w:rsidP="00097311">
            <w:pPr>
              <w:pStyle w:val="Rad"/>
              <w:numPr>
                <w:ilvl w:val="0"/>
                <w:numId w:val="0"/>
              </w:numPr>
              <w:ind w:left="360" w:hanging="360"/>
            </w:pPr>
            <w:r w:rsidRPr="005B67D1">
              <w:rPr>
                <w:b/>
                <w:bCs/>
              </w:rPr>
              <w:t>Herceg, Đ.</w:t>
            </w:r>
            <w:r>
              <w:t>, Herceg, D., Arduino and Numerical Mathematics, Informatics in Education (ISSN: 1648-5831), Vol 19, No 2(2020), 239-256.</w:t>
            </w:r>
            <w:r>
              <w:br/>
              <w:t>DOI: 10.15388/infedu.2020.12, M53</w:t>
            </w:r>
          </w:p>
        </w:tc>
      </w:tr>
      <w:tr w:rsidR="00BA28FE" w14:paraId="10ABBFF7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E517D70" w14:textId="77777777" w:rsidR="00BA28FE" w:rsidRDefault="00BA28F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3745ED42" w14:textId="75A2C885" w:rsidR="00BA28FE" w:rsidRDefault="00A92883" w:rsidP="00A92883">
            <w:pPr>
              <w:pStyle w:val="Rad"/>
              <w:numPr>
                <w:ilvl w:val="0"/>
                <w:numId w:val="0"/>
              </w:numPr>
              <w:ind w:left="360" w:hanging="360"/>
            </w:pPr>
            <w:r>
              <w:t xml:space="preserve">Herceg, D., Chwastek, K., </w:t>
            </w:r>
            <w:r w:rsidRPr="00BB5B14">
              <w:rPr>
                <w:b/>
              </w:rPr>
              <w:t>Herceg, Đ.</w:t>
            </w:r>
            <w:r>
              <w:t xml:space="preserve">, </w:t>
            </w:r>
            <w:r w:rsidRPr="00BB5B14">
              <w:t>The Use of Hypergeometric Functions in Hysteresis Modeling</w:t>
            </w:r>
            <w:r>
              <w:t xml:space="preserve">, </w:t>
            </w:r>
            <w:r w:rsidRPr="00BB5B14">
              <w:t xml:space="preserve">Energies 2020, 13(24), 6500; </w:t>
            </w:r>
            <w:r>
              <w:t xml:space="preserve">DOI: </w:t>
            </w:r>
            <w:r w:rsidRPr="00BB0D69">
              <w:t>10.3390/en13246500</w:t>
            </w:r>
            <w:r>
              <w:t>,</w:t>
            </w:r>
            <w:r w:rsidRPr="00BB0D69">
              <w:t xml:space="preserve"> M22</w:t>
            </w:r>
          </w:p>
        </w:tc>
      </w:tr>
      <w:tr w:rsidR="0072079E" w14:paraId="12985F93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1C174117" w14:textId="77777777" w:rsidR="0072079E" w:rsidRDefault="0072079E" w:rsidP="0072079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4328E2FA" w14:textId="64DD00CB" w:rsidR="0072079E" w:rsidRPr="0072079E" w:rsidRDefault="0072079E" w:rsidP="002C4C5B">
            <w:pPr>
              <w:pStyle w:val="Rad"/>
              <w:numPr>
                <w:ilvl w:val="0"/>
                <w:numId w:val="0"/>
              </w:numPr>
              <w:ind w:left="360" w:hanging="360"/>
              <w:rPr>
                <w:lang w:val="sr-Cyrl-RS"/>
              </w:rPr>
            </w:pPr>
            <w:r w:rsidRPr="00087EDD">
              <w:t xml:space="preserve">Petković, I., </w:t>
            </w:r>
            <w:r w:rsidRPr="00087EDD">
              <w:rPr>
                <w:b/>
                <w:bCs/>
              </w:rPr>
              <w:t>Herceg, Đ.</w:t>
            </w:r>
            <w:r w:rsidRPr="00087EDD">
              <w:t xml:space="preserve">, </w:t>
            </w:r>
            <w:r w:rsidR="00FF4B8B">
              <w:rPr>
                <w:rFonts w:hint="eastAsia"/>
              </w:rPr>
              <w:t xml:space="preserve">Computer </w:t>
            </w:r>
            <w:r w:rsidR="00FF4B8B">
              <w:t>t</w:t>
            </w:r>
            <w:r w:rsidR="00FF4B8B">
              <w:rPr>
                <w:rFonts w:hint="eastAsia"/>
              </w:rPr>
              <w:t xml:space="preserve">ools for the </w:t>
            </w:r>
            <w:r w:rsidR="00FF4B8B">
              <w:t>c</w:t>
            </w:r>
            <w:r w:rsidR="00FF4B8B">
              <w:rPr>
                <w:rFonts w:hint="eastAsia"/>
              </w:rPr>
              <w:t xml:space="preserve">onstruction and </w:t>
            </w:r>
            <w:r w:rsidR="00FF4B8B">
              <w:t>a</w:t>
            </w:r>
            <w:r w:rsidR="00FF4B8B">
              <w:rPr>
                <w:rFonts w:hint="eastAsia"/>
              </w:rPr>
              <w:t xml:space="preserve">nalysis of </w:t>
            </w:r>
            <w:r w:rsidR="00FF4B8B">
              <w:t>s</w:t>
            </w:r>
            <w:r w:rsidR="00FF4B8B">
              <w:rPr>
                <w:rFonts w:hint="eastAsia"/>
              </w:rPr>
              <w:t xml:space="preserve">ome </w:t>
            </w:r>
            <w:r w:rsidR="00FF4B8B">
              <w:t>effi</w:t>
            </w:r>
            <w:r w:rsidR="00FF4B8B">
              <w:rPr>
                <w:rFonts w:hint="eastAsia"/>
              </w:rPr>
              <w:br w:type="column"/>
              <w:t>cien</w:t>
            </w:r>
            <w:r w:rsidR="00FF4B8B">
              <w:t>t r</w:t>
            </w:r>
            <w:r w:rsidR="00FF4B8B">
              <w:rPr>
                <w:rFonts w:hint="eastAsia"/>
              </w:rPr>
              <w:t>oot-</w:t>
            </w:r>
            <w:r w:rsidR="00FF4B8B">
              <w:t>f</w:t>
            </w:r>
            <w:r w:rsidR="00FF4B8B">
              <w:rPr>
                <w:rFonts w:hint="eastAsia"/>
              </w:rPr>
              <w:t xml:space="preserve">inding </w:t>
            </w:r>
            <w:r w:rsidR="00FF4B8B">
              <w:t>s</w:t>
            </w:r>
            <w:r w:rsidR="00FF4B8B">
              <w:rPr>
                <w:rFonts w:hint="eastAsia"/>
              </w:rPr>
              <w:t xml:space="preserve">imultaneous </w:t>
            </w:r>
            <w:r w:rsidR="00FF4B8B">
              <w:t>m</w:t>
            </w:r>
            <w:r w:rsidR="00FF4B8B">
              <w:rPr>
                <w:rFonts w:hint="eastAsia"/>
              </w:rPr>
              <w:t>ethods</w:t>
            </w:r>
            <w:r w:rsidRPr="00087EDD">
              <w:t xml:space="preserve">, </w:t>
            </w:r>
            <w:r w:rsidR="00654F42">
              <w:rPr>
                <w:rFonts w:hint="eastAsia"/>
              </w:rPr>
              <w:t>Filomat 34:7 (2020), 2151–2169</w:t>
            </w:r>
            <w:r w:rsidR="00654F42">
              <w:br/>
              <w:t xml:space="preserve">DOI: </w:t>
            </w:r>
            <w:r w:rsidR="00654F42">
              <w:rPr>
                <w:rFonts w:hint="eastAsia"/>
              </w:rPr>
              <w:t>10.2298/FIL2007151P</w:t>
            </w:r>
          </w:p>
        </w:tc>
      </w:tr>
      <w:tr w:rsidR="003B0928" w14:paraId="2797679F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09D1FE73" w14:textId="77777777" w:rsidR="003B0928" w:rsidRDefault="003B0928" w:rsidP="0072079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581B3A46" w14:textId="76C374C5" w:rsidR="003B0928" w:rsidRPr="00087EDD" w:rsidRDefault="00631803" w:rsidP="002C4C5B">
            <w:pPr>
              <w:pStyle w:val="Rad"/>
              <w:numPr>
                <w:ilvl w:val="0"/>
                <w:numId w:val="0"/>
              </w:numPr>
              <w:ind w:left="360" w:hanging="360"/>
            </w:pPr>
            <w:r>
              <w:t>Petkovi</w:t>
            </w:r>
            <w:r>
              <w:rPr>
                <w:lang w:val="sr-Latn-RS"/>
              </w:rPr>
              <w:t xml:space="preserve">ć, I., </w:t>
            </w:r>
            <w:r w:rsidRPr="00631803">
              <w:rPr>
                <w:b/>
                <w:bCs/>
                <w:lang w:val="sr-Latn-RS"/>
              </w:rPr>
              <w:t>Herceg, Đ.</w:t>
            </w:r>
            <w:r>
              <w:rPr>
                <w:lang w:val="sr-Latn-RS"/>
              </w:rPr>
              <w:t xml:space="preserve">, </w:t>
            </w:r>
            <w:r w:rsidR="00751347" w:rsidRPr="00751347">
              <w:rPr>
                <w:rFonts w:hint="eastAsia"/>
              </w:rPr>
              <w:t>Computer methodologies for comparison of computational efficiency of simultaneous methods for finding polynomial zeros</w:t>
            </w:r>
            <w:r>
              <w:t xml:space="preserve">, </w:t>
            </w:r>
            <w:r>
              <w:rPr>
                <w:rFonts w:hint="eastAsia"/>
              </w:rPr>
              <w:t>Journal of Computational and Applied Mathematics</w:t>
            </w:r>
            <w:r>
              <w:t xml:space="preserve"> </w:t>
            </w:r>
            <w:r w:rsidR="003522A3">
              <w:t xml:space="preserve">Vol 368 </w:t>
            </w:r>
            <w:r>
              <w:t>(2020)</w:t>
            </w:r>
            <w:r w:rsidR="002C4C5B">
              <w:br/>
              <w:t xml:space="preserve">DOI: </w:t>
            </w:r>
            <w:r w:rsidR="002C4C5B" w:rsidRPr="002C4C5B">
              <w:rPr>
                <w:rFonts w:hint="eastAsia"/>
              </w:rPr>
              <w:t>10.1016/j.cam.2019.112513</w:t>
            </w:r>
          </w:p>
        </w:tc>
      </w:tr>
      <w:tr w:rsidR="0072079E" w14:paraId="2D0F2EA1" w14:textId="77777777" w:rsidTr="00CD59E8">
        <w:trPr>
          <w:trHeight w:val="220"/>
        </w:trPr>
        <w:tc>
          <w:tcPr>
            <w:tcW w:w="113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9F" w14:textId="77777777" w:rsidR="0072079E" w:rsidRDefault="0072079E" w:rsidP="0072079E">
            <w:pPr>
              <w:widowControl/>
              <w:numPr>
                <w:ilvl w:val="0"/>
                <w:numId w:val="1"/>
              </w:numPr>
              <w:tabs>
                <w:tab w:val="left" w:pos="567"/>
              </w:tabs>
              <w:spacing w:after="60"/>
              <w:ind w:hanging="360"/>
              <w:rPr>
                <w:rFonts w:hint="eastAsia"/>
              </w:rPr>
            </w:pPr>
          </w:p>
        </w:tc>
        <w:tc>
          <w:tcPr>
            <w:tcW w:w="8434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A0" w14:textId="77777777" w:rsidR="0072079E" w:rsidRPr="00CD59E8" w:rsidRDefault="0072079E" w:rsidP="0072079E">
            <w:pPr>
              <w:pStyle w:val="Rad"/>
              <w:numPr>
                <w:ilvl w:val="0"/>
                <w:numId w:val="0"/>
              </w:numPr>
              <w:ind w:left="360" w:hanging="360"/>
              <w:rPr>
                <w:lang w:val="sr-Cyrl-RS"/>
              </w:rPr>
            </w:pPr>
            <w:r>
              <w:t xml:space="preserve">Petković, I., </w:t>
            </w:r>
            <w:r w:rsidRPr="00700AA1">
              <w:rPr>
                <w:b/>
              </w:rPr>
              <w:t>Herceg, Đ.</w:t>
            </w:r>
            <w:r>
              <w:rPr>
                <w:b/>
              </w:rPr>
              <w:t xml:space="preserve">, </w:t>
            </w:r>
            <w:r w:rsidRPr="00700AA1">
              <w:t>Symbolic computation and computer graphics as tools for developing and studying new root-finding methods</w:t>
            </w:r>
            <w:r>
              <w:t xml:space="preserve">, Applied Mathematics and Computation 295(2017), 95-113 </w:t>
            </w:r>
          </w:p>
        </w:tc>
      </w:tr>
      <w:tr w:rsidR="0072079E" w14:paraId="2D0F2EAF" w14:textId="77777777" w:rsidTr="00CD59E8">
        <w:trPr>
          <w:trHeight w:val="220"/>
        </w:trPr>
        <w:tc>
          <w:tcPr>
            <w:tcW w:w="957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AE" w14:textId="77777777" w:rsidR="0072079E" w:rsidRDefault="0072079E" w:rsidP="0072079E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rPr>
                <w:b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72079E" w14:paraId="2D0F2EB2" w14:textId="77777777" w:rsidTr="00CD59E8">
        <w:trPr>
          <w:trHeight w:val="220"/>
        </w:trPr>
        <w:tc>
          <w:tcPr>
            <w:tcW w:w="398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0" w14:textId="77777777" w:rsidR="0072079E" w:rsidRDefault="0072079E" w:rsidP="0072079E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Укупан број цитата</w:t>
            </w:r>
          </w:p>
        </w:tc>
        <w:tc>
          <w:tcPr>
            <w:tcW w:w="55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1" w14:textId="77777777" w:rsidR="0072079E" w:rsidRPr="00CD59E8" w:rsidRDefault="0072079E" w:rsidP="0072079E">
            <w:pPr>
              <w:tabs>
                <w:tab w:val="left" w:pos="567"/>
              </w:tabs>
              <w:spacing w:after="60"/>
              <w:rPr>
                <w:rFonts w:hint="eastAsia"/>
                <w:lang w:val="sr-Cyrl-RS"/>
              </w:rPr>
            </w:pPr>
            <w:r>
              <w:rPr>
                <w:lang w:val="sr-Cyrl-RS"/>
              </w:rPr>
              <w:t>102</w:t>
            </w:r>
          </w:p>
        </w:tc>
      </w:tr>
      <w:tr w:rsidR="0072079E" w14:paraId="2D0F2EB5" w14:textId="77777777" w:rsidTr="00CD59E8">
        <w:trPr>
          <w:trHeight w:val="220"/>
        </w:trPr>
        <w:tc>
          <w:tcPr>
            <w:tcW w:w="398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3" w14:textId="77777777" w:rsidR="0072079E" w:rsidRDefault="0072079E" w:rsidP="0072079E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Укупан број радова са SCI (SSCI) листе</w:t>
            </w:r>
          </w:p>
        </w:tc>
        <w:tc>
          <w:tcPr>
            <w:tcW w:w="5589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4" w14:textId="358F9F95" w:rsidR="0072079E" w:rsidRPr="00DF183C" w:rsidRDefault="0072079E" w:rsidP="0072079E">
            <w:pPr>
              <w:tabs>
                <w:tab w:val="left" w:pos="567"/>
              </w:tabs>
              <w:spacing w:after="60"/>
              <w:rPr>
                <w:lang w:val="sr-Latn-RS"/>
              </w:rPr>
            </w:pPr>
            <w:r>
              <w:rPr>
                <w:lang w:val="sr-Latn-RS"/>
              </w:rPr>
              <w:t>20</w:t>
            </w:r>
          </w:p>
        </w:tc>
      </w:tr>
      <w:tr w:rsidR="0072079E" w14:paraId="2D0F2EB9" w14:textId="77777777" w:rsidTr="00CD59E8">
        <w:trPr>
          <w:trHeight w:val="220"/>
        </w:trPr>
        <w:tc>
          <w:tcPr>
            <w:tcW w:w="3984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6" w14:textId="77777777" w:rsidR="0072079E" w:rsidRDefault="0072079E" w:rsidP="0072079E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Тренутно учешће на пројектима</w:t>
            </w:r>
          </w:p>
        </w:tc>
        <w:tc>
          <w:tcPr>
            <w:tcW w:w="2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7" w14:textId="77777777" w:rsidR="0072079E" w:rsidRDefault="0072079E" w:rsidP="0072079E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 xml:space="preserve">Домаћи </w:t>
            </w:r>
            <w:r>
              <w:rPr>
                <w:sz w:val="18"/>
                <w:szCs w:val="18"/>
              </w:rPr>
              <w:t>ON174030</w:t>
            </w:r>
          </w:p>
        </w:tc>
        <w:tc>
          <w:tcPr>
            <w:tcW w:w="355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8" w14:textId="16F3271C" w:rsidR="0072079E" w:rsidRDefault="0072079E" w:rsidP="0072079E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 xml:space="preserve">Међународни: </w:t>
            </w:r>
            <w:r w:rsidRPr="009375CD">
              <w:rPr>
                <w:sz w:val="18"/>
                <w:szCs w:val="18"/>
              </w:rPr>
              <w:t>ENLIVEN</w:t>
            </w:r>
            <w:r w:rsidR="00891203">
              <w:rPr>
                <w:sz w:val="18"/>
                <w:szCs w:val="18"/>
              </w:rPr>
              <w:t xml:space="preserve"> (2021-2022)</w:t>
            </w:r>
            <w:r w:rsidRPr="009375CD">
              <w:rPr>
                <w:sz w:val="18"/>
                <w:szCs w:val="18"/>
              </w:rPr>
              <w:t>, EUGHLOH</w:t>
            </w:r>
            <w:r w:rsidR="00891203">
              <w:rPr>
                <w:sz w:val="18"/>
                <w:szCs w:val="18"/>
              </w:rPr>
              <w:t xml:space="preserve"> (2022-)</w:t>
            </w:r>
          </w:p>
        </w:tc>
      </w:tr>
      <w:tr w:rsidR="0072079E" w14:paraId="2D0F2EBC" w14:textId="77777777" w:rsidTr="00CD59E8">
        <w:trPr>
          <w:trHeight w:val="220"/>
        </w:trPr>
        <w:tc>
          <w:tcPr>
            <w:tcW w:w="19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A" w14:textId="77777777" w:rsidR="0072079E" w:rsidRDefault="0072079E" w:rsidP="0072079E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 xml:space="preserve">Усавршавања </w:t>
            </w:r>
          </w:p>
        </w:tc>
        <w:tc>
          <w:tcPr>
            <w:tcW w:w="766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B" w14:textId="77777777" w:rsidR="0072079E" w:rsidRDefault="0072079E" w:rsidP="0072079E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</w:p>
        </w:tc>
      </w:tr>
      <w:tr w:rsidR="0072079E" w14:paraId="2D0F2EBE" w14:textId="77777777" w:rsidTr="00CD59E8">
        <w:trPr>
          <w:trHeight w:val="220"/>
        </w:trPr>
        <w:tc>
          <w:tcPr>
            <w:tcW w:w="9573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14:paraId="2D0F2EBD" w14:textId="77777777" w:rsidR="0072079E" w:rsidRDefault="0072079E" w:rsidP="0072079E">
            <w:pPr>
              <w:tabs>
                <w:tab w:val="left" w:pos="567"/>
              </w:tabs>
              <w:spacing w:after="60"/>
              <w:rPr>
                <w:rFonts w:hint="eastAsia"/>
              </w:rPr>
            </w:pPr>
            <w:r>
              <w:t>Други подаци које сматрате релевантним</w:t>
            </w:r>
          </w:p>
        </w:tc>
      </w:tr>
    </w:tbl>
    <w:p w14:paraId="2D0F2EBF" w14:textId="77777777" w:rsidR="00055C34" w:rsidRDefault="00055C34">
      <w:pPr>
        <w:tabs>
          <w:tab w:val="left" w:pos="567"/>
        </w:tabs>
        <w:spacing w:after="60"/>
        <w:jc w:val="both"/>
        <w:rPr>
          <w:rFonts w:hint="eastAsia"/>
        </w:rPr>
      </w:pPr>
    </w:p>
    <w:sectPr w:rsidR="00055C34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D3F15"/>
    <w:multiLevelType w:val="multilevel"/>
    <w:tmpl w:val="8E3AC49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D54F1A"/>
    <w:multiLevelType w:val="multilevel"/>
    <w:tmpl w:val="A0FC5F1C"/>
    <w:lvl w:ilvl="0">
      <w:start w:val="1"/>
      <w:numFmt w:val="decimal"/>
      <w:lvlText w:val="%1."/>
      <w:lvlJc w:val="left"/>
      <w:pPr>
        <w:ind w:left="720" w:firstLine="360"/>
      </w:pPr>
      <w:rPr>
        <w:b w:val="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b w:val="0"/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b w:val="0"/>
        <w:position w:val="0"/>
        <w:sz w:val="20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b w:val="0"/>
        <w:position w:val="0"/>
        <w:sz w:val="20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b w:val="0"/>
        <w:position w:val="0"/>
        <w:sz w:val="20"/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b w:val="0"/>
        <w:position w:val="0"/>
        <w:sz w:val="20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b w:val="0"/>
        <w:position w:val="0"/>
        <w:sz w:val="20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b w:val="0"/>
        <w:position w:val="0"/>
        <w:sz w:val="20"/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b w:val="0"/>
        <w:position w:val="0"/>
        <w:sz w:val="20"/>
        <w:vertAlign w:val="baseline"/>
      </w:rPr>
    </w:lvl>
  </w:abstractNum>
  <w:abstractNum w:abstractNumId="2" w15:restartNumberingAfterBreak="0">
    <w:nsid w:val="70EF49DA"/>
    <w:multiLevelType w:val="hybridMultilevel"/>
    <w:tmpl w:val="EE8AD460"/>
    <w:lvl w:ilvl="0" w:tplc="EF2C1A6C">
      <w:start w:val="1"/>
      <w:numFmt w:val="decimal"/>
      <w:pStyle w:val="Rad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15615726">
    <w:abstractNumId w:val="1"/>
  </w:num>
  <w:num w:numId="2" w16cid:durableId="284311714">
    <w:abstractNumId w:val="0"/>
  </w:num>
  <w:num w:numId="3" w16cid:durableId="1514553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C34"/>
    <w:rsid w:val="00055C34"/>
    <w:rsid w:val="00087EDD"/>
    <w:rsid w:val="00097311"/>
    <w:rsid w:val="002C4C5B"/>
    <w:rsid w:val="003522A3"/>
    <w:rsid w:val="003B0928"/>
    <w:rsid w:val="00451D70"/>
    <w:rsid w:val="00595427"/>
    <w:rsid w:val="005A0090"/>
    <w:rsid w:val="006202BF"/>
    <w:rsid w:val="00631803"/>
    <w:rsid w:val="00654F42"/>
    <w:rsid w:val="006772B2"/>
    <w:rsid w:val="0072079E"/>
    <w:rsid w:val="0073425B"/>
    <w:rsid w:val="00751347"/>
    <w:rsid w:val="00891203"/>
    <w:rsid w:val="009375CD"/>
    <w:rsid w:val="00A92883"/>
    <w:rsid w:val="00AB50CC"/>
    <w:rsid w:val="00BA28FE"/>
    <w:rsid w:val="00BB2B3E"/>
    <w:rsid w:val="00CD59E8"/>
    <w:rsid w:val="00D23725"/>
    <w:rsid w:val="00DF183C"/>
    <w:rsid w:val="00EA4B02"/>
    <w:rsid w:val="00F41918"/>
    <w:rsid w:val="00FF4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F2E5B"/>
  <w15:docId w15:val="{A985209A-D7E3-428E-8B6A-41068CA1C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Arial Unicode MS" w:hAnsi="Liberation Serif" w:cs="Arial Unicode M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/>
      <w:b w:val="0"/>
      <w:position w:val="0"/>
      <w:sz w:val="20"/>
      <w:vertAlign w:val="baseline"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Rad">
    <w:name w:val="Rad"/>
    <w:basedOn w:val="Normal"/>
    <w:qFormat/>
    <w:rsid w:val="00CD59E8"/>
    <w:pPr>
      <w:widowControl/>
      <w:numPr>
        <w:numId w:val="3"/>
      </w:numPr>
      <w:suppressAutoHyphens w:val="0"/>
      <w:spacing w:after="120"/>
      <w:outlineLvl w:val="0"/>
    </w:pPr>
    <w:rPr>
      <w:rFonts w:ascii="Cambria" w:eastAsia="Times New Roman" w:hAnsi="Cambria" w:cs="Times New Roman"/>
      <w:sz w:val="22"/>
      <w:lang w:eastAsia="en-US" w:bidi="ar-SA"/>
    </w:rPr>
  </w:style>
  <w:style w:type="character" w:customStyle="1" w:styleId="MathematicaFormatTextForm">
    <w:name w:val="MathematicaFormatTextForm"/>
    <w:uiPriority w:val="99"/>
    <w:rsid w:val="00CD59E8"/>
  </w:style>
  <w:style w:type="character" w:styleId="Strong">
    <w:name w:val="Strong"/>
    <w:qFormat/>
    <w:rsid w:val="00CD59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 Herceg</dc:creator>
  <cp:lastModifiedBy>Đorđe Herceg</cp:lastModifiedBy>
  <cp:revision>28</cp:revision>
  <dcterms:created xsi:type="dcterms:W3CDTF">2017-02-10T07:35:00Z</dcterms:created>
  <dcterms:modified xsi:type="dcterms:W3CDTF">2022-10-28T07:28:00Z</dcterms:modified>
  <dc:language>en-US</dc:language>
</cp:coreProperties>
</file>