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5"/>
        <w:gridCol w:w="1346"/>
        <w:gridCol w:w="450"/>
        <w:gridCol w:w="128"/>
        <w:gridCol w:w="1051"/>
        <w:gridCol w:w="815"/>
        <w:gridCol w:w="277"/>
        <w:gridCol w:w="76"/>
        <w:gridCol w:w="1036"/>
        <w:gridCol w:w="412"/>
        <w:gridCol w:w="144"/>
        <w:gridCol w:w="1346"/>
        <w:gridCol w:w="444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Милош Савић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Ванредни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Природно-математички факултет, Универзитет у Новом Саду,  1.2.2013 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Година 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Институција 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бласт 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 ванредни професор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2020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 доцент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2015</w:t>
            </w:r>
          </w:p>
        </w:tc>
        <w:tc>
          <w:tcPr>
            <w:tcW w:w="22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2015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2011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2010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ПМФ, Нови Сад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Информатика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 xml:space="preserve">     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ЦС202/ ИТ202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Структуре података и алгоритми 2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науке/ Информационе технологије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ЦС611/ ИТ622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Социјалне мреже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науке/ Информационе технологије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ЦС716/</w:t>
              <w:br/>
              <w:t>19.MW0005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Анализа комплексних мрежа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науке/Вештачка интелигенција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ЦС712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Дистрибуирано програмирање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ЦС715/</w:t>
              <w:br/>
              <w:t xml:space="preserve">19.MW0109 </w:t>
            </w:r>
          </w:p>
        </w:tc>
        <w:tc>
          <w:tcPr>
            <w:tcW w:w="2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Претраживање информација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Рачунарске науке/Вештачка интелигенција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ИТ710</w:t>
            </w:r>
          </w:p>
        </w:tc>
        <w:tc>
          <w:tcPr>
            <w:tcW w:w="279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Историја информатике</w:t>
            </w:r>
          </w:p>
        </w:tc>
        <w:tc>
          <w:tcPr>
            <w:tcW w:w="15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Предавања</w:t>
            </w:r>
          </w:p>
        </w:tc>
        <w:tc>
          <w:tcPr>
            <w:tcW w:w="1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Информационе технологије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MAC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, J. Atanasijević, D. Jakovetić, N. Krejić. Tax evasion risk management using a Hybrid Unsupervised Outlier Detection method. Expert Systems with Applications 193: 116409, 2022, doi: 10.1016/j.eswa.2021.116409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, M. Lukić, D. Danilović, Ž. Bodroški, D. Bajović, I. Mezei, D. Vukobratović, S. Škrbić, D. Jakovetić. Deep Learning Anomaly Detection for Cellular IoT With Applications in Smart Logistics, IEEE Access 9: 59406-59419, 2021, doi: 10.1109/ACCESS.2021.3072916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Z. Geler,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, B. Bratić, V. Kurbalija, M. Ivanović, W. Dai. Sentiment prediction based on analysis of customers assesments in food serving businesses, Connection Science 33(3): 674-692, 2021, doi: 10.1080/09540091.2020.1870436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, V. Kurbalija, Z. Bosnić, M. Ivanović. Feature selection based on community detection in feature correlation networks. Computing 101(10): 1513-1538, 2019, doi: 10.1007/s00607-019-00705-8</w:t>
            </w:r>
          </w:p>
        </w:tc>
      </w:tr>
      <w:tr>
        <w:trPr>
          <w:trHeight w:val="42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96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S"/>
              </w:rPr>
              <w:t>M. Savić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, M. Ivanović, B. Dimić Surla. Analysis of intra-institutional research collaboration: a case of a Serbian faculty of sciences. Scientometrics 110(1): 195–216, 2017, doi: 10.1007/s11192-016-2167-z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474 (Google Scholar), 265 (Scopus)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13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 0</w:t>
            </w:r>
          </w:p>
        </w:tc>
        <w:tc>
          <w:tcPr>
            <w:tcW w:w="4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 2</w:t>
            </w:r>
          </w:p>
        </w:tc>
      </w:tr>
      <w:tr>
        <w:trPr>
          <w:trHeight w:val="363" w:hRule="atLeast"/>
        </w:trPr>
        <w:tc>
          <w:tcPr>
            <w:tcW w:w="2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 xml:space="preserve">Усавршавања </w:t>
            </w:r>
          </w:p>
        </w:tc>
        <w:tc>
          <w:tcPr>
            <w:tcW w:w="78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 xml:space="preserve">Студијски боравци на Институту за информатику, Факултета за електротехнику, рачунарство и информатику, Универзитета у Марибору, Словенија и Институту за информатику, Хумболтов универзитет, Берлин, Немачка. </w:t>
            </w:r>
          </w:p>
        </w:tc>
      </w:tr>
      <w:tr>
        <w:trPr>
          <w:trHeight w:val="26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Други подаци које сматрате релевантним</w:t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851" w:right="1276" w:header="0" w:top="426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r-R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  <w:lang w:val="sr-R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LibreOffice/6.4.7.2$Linux_X86_64 LibreOffice_project/40$Build-2</Application>
  <Pages>1</Pages>
  <Words>414</Words>
  <Characters>2666</Characters>
  <CharactersWithSpaces>2994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  <dc:description/>
  <dc:language>en-US</dc:language>
  <cp:lastModifiedBy/>
  <dcterms:modified xsi:type="dcterms:W3CDTF">2023-02-13T21:00:29Z</dcterms:modified>
  <cp:revision>5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