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before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5.0" w:type="dxa"/>
        <w:jc w:val="left"/>
        <w:tblInd w:w="0.9999999999999964" w:type="dxa"/>
        <w:tblLayout w:type="fixed"/>
        <w:tblLook w:val="0000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5"/>
        <w:gridCol w:w="2115"/>
        <w:tblGridChange w:id="0">
          <w:tblGrid>
            <w:gridCol w:w="567"/>
            <w:gridCol w:w="1345"/>
            <w:gridCol w:w="450"/>
            <w:gridCol w:w="127"/>
            <w:gridCol w:w="1051"/>
            <w:gridCol w:w="815"/>
            <w:gridCol w:w="277"/>
            <w:gridCol w:w="75"/>
            <w:gridCol w:w="1037"/>
            <w:gridCol w:w="411"/>
            <w:gridCol w:w="144"/>
            <w:gridCol w:w="1346"/>
            <w:gridCol w:w="445"/>
            <w:gridCol w:w="2115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Данијела Д. Тешендић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Сад, 01.12.2005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Специјализација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ИОУ20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мреже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Инфомрационе технологије,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ИОИ12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 мобилних апликација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Инфомрационе технологије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ИМР05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 мобилних апликација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ИМУ08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Базе просторних података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Инфомрационе технологије,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Tummon, Fiona, et al. "Towards standardisation of automatic pollen and fungal spore monitoring: best practises and guidelines."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Aerobiologia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(2022): 1-17. DOI: https://doi.org/10.1007/s10453-022-09755-6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Tešendić, Danijela, et al. "RealForAll: real-time system for automatic detection of airborne pollen."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Enterprise Information Systems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16.5 (2022): 1793391. DOI: https://doi.org/10.1080/17517575.2020.1793391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Tešendić, Danijela, and Danijela Boberić Krstićev. "Business intelligence in the service of libraries."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Information Technology and Libraries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38.4 (2019): 98-113. DOI: https://doi.org/10.6017/ital.v38i4.10599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Boberic Krsticev, Danijela, Danijela Tešendic, and Binay Kumar Verma. "Inventory of a library collection using Android application."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The Electronic Library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34.5 (2016): 856-868. DOI: https://doi.org/10.1108/EL-08-2015-0150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Boberić-Krstićev, Danijela, and Danijela Tešendić. "Mixed approach in creating a university union catalogue."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The Electronic Library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33.6 (2015): 970-989. DOI:10.1108/EL-02-2014-0026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Tesendic, Danijela, and Danijela Boberic Krsticev. "Web service for connecting visually impaired people with libraries."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Aslib Journal of Information Management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67.2 (2015): 230-243. DOI: https://doi.org/10.1108/AJIM-11-2014-0149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184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B4">
      <w:pPr>
        <w:tabs>
          <w:tab w:val="left" w:leader="none" w:pos="567"/>
        </w:tabs>
        <w:spacing w:after="60" w:before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426" w:left="851" w:right="127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0" w:before="0"/>
      <w:jc w:val="left"/>
    </w:pPr>
    <w:rPr>
      <w:rFonts w:ascii="Calibri" w:cs="Times New Roman" w:eastAsia="Calibri" w:hAnsi="Calibri"/>
      <w:color w:val="auto"/>
      <w:kern w:val="0"/>
      <w:sz w:val="22"/>
      <w:szCs w:val="22"/>
      <w:lang w:bidi="ar-SA" w:eastAsia="en-US" w:val="sr-RS"/>
    </w:rPr>
  </w:style>
  <w:style w:type="character" w:styleId="DefaultParagraphFont" w:default="1">
    <w:name w:val="Default Paragraph Font"/>
    <w:uiPriority w:val="1"/>
    <w:unhideWhenUsed w:val="1"/>
    <w:qFormat w:val="1"/>
    <w:rPr/>
  </w:style>
  <w:style w:type="character" w:styleId="InternetLink">
    <w:name w:val="Hyperlink"/>
    <w:uiPriority w:val="99"/>
    <w:unhideWhenUsed w:val="1"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 w:val="1"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 w:val="1"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 w:val="1"/>
    <w:qFormat w:val="1"/>
    <w:rsid w:val="00876D2E"/>
    <w:rPr>
      <w:rFonts w:ascii="Tahoma" w:cs="Tahoma" w:hAnsi="Tahoma"/>
      <w:sz w:val="16"/>
      <w:szCs w:val="16"/>
      <w:lang w:val="sr-R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TextBody">
    <w:name w:val="Body Text"/>
    <w:basedOn w:val="Normal"/>
    <w:pPr>
      <w:spacing w:after="140" w:before="0" w:line="276" w:lineRule="auto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ohit Devanagari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lear" w:pos="720"/>
        <w:tab w:val="center" w:leader="none" w:pos="4680"/>
        <w:tab w:val="right" w:leader="none" w:pos="9360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lear" w:pos="720"/>
        <w:tab w:val="center" w:leader="none" w:pos="4680"/>
        <w:tab w:val="right" w:leader="none" w:pos="9360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qFormat w:val="1"/>
    <w:rsid w:val="00876D2E"/>
    <w:pPr/>
    <w:rPr>
      <w:rFonts w:ascii="Tahoma" w:cs="Tahoma" w:hAnsi="Tahoma"/>
      <w:sz w:val="16"/>
      <w:szCs w:val="16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3nLtqOrAWEz7CYGbqFNY4UK5DQ==">CgMxLjA4AHIhMVdZSUZfMVoyc3NGN1dYU3dad0FXeHJ6ZTZraVNHRkZF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