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Сања Коњик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УНС, ПМФ, 2010.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2008.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Математички факултет Универзитета у Бечу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Анализа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М111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Анализа 3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П301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Вишедимензионална анализа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П403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Вишедимензионални интегрални рачун и примене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МА06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Теорија кривих и површи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МА61</w:t>
            </w:r>
          </w:p>
        </w:tc>
        <w:tc>
          <w:tcPr>
            <w:tcW w:w="2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Диференцијална геометрија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ar-SA"/>
              </w:rPr>
              <w:t xml:space="preserve">M. Jolić, S.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Konjik, D. Mitrović, On solvability for a class of nonlinear systems of differential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 xml:space="preserve">equations with the Caputo fractional derivative,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Frac. Calc. App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l. Anal.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, 25, 2022, 2126-2138, https://doi.org/10.1007/s13540-022-00085-5 (М21а)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 xml:space="preserve">J. Djordjevic, S. Konjik, D. Mitrovic, A. Novak, Global controllability for quasilinear non-negative definite system of ODEs and SDEs,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J. Optimization Theory App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zxx"/>
              </w:rPr>
              <w:t>l.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zxx"/>
              </w:rPr>
              <w:t xml:space="preserve">, 190, 2021, 316-338, https://doi.org/10.1007/s10957-021-01886-z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 xml:space="preserve">T. M. Atanacković, S. Konjik, S. Pilipović, Variational problems of Herglotz type with complex order fractional derivatives and less regular Lagrangian, 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>Acta Mech.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iCs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>, 230, 2019, 4357-4365, https://doi.org/10.1007/s00707-019-02521-9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 xml:space="preserve">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 xml:space="preserve">S. Konjik, Lj. Oparnica, D. Zorica, Distributed order fractional constitutive stress-strain relation in wave propagation modeling, 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>Z. Angew. Math. Phys.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 xml:space="preserve">, 70:51, 2019, 10.1007/s00033-019-1097-z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>Atanacković, T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en-GB" w:eastAsia="zxx" w:bidi="zxx"/>
              </w:rPr>
              <w:t xml:space="preserve">. M., Janev, M., Konjik, S., Pilipović, S., Complex fractional Zener model of wave propagation in $\R$, 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18"/>
                <w:szCs w:val="18"/>
                <w:lang w:val="en-GB" w:eastAsia="zxx" w:bidi="zxx"/>
              </w:rPr>
              <w:t xml:space="preserve">Frac. Calc. </w:t>
            </w:r>
            <w:r>
              <w:rPr>
                <w:rFonts w:eastAsia="Arial Unicode MS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18"/>
                <w:szCs w:val="18"/>
                <w:lang w:val="en-GB" w:eastAsia="zh-CN" w:bidi="hi-IN"/>
              </w:rPr>
              <w:t>Appl. Anal.</w:t>
            </w:r>
            <w:r>
              <w:rPr>
                <w:rFonts w:eastAsia="Arial Unicode MS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18"/>
                <w:szCs w:val="18"/>
                <w:lang w:val="en-GB" w:eastAsia="zh-CN" w:bidi="hi-IN"/>
              </w:rPr>
              <w:t xml:space="preserve">, </w:t>
            </w:r>
            <w:r>
              <w:rPr>
                <w:rFonts w:eastAsia="Arial Unicode MS" w:cs="Liberation Serif;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18"/>
                <w:szCs w:val="18"/>
                <w:lang w:val="en-GB" w:eastAsia="zh-CN" w:bidi="hi-IN"/>
              </w:rPr>
              <w:t xml:space="preserve">21(5), 2018, 1313-1334, https://doi.org/10.1515/fca-2018-0069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(М21а)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572 (529)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27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 3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Математички факултет Универзитета у Бечу, Аустрија (2003-2008, више боравака)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header="0" w:top="426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LibreOffice/7.1.2.2$MacOSX_X86_64 LibreOffice_project/8a45595d069ef5570103caea1b71cc9d82b2aae4</Application>
  <AppVersion>15.0000</AppVersion>
  <Pages>1</Pages>
  <Words>358</Words>
  <Characters>2271</Characters>
  <CharactersWithSpaces>2533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2023-04-07T12:22:29Z</dcterms:modified>
  <cp:revision>12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