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1134"/>
        <w:gridCol w:w="374"/>
        <w:gridCol w:w="618"/>
        <w:gridCol w:w="1479"/>
        <w:gridCol w:w="322"/>
        <w:gridCol w:w="1762"/>
        <w:gridCol w:w="1256"/>
        <w:gridCol w:w="993"/>
        <w:gridCol w:w="1384"/>
      </w:tblGrid>
      <w:tr w:rsidR="000474DB" w:rsidRPr="00120984" w:rsidTr="000474DB">
        <w:trPr>
          <w:trHeight w:val="227"/>
        </w:trPr>
        <w:tc>
          <w:tcPr>
            <w:tcW w:w="4603" w:type="dxa"/>
            <w:gridSpan w:val="6"/>
            <w:vAlign w:val="center"/>
          </w:tcPr>
          <w:p w:rsidR="000474DB" w:rsidRPr="00120984" w:rsidRDefault="000474DB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20984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0474DB" w:rsidRPr="00120984" w:rsidRDefault="000474DB" w:rsidP="00755FD6">
            <w:pPr>
              <w:tabs>
                <w:tab w:val="left" w:pos="567"/>
              </w:tabs>
              <w:rPr>
                <w:lang w:val="sr-Cyrl-CS"/>
              </w:rPr>
            </w:pPr>
            <w:r w:rsidRPr="00120984">
              <w:rPr>
                <w:lang w:val="sr-Cyrl-CS"/>
              </w:rPr>
              <w:t xml:space="preserve">Марија Лесјак </w:t>
            </w:r>
          </w:p>
        </w:tc>
      </w:tr>
      <w:tr w:rsidR="000474DB" w:rsidRPr="00120984" w:rsidTr="000474DB">
        <w:trPr>
          <w:trHeight w:val="227"/>
        </w:trPr>
        <w:tc>
          <w:tcPr>
            <w:tcW w:w="4603" w:type="dxa"/>
            <w:gridSpan w:val="6"/>
            <w:vAlign w:val="center"/>
          </w:tcPr>
          <w:p w:rsidR="000474DB" w:rsidRPr="00120984" w:rsidRDefault="000474DB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20984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0474DB" w:rsidRPr="00120984" w:rsidRDefault="000474DB" w:rsidP="00755FD6">
            <w:pPr>
              <w:rPr>
                <w:lang w:val="sr-Cyrl-CS"/>
              </w:rPr>
            </w:pPr>
            <w:r w:rsidRPr="00120984">
              <w:rPr>
                <w:lang w:val="sr-Cyrl-CS"/>
              </w:rPr>
              <w:t>Доцент</w:t>
            </w:r>
          </w:p>
        </w:tc>
      </w:tr>
      <w:tr w:rsidR="00A66DA8" w:rsidRPr="00120984" w:rsidTr="000474DB">
        <w:trPr>
          <w:trHeight w:val="227"/>
        </w:trPr>
        <w:tc>
          <w:tcPr>
            <w:tcW w:w="4603" w:type="dxa"/>
            <w:gridSpan w:val="6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20984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120984" w:rsidRDefault="00B06A3A" w:rsidP="000474D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Универзитет у Новом Саду, Природно-математички факултет</w:t>
            </w:r>
            <w:r w:rsidR="00203806" w:rsidRPr="00120984">
              <w:rPr>
                <w:lang w:val="sr-Cyrl-CS"/>
              </w:rPr>
              <w:t xml:space="preserve">, </w:t>
            </w:r>
            <w:r w:rsidR="000474DB" w:rsidRPr="00120984">
              <w:rPr>
                <w:lang w:val="en-US"/>
              </w:rPr>
              <w:t>2007</w:t>
            </w:r>
            <w:r w:rsidR="00F137AE" w:rsidRPr="00120984">
              <w:rPr>
                <w:lang w:val="en-US"/>
              </w:rPr>
              <w:t>.</w:t>
            </w:r>
          </w:p>
        </w:tc>
      </w:tr>
      <w:tr w:rsidR="000474DB" w:rsidRPr="00120984" w:rsidTr="000474DB">
        <w:trPr>
          <w:trHeight w:val="227"/>
        </w:trPr>
        <w:tc>
          <w:tcPr>
            <w:tcW w:w="4603" w:type="dxa"/>
            <w:gridSpan w:val="6"/>
            <w:vAlign w:val="center"/>
          </w:tcPr>
          <w:p w:rsidR="000474DB" w:rsidRPr="00120984" w:rsidRDefault="000474DB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20984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0474DB" w:rsidRPr="00120984" w:rsidRDefault="000474DB" w:rsidP="00755FD6">
            <w:pPr>
              <w:rPr>
                <w:lang w:val="sr-Cyrl-CS"/>
              </w:rPr>
            </w:pPr>
            <w:r w:rsidRPr="00120984">
              <w:rPr>
                <w:lang w:val="sr-Cyrl-CS"/>
              </w:rPr>
              <w:t>Биохемија</w:t>
            </w:r>
          </w:p>
        </w:tc>
      </w:tr>
      <w:tr w:rsidR="00A66DA8" w:rsidRPr="00120984" w:rsidTr="000474DB">
        <w:trPr>
          <w:trHeight w:val="227"/>
        </w:trPr>
        <w:tc>
          <w:tcPr>
            <w:tcW w:w="9998" w:type="dxa"/>
            <w:gridSpan w:val="10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20984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120984" w:rsidTr="000474DB">
        <w:trPr>
          <w:trHeight w:val="227"/>
        </w:trPr>
        <w:tc>
          <w:tcPr>
            <w:tcW w:w="1810" w:type="dxa"/>
            <w:gridSpan w:val="2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 xml:space="preserve">Година 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 xml:space="preserve">Институција </w:t>
            </w:r>
          </w:p>
        </w:tc>
        <w:tc>
          <w:tcPr>
            <w:tcW w:w="2377" w:type="dxa"/>
            <w:gridSpan w:val="2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 xml:space="preserve">Област </w:t>
            </w:r>
          </w:p>
        </w:tc>
      </w:tr>
      <w:tr w:rsidR="000474DB" w:rsidRPr="00120984" w:rsidTr="000474DB">
        <w:trPr>
          <w:trHeight w:val="227"/>
        </w:trPr>
        <w:tc>
          <w:tcPr>
            <w:tcW w:w="1810" w:type="dxa"/>
            <w:gridSpan w:val="2"/>
            <w:vAlign w:val="center"/>
          </w:tcPr>
          <w:p w:rsidR="000474DB" w:rsidRPr="00120984" w:rsidRDefault="000474DB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20984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0474DB" w:rsidRPr="00120984" w:rsidRDefault="000474DB" w:rsidP="00755FD6">
            <w:r w:rsidRPr="00120984">
              <w:rPr>
                <w:lang w:val="sr-Cyrl-CS"/>
              </w:rPr>
              <w:t>201</w:t>
            </w:r>
            <w:r w:rsidRPr="00120984">
              <w:t>3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0474DB" w:rsidRPr="00120984" w:rsidRDefault="000474DB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2098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77" w:type="dxa"/>
            <w:gridSpan w:val="2"/>
            <w:vAlign w:val="center"/>
          </w:tcPr>
          <w:p w:rsidR="000474DB" w:rsidRPr="00120984" w:rsidRDefault="000474DB" w:rsidP="00755FD6">
            <w:pPr>
              <w:rPr>
                <w:lang w:val="sr-Cyrl-CS"/>
              </w:rPr>
            </w:pPr>
            <w:r w:rsidRPr="00120984">
              <w:rPr>
                <w:lang w:val="sr-Cyrl-CS"/>
              </w:rPr>
              <w:t>Биохемија</w:t>
            </w:r>
          </w:p>
        </w:tc>
      </w:tr>
      <w:tr w:rsidR="000474DB" w:rsidRPr="00120984" w:rsidTr="000474DB">
        <w:trPr>
          <w:trHeight w:val="227"/>
        </w:trPr>
        <w:tc>
          <w:tcPr>
            <w:tcW w:w="1810" w:type="dxa"/>
            <w:gridSpan w:val="2"/>
            <w:vAlign w:val="center"/>
          </w:tcPr>
          <w:p w:rsidR="000474DB" w:rsidRPr="00120984" w:rsidRDefault="000474DB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20984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0474DB" w:rsidRPr="00120984" w:rsidRDefault="000474DB" w:rsidP="00755FD6">
            <w:r w:rsidRPr="00120984">
              <w:rPr>
                <w:lang w:val="sr-Cyrl-CS"/>
              </w:rPr>
              <w:t>201</w:t>
            </w:r>
            <w:r w:rsidRPr="00120984">
              <w:t>5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0474DB" w:rsidRPr="00120984" w:rsidRDefault="000474DB" w:rsidP="00755FD6">
            <w:pPr>
              <w:rPr>
                <w:lang w:val="sr-Cyrl-CS"/>
              </w:rPr>
            </w:pPr>
            <w:r w:rsidRPr="00120984">
              <w:rPr>
                <w:i/>
              </w:rPr>
              <w:t>University</w:t>
            </w:r>
            <w:r w:rsidRPr="00120984">
              <w:rPr>
                <w:i/>
                <w:lang w:val="sr-Cyrl-CS"/>
              </w:rPr>
              <w:t xml:space="preserve"> </w:t>
            </w:r>
            <w:r w:rsidRPr="00120984">
              <w:rPr>
                <w:i/>
              </w:rPr>
              <w:t>College</w:t>
            </w:r>
            <w:r w:rsidRPr="00120984">
              <w:rPr>
                <w:i/>
                <w:lang w:val="sr-Cyrl-CS"/>
              </w:rPr>
              <w:t xml:space="preserve"> </w:t>
            </w:r>
            <w:r w:rsidRPr="00120984">
              <w:rPr>
                <w:i/>
              </w:rPr>
              <w:t>London</w:t>
            </w:r>
            <w:r w:rsidRPr="00120984">
              <w:rPr>
                <w:lang w:val="sr-Cyrl-CS"/>
              </w:rPr>
              <w:t>, Лондон, Велика Британија</w:t>
            </w:r>
          </w:p>
        </w:tc>
        <w:tc>
          <w:tcPr>
            <w:tcW w:w="2377" w:type="dxa"/>
            <w:gridSpan w:val="2"/>
            <w:vAlign w:val="center"/>
          </w:tcPr>
          <w:p w:rsidR="000474DB" w:rsidRPr="00120984" w:rsidRDefault="000474DB" w:rsidP="00755FD6">
            <w:r w:rsidRPr="00120984">
              <w:t>Moлекуларна биологија</w:t>
            </w:r>
          </w:p>
        </w:tc>
      </w:tr>
      <w:tr w:rsidR="000474DB" w:rsidRPr="00120984" w:rsidTr="000474DB">
        <w:trPr>
          <w:trHeight w:val="227"/>
        </w:trPr>
        <w:tc>
          <w:tcPr>
            <w:tcW w:w="1810" w:type="dxa"/>
            <w:gridSpan w:val="2"/>
            <w:vAlign w:val="center"/>
          </w:tcPr>
          <w:p w:rsidR="000474DB" w:rsidRPr="00120984" w:rsidRDefault="000474DB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20984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  <w:vAlign w:val="center"/>
          </w:tcPr>
          <w:p w:rsidR="000474DB" w:rsidRPr="00120984" w:rsidRDefault="000474DB" w:rsidP="00755FD6">
            <w:r w:rsidRPr="00120984">
              <w:rPr>
                <w:lang w:val="sr-Cyrl-CS"/>
              </w:rPr>
              <w:t>201</w:t>
            </w:r>
            <w:r w:rsidRPr="00120984">
              <w:t>1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0474DB" w:rsidRPr="00120984" w:rsidRDefault="000474DB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2098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77" w:type="dxa"/>
            <w:gridSpan w:val="2"/>
            <w:vAlign w:val="center"/>
          </w:tcPr>
          <w:p w:rsidR="000474DB" w:rsidRPr="00120984" w:rsidRDefault="000474DB" w:rsidP="00755FD6">
            <w:pPr>
              <w:rPr>
                <w:lang w:val="sr-Cyrl-CS"/>
              </w:rPr>
            </w:pPr>
            <w:r w:rsidRPr="00120984">
              <w:rPr>
                <w:lang w:val="sr-Cyrl-CS"/>
              </w:rPr>
              <w:t>Биохемија</w:t>
            </w:r>
          </w:p>
        </w:tc>
      </w:tr>
      <w:tr w:rsidR="000474DB" w:rsidRPr="00120984" w:rsidTr="000474DB">
        <w:trPr>
          <w:trHeight w:val="227"/>
        </w:trPr>
        <w:tc>
          <w:tcPr>
            <w:tcW w:w="1810" w:type="dxa"/>
            <w:gridSpan w:val="2"/>
            <w:vAlign w:val="center"/>
          </w:tcPr>
          <w:p w:rsidR="000474DB" w:rsidRPr="00120984" w:rsidRDefault="00460A61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057B5E">
              <w:rPr>
                <w:lang w:val="sr-Cyrl-CS"/>
              </w:rPr>
              <w:t>Мастер</w:t>
            </w:r>
          </w:p>
        </w:tc>
        <w:tc>
          <w:tcPr>
            <w:tcW w:w="992" w:type="dxa"/>
            <w:gridSpan w:val="2"/>
            <w:vAlign w:val="center"/>
          </w:tcPr>
          <w:p w:rsidR="000474DB" w:rsidRPr="00120984" w:rsidRDefault="000474DB" w:rsidP="00755FD6">
            <w:r w:rsidRPr="00120984">
              <w:rPr>
                <w:lang w:val="sr-Cyrl-CS"/>
              </w:rPr>
              <w:t>200</w:t>
            </w:r>
            <w:r w:rsidRPr="00120984">
              <w:t>8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0474DB" w:rsidRPr="00120984" w:rsidRDefault="000474DB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2098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77" w:type="dxa"/>
            <w:gridSpan w:val="2"/>
            <w:vAlign w:val="center"/>
          </w:tcPr>
          <w:p w:rsidR="000474DB" w:rsidRPr="00120984" w:rsidRDefault="000474DB" w:rsidP="00755FD6">
            <w:pPr>
              <w:rPr>
                <w:lang w:val="sr-Cyrl-CS"/>
              </w:rPr>
            </w:pPr>
            <w:r w:rsidRPr="00120984">
              <w:rPr>
                <w:lang w:val="sr-Cyrl-CS"/>
              </w:rPr>
              <w:t>Биохемија</w:t>
            </w:r>
          </w:p>
        </w:tc>
      </w:tr>
      <w:tr w:rsidR="000474DB" w:rsidRPr="00120984" w:rsidTr="000474DB">
        <w:trPr>
          <w:trHeight w:val="227"/>
        </w:trPr>
        <w:tc>
          <w:tcPr>
            <w:tcW w:w="1810" w:type="dxa"/>
            <w:gridSpan w:val="2"/>
            <w:vAlign w:val="center"/>
          </w:tcPr>
          <w:p w:rsidR="000474DB" w:rsidRPr="00120984" w:rsidRDefault="000474DB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20984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  <w:vAlign w:val="center"/>
          </w:tcPr>
          <w:p w:rsidR="000474DB" w:rsidRPr="00120984" w:rsidRDefault="000474DB" w:rsidP="00755FD6">
            <w:r w:rsidRPr="00120984">
              <w:t>2007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</w:tcPr>
          <w:p w:rsidR="000474DB" w:rsidRPr="00120984" w:rsidRDefault="000474DB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20984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377" w:type="dxa"/>
            <w:gridSpan w:val="2"/>
            <w:vAlign w:val="center"/>
          </w:tcPr>
          <w:p w:rsidR="000474DB" w:rsidRPr="00120984" w:rsidRDefault="000474DB" w:rsidP="00755FD6">
            <w:pPr>
              <w:rPr>
                <w:lang w:val="sr-Cyrl-CS"/>
              </w:rPr>
            </w:pPr>
            <w:r w:rsidRPr="00120984">
              <w:rPr>
                <w:lang w:val="sr-Cyrl-CS"/>
              </w:rPr>
              <w:t>Биохемија</w:t>
            </w:r>
          </w:p>
        </w:tc>
      </w:tr>
      <w:tr w:rsidR="00A66DA8" w:rsidRPr="00120984" w:rsidTr="000474DB">
        <w:trPr>
          <w:trHeight w:val="227"/>
        </w:trPr>
        <w:tc>
          <w:tcPr>
            <w:tcW w:w="9998" w:type="dxa"/>
            <w:gridSpan w:val="10"/>
            <w:vAlign w:val="center"/>
          </w:tcPr>
          <w:p w:rsidR="00510500" w:rsidRPr="00120984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2098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120984" w:rsidTr="000474DB">
        <w:trPr>
          <w:trHeight w:val="227"/>
        </w:trPr>
        <w:tc>
          <w:tcPr>
            <w:tcW w:w="676" w:type="dxa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Р.Б.</w:t>
            </w:r>
          </w:p>
        </w:tc>
        <w:tc>
          <w:tcPr>
            <w:tcW w:w="7938" w:type="dxa"/>
            <w:gridSpan w:val="8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iCs/>
                <w:lang w:val="sr-Cyrl-CS"/>
              </w:rPr>
              <w:t>врста студија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1.</w:t>
            </w:r>
          </w:p>
        </w:tc>
        <w:tc>
          <w:tcPr>
            <w:tcW w:w="7938" w:type="dxa"/>
            <w:gridSpan w:val="8"/>
            <w:vAlign w:val="center"/>
          </w:tcPr>
          <w:p w:rsidR="000474DB" w:rsidRPr="00120984" w:rsidRDefault="000474DB" w:rsidP="00755FD6">
            <w:r w:rsidRPr="00120984">
              <w:t>Биохемија антиоксидантних система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474DB" w:rsidRPr="00120984" w:rsidRDefault="000474DB" w:rsidP="00755FD6">
            <w:pPr>
              <w:tabs>
                <w:tab w:val="left" w:pos="567"/>
              </w:tabs>
              <w:rPr>
                <w:lang w:val="en-GB"/>
              </w:rPr>
            </w:pPr>
            <w:r w:rsidRPr="00120984">
              <w:rPr>
                <w:lang w:val="sr-Cyrl-CS"/>
              </w:rPr>
              <w:t>Мастер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2.</w:t>
            </w:r>
          </w:p>
        </w:tc>
        <w:tc>
          <w:tcPr>
            <w:tcW w:w="7938" w:type="dxa"/>
            <w:gridSpan w:val="8"/>
            <w:vAlign w:val="center"/>
          </w:tcPr>
          <w:p w:rsidR="000474DB" w:rsidRPr="00120984" w:rsidRDefault="000474DB" w:rsidP="00755FD6">
            <w:pPr>
              <w:rPr>
                <w:lang w:val="ru-RU"/>
              </w:rPr>
            </w:pPr>
            <w:r w:rsidRPr="00120984">
              <w:rPr>
                <w:bCs/>
                <w:lang w:val="sr-Cyrl-CS"/>
              </w:rPr>
              <w:t>Ћелијске културе у биохемији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474DB" w:rsidRPr="00120984" w:rsidRDefault="000474DB" w:rsidP="00755FD6">
            <w:pPr>
              <w:tabs>
                <w:tab w:val="left" w:pos="567"/>
              </w:tabs>
              <w:rPr>
                <w:lang w:val="sr-Cyrl-CS"/>
              </w:rPr>
            </w:pPr>
            <w:r w:rsidRPr="00120984">
              <w:rPr>
                <w:lang w:val="sr-Cyrl-CS"/>
              </w:rPr>
              <w:t>Мастер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3.</w:t>
            </w:r>
          </w:p>
        </w:tc>
        <w:tc>
          <w:tcPr>
            <w:tcW w:w="7938" w:type="dxa"/>
            <w:gridSpan w:val="8"/>
            <w:vAlign w:val="center"/>
          </w:tcPr>
          <w:p w:rsidR="000474DB" w:rsidRPr="00120984" w:rsidRDefault="000474DB" w:rsidP="00755FD6">
            <w:r w:rsidRPr="00120984">
              <w:t>Биохемија</w:t>
            </w:r>
            <w:r w:rsidRPr="00120984">
              <w:rPr>
                <w:lang w:val="ru-RU"/>
              </w:rPr>
              <w:t xml:space="preserve"> нуклеинских киселина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474DB" w:rsidRPr="00120984" w:rsidRDefault="000474DB" w:rsidP="00755FD6">
            <w:pPr>
              <w:tabs>
                <w:tab w:val="left" w:pos="567"/>
              </w:tabs>
              <w:rPr>
                <w:lang w:val="sr-Cyrl-CS"/>
              </w:rPr>
            </w:pPr>
            <w:r w:rsidRPr="00120984">
              <w:rPr>
                <w:lang w:val="sr-Cyrl-CS"/>
              </w:rPr>
              <w:t>Мастер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4.</w:t>
            </w:r>
          </w:p>
        </w:tc>
        <w:tc>
          <w:tcPr>
            <w:tcW w:w="7938" w:type="dxa"/>
            <w:gridSpan w:val="8"/>
            <w:vAlign w:val="center"/>
          </w:tcPr>
          <w:p w:rsidR="000474DB" w:rsidRPr="00120984" w:rsidRDefault="000474DB" w:rsidP="00755FD6">
            <w:r w:rsidRPr="00120984">
              <w:t>Одабране експерименталне методе за испитивање биолошке активности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474DB" w:rsidRPr="00120984" w:rsidRDefault="000474DB" w:rsidP="00755FD6">
            <w:pPr>
              <w:tabs>
                <w:tab w:val="left" w:pos="567"/>
              </w:tabs>
              <w:rPr>
                <w:lang w:val="sr-Cyrl-CS"/>
              </w:rPr>
            </w:pPr>
            <w:r w:rsidRPr="00120984">
              <w:rPr>
                <w:lang w:val="sr-Cyrl-CS"/>
              </w:rPr>
              <w:t>Докторске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5.</w:t>
            </w:r>
          </w:p>
        </w:tc>
        <w:tc>
          <w:tcPr>
            <w:tcW w:w="7938" w:type="dxa"/>
            <w:gridSpan w:val="8"/>
            <w:vAlign w:val="center"/>
          </w:tcPr>
          <w:p w:rsidR="000474DB" w:rsidRPr="00120984" w:rsidRDefault="000474DB" w:rsidP="00755FD6">
            <w:r w:rsidRPr="00120984">
              <w:t>Одабрана поглавља из биохемије нуклеинских киселина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474DB" w:rsidRPr="00120984" w:rsidRDefault="000474DB" w:rsidP="00755FD6">
            <w:pPr>
              <w:tabs>
                <w:tab w:val="left" w:pos="567"/>
              </w:tabs>
              <w:rPr>
                <w:lang w:val="sr-Cyrl-CS"/>
              </w:rPr>
            </w:pPr>
            <w:r w:rsidRPr="00120984">
              <w:rPr>
                <w:lang w:val="sr-Cyrl-CS"/>
              </w:rPr>
              <w:t>Докторске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6.</w:t>
            </w:r>
          </w:p>
        </w:tc>
        <w:tc>
          <w:tcPr>
            <w:tcW w:w="7938" w:type="dxa"/>
            <w:gridSpan w:val="8"/>
            <w:vAlign w:val="center"/>
          </w:tcPr>
          <w:p w:rsidR="000474DB" w:rsidRPr="00120984" w:rsidRDefault="000474DB" w:rsidP="00755FD6">
            <w:r w:rsidRPr="00120984">
              <w:t>Процес откривања лекова – од валидације биолошког циља до клиничких испитивања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0474DB" w:rsidRPr="00120984" w:rsidRDefault="000474DB" w:rsidP="00755FD6">
            <w:pPr>
              <w:tabs>
                <w:tab w:val="left" w:pos="567"/>
              </w:tabs>
              <w:rPr>
                <w:lang w:val="sr-Cyrl-CS"/>
              </w:rPr>
            </w:pPr>
            <w:r w:rsidRPr="00120984">
              <w:rPr>
                <w:lang w:val="sr-Cyrl-CS"/>
              </w:rPr>
              <w:t>Докторске</w:t>
            </w:r>
          </w:p>
        </w:tc>
      </w:tr>
      <w:tr w:rsidR="00A66DA8" w:rsidRPr="00120984" w:rsidTr="000474DB">
        <w:trPr>
          <w:trHeight w:val="227"/>
        </w:trPr>
        <w:tc>
          <w:tcPr>
            <w:tcW w:w="9998" w:type="dxa"/>
            <w:gridSpan w:val="10"/>
            <w:vAlign w:val="center"/>
          </w:tcPr>
          <w:p w:rsidR="00A66DA8" w:rsidRPr="00120984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20984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2" w:type="dxa"/>
            <w:gridSpan w:val="9"/>
            <w:shd w:val="clear" w:color="auto" w:fill="auto"/>
            <w:vAlign w:val="center"/>
          </w:tcPr>
          <w:p w:rsidR="000474DB" w:rsidRPr="00120984" w:rsidRDefault="000474DB" w:rsidP="000474DB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120984">
              <w:rPr>
                <w:rStyle w:val="textbold"/>
                <w:sz w:val="18"/>
                <w:szCs w:val="18"/>
              </w:rPr>
              <w:t>Beara, I., Orčić, D., Lesjak,</w:t>
            </w:r>
            <w:r w:rsidRPr="00120984">
              <w:rPr>
                <w:rStyle w:val="textbold"/>
                <w:sz w:val="18"/>
                <w:szCs w:val="18"/>
                <w:lang w:val="sr-Cyrl-CS"/>
              </w:rPr>
              <w:t xml:space="preserve"> М.,</w:t>
            </w:r>
            <w:r w:rsidRPr="00120984">
              <w:rPr>
                <w:rStyle w:val="textbold"/>
                <w:sz w:val="18"/>
                <w:szCs w:val="18"/>
              </w:rPr>
              <w:t xml:space="preserve"> Mimica-Dukić, N., Peković, B., Popović, M. (2010): </w:t>
            </w:r>
            <w:r w:rsidRPr="00120984">
              <w:rPr>
                <w:rFonts w:eastAsia="GulliverRM"/>
                <w:sz w:val="18"/>
                <w:szCs w:val="18"/>
              </w:rPr>
              <w:t>Liquid chromatography/tandem mass spectrometry study of anti-inflammatory activity of Plantain (</w:t>
            </w:r>
            <w:r w:rsidRPr="00120984">
              <w:rPr>
                <w:rFonts w:eastAsia="GulliverRM"/>
                <w:i/>
                <w:sz w:val="18"/>
                <w:szCs w:val="18"/>
              </w:rPr>
              <w:t>Plantago</w:t>
            </w:r>
            <w:r w:rsidRPr="00120984">
              <w:rPr>
                <w:rFonts w:eastAsia="GulliverRM"/>
                <w:sz w:val="18"/>
                <w:szCs w:val="18"/>
              </w:rPr>
              <w:t xml:space="preserve"> L.) species. </w:t>
            </w:r>
            <w:r w:rsidRPr="00120984">
              <w:rPr>
                <w:rFonts w:eastAsia="GulliverRM"/>
                <w:i/>
                <w:sz w:val="18"/>
                <w:szCs w:val="18"/>
              </w:rPr>
              <w:t>J Pharm Biomed Anal.</w:t>
            </w:r>
            <w:r w:rsidRPr="00120984">
              <w:rPr>
                <w:rFonts w:eastAsia="GulliverRM"/>
                <w:sz w:val="18"/>
                <w:szCs w:val="18"/>
              </w:rPr>
              <w:t xml:space="preserve"> </w:t>
            </w:r>
            <w:r w:rsidRPr="00120984">
              <w:rPr>
                <w:rFonts w:eastAsia="GulliverRM"/>
                <w:b/>
                <w:sz w:val="18"/>
                <w:szCs w:val="18"/>
              </w:rPr>
              <w:t>52</w:t>
            </w:r>
            <w:r w:rsidRPr="00120984">
              <w:rPr>
                <w:rFonts w:eastAsia="GulliverRM"/>
                <w:sz w:val="18"/>
                <w:szCs w:val="18"/>
              </w:rPr>
              <w:t>: 701</w:t>
            </w:r>
            <w:r w:rsidRPr="00120984">
              <w:rPr>
                <w:sz w:val="18"/>
                <w:szCs w:val="18"/>
              </w:rPr>
              <w:t>–</w:t>
            </w:r>
            <w:r w:rsidRPr="00120984">
              <w:rPr>
                <w:rFonts w:eastAsia="GulliverRM"/>
                <w:sz w:val="18"/>
                <w:szCs w:val="18"/>
              </w:rPr>
              <w:t>706.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2" w:type="dxa"/>
            <w:gridSpan w:val="9"/>
            <w:shd w:val="clear" w:color="auto" w:fill="auto"/>
            <w:vAlign w:val="center"/>
          </w:tcPr>
          <w:p w:rsidR="000474DB" w:rsidRPr="00120984" w:rsidRDefault="000474DB" w:rsidP="000474DB">
            <w:pPr>
              <w:jc w:val="both"/>
              <w:rPr>
                <w:sz w:val="18"/>
                <w:szCs w:val="18"/>
              </w:rPr>
            </w:pPr>
            <w:r w:rsidRPr="00120984">
              <w:rPr>
                <w:sz w:val="18"/>
                <w:szCs w:val="18"/>
              </w:rPr>
              <w:t xml:space="preserve">Lesjak, M., Beara, I., Orčić, D., Ristić, J., Anačkov, G., Božin, B., Mimica-Dukić, N. (2013): Chemical characterisation and biological effects of </w:t>
            </w:r>
            <w:r w:rsidRPr="00120984">
              <w:rPr>
                <w:i/>
                <w:sz w:val="18"/>
                <w:szCs w:val="18"/>
              </w:rPr>
              <w:t>Juniperus foetidissima</w:t>
            </w:r>
            <w:r w:rsidRPr="00120984">
              <w:rPr>
                <w:sz w:val="18"/>
                <w:szCs w:val="18"/>
              </w:rPr>
              <w:t xml:space="preserve"> Willd. 1806. </w:t>
            </w:r>
            <w:r w:rsidRPr="00120984">
              <w:rPr>
                <w:i/>
                <w:sz w:val="18"/>
                <w:szCs w:val="18"/>
              </w:rPr>
              <w:t>LWT-Food Sci. Technol.</w:t>
            </w:r>
            <w:r w:rsidRPr="00120984">
              <w:rPr>
                <w:sz w:val="18"/>
                <w:szCs w:val="18"/>
              </w:rPr>
              <w:t xml:space="preserve"> </w:t>
            </w:r>
            <w:r w:rsidRPr="00120984">
              <w:rPr>
                <w:b/>
                <w:sz w:val="18"/>
                <w:szCs w:val="18"/>
              </w:rPr>
              <w:t>53</w:t>
            </w:r>
            <w:r w:rsidRPr="00120984">
              <w:rPr>
                <w:sz w:val="18"/>
                <w:szCs w:val="18"/>
              </w:rPr>
              <w:t>: 530–539.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2" w:type="dxa"/>
            <w:gridSpan w:val="9"/>
            <w:shd w:val="clear" w:color="auto" w:fill="auto"/>
            <w:vAlign w:val="center"/>
          </w:tcPr>
          <w:p w:rsidR="000474DB" w:rsidRPr="00120984" w:rsidRDefault="000474DB" w:rsidP="000474DB">
            <w:pPr>
              <w:jc w:val="both"/>
              <w:rPr>
                <w:sz w:val="18"/>
                <w:szCs w:val="18"/>
              </w:rPr>
            </w:pPr>
            <w:r w:rsidRPr="00120984">
              <w:rPr>
                <w:sz w:val="18"/>
                <w:szCs w:val="18"/>
              </w:rPr>
              <w:t>Beara, I., Lesjak, M., Četojević–Simin, D., Marjanović, Ž., Ristić, J., Mrkonjić, Z., Mimica-Dukić, N. (2014): Phenolic profile, antioxidant, anti–inflammatory and cytotoxic activities of black (</w:t>
            </w:r>
            <w:r w:rsidRPr="00120984">
              <w:rPr>
                <w:i/>
                <w:sz w:val="18"/>
                <w:szCs w:val="18"/>
              </w:rPr>
              <w:t>Tuber aestivum</w:t>
            </w:r>
            <w:r w:rsidRPr="00120984">
              <w:rPr>
                <w:sz w:val="18"/>
                <w:szCs w:val="18"/>
              </w:rPr>
              <w:t xml:space="preserve"> Vittad.) and white (</w:t>
            </w:r>
            <w:r w:rsidRPr="00120984">
              <w:rPr>
                <w:i/>
                <w:sz w:val="18"/>
                <w:szCs w:val="18"/>
              </w:rPr>
              <w:t>Tuber magnatum</w:t>
            </w:r>
            <w:r w:rsidRPr="00120984">
              <w:rPr>
                <w:sz w:val="18"/>
                <w:szCs w:val="18"/>
              </w:rPr>
              <w:t xml:space="preserve"> Pico) truffles. </w:t>
            </w:r>
            <w:r w:rsidRPr="00120984">
              <w:rPr>
                <w:i/>
                <w:sz w:val="18"/>
                <w:szCs w:val="18"/>
              </w:rPr>
              <w:t>Food Chem</w:t>
            </w:r>
            <w:r w:rsidRPr="00120984">
              <w:rPr>
                <w:sz w:val="18"/>
                <w:szCs w:val="18"/>
              </w:rPr>
              <w:t xml:space="preserve">. </w:t>
            </w:r>
            <w:r w:rsidRPr="00120984">
              <w:rPr>
                <w:b/>
                <w:sz w:val="18"/>
                <w:szCs w:val="18"/>
              </w:rPr>
              <w:t>165</w:t>
            </w:r>
            <w:r w:rsidRPr="00120984">
              <w:rPr>
                <w:sz w:val="18"/>
                <w:szCs w:val="18"/>
              </w:rPr>
              <w:t>: 460–466.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2" w:type="dxa"/>
            <w:gridSpan w:val="9"/>
            <w:shd w:val="clear" w:color="auto" w:fill="auto"/>
            <w:vAlign w:val="center"/>
          </w:tcPr>
          <w:p w:rsidR="000474DB" w:rsidRPr="00120984" w:rsidRDefault="000474DB" w:rsidP="000474DB">
            <w:pPr>
              <w:jc w:val="both"/>
              <w:rPr>
                <w:sz w:val="18"/>
                <w:szCs w:val="18"/>
              </w:rPr>
            </w:pPr>
            <w:r w:rsidRPr="00120984">
              <w:rPr>
                <w:sz w:val="18"/>
                <w:szCs w:val="18"/>
              </w:rPr>
              <w:t xml:space="preserve">Orčić, D., Francišković, M., Bekvalac, K., Svirčev, E., Beara, I., Lesjak, M., Mimica–Dukić, N. (2014): Quantitative determination of plant phenolics in </w:t>
            </w:r>
            <w:r w:rsidRPr="00120984">
              <w:rPr>
                <w:i/>
                <w:sz w:val="18"/>
                <w:szCs w:val="18"/>
              </w:rPr>
              <w:t>Urtica dioica</w:t>
            </w:r>
            <w:r w:rsidRPr="00120984">
              <w:rPr>
                <w:sz w:val="18"/>
                <w:szCs w:val="18"/>
              </w:rPr>
              <w:t xml:space="preserve"> extracts by high–performance liquid chromatography coupled with tandem mass spectrometric detection. </w:t>
            </w:r>
            <w:r w:rsidRPr="00120984">
              <w:rPr>
                <w:i/>
                <w:sz w:val="18"/>
                <w:szCs w:val="18"/>
              </w:rPr>
              <w:t>Food Chem</w:t>
            </w:r>
            <w:r w:rsidRPr="00120984">
              <w:rPr>
                <w:sz w:val="18"/>
                <w:szCs w:val="18"/>
              </w:rPr>
              <w:t xml:space="preserve">. </w:t>
            </w:r>
            <w:r w:rsidRPr="00120984">
              <w:rPr>
                <w:b/>
                <w:sz w:val="18"/>
                <w:szCs w:val="18"/>
              </w:rPr>
              <w:t>143</w:t>
            </w:r>
            <w:r w:rsidRPr="00120984">
              <w:rPr>
                <w:sz w:val="18"/>
                <w:szCs w:val="18"/>
              </w:rPr>
              <w:t>: 48–53.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2" w:type="dxa"/>
            <w:gridSpan w:val="9"/>
            <w:shd w:val="clear" w:color="auto" w:fill="auto"/>
            <w:vAlign w:val="center"/>
          </w:tcPr>
          <w:p w:rsidR="000474DB" w:rsidRPr="00120984" w:rsidRDefault="000474DB" w:rsidP="000474DB">
            <w:pPr>
              <w:jc w:val="both"/>
              <w:rPr>
                <w:sz w:val="18"/>
                <w:szCs w:val="18"/>
              </w:rPr>
            </w:pPr>
            <w:r w:rsidRPr="00120984">
              <w:rPr>
                <w:sz w:val="18"/>
                <w:szCs w:val="18"/>
              </w:rPr>
              <w:t xml:space="preserve">Lesjak, M., Beara, I., Orčić, D., Knežević, P., Simin, N., Emilija, S., Mimica-Dukić, N. (2014): Phytochemical composition and antioxidant, anti–inflammatory and antimicrobial activities of </w:t>
            </w:r>
            <w:r w:rsidRPr="00120984">
              <w:rPr>
                <w:i/>
                <w:sz w:val="18"/>
                <w:szCs w:val="18"/>
              </w:rPr>
              <w:t>Juniperus macrocarpa</w:t>
            </w:r>
            <w:r w:rsidRPr="00120984">
              <w:rPr>
                <w:sz w:val="18"/>
                <w:szCs w:val="18"/>
              </w:rPr>
              <w:t xml:space="preserve"> Sibth. et Sm. </w:t>
            </w:r>
            <w:r w:rsidRPr="00120984">
              <w:rPr>
                <w:i/>
                <w:sz w:val="18"/>
                <w:szCs w:val="18"/>
              </w:rPr>
              <w:t>J Funct Foods</w:t>
            </w:r>
            <w:r w:rsidRPr="00120984">
              <w:rPr>
                <w:sz w:val="18"/>
                <w:szCs w:val="18"/>
              </w:rPr>
              <w:t xml:space="preserve">. </w:t>
            </w:r>
            <w:r w:rsidRPr="00120984">
              <w:rPr>
                <w:b/>
                <w:sz w:val="18"/>
                <w:szCs w:val="18"/>
              </w:rPr>
              <w:t>7</w:t>
            </w:r>
            <w:r w:rsidRPr="00120984">
              <w:rPr>
                <w:sz w:val="18"/>
                <w:szCs w:val="18"/>
              </w:rPr>
              <w:t>: 257–268.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2" w:type="dxa"/>
            <w:gridSpan w:val="9"/>
            <w:shd w:val="clear" w:color="auto" w:fill="auto"/>
            <w:vAlign w:val="center"/>
          </w:tcPr>
          <w:p w:rsidR="000474DB" w:rsidRPr="00120984" w:rsidRDefault="000474DB" w:rsidP="000474DB">
            <w:pPr>
              <w:jc w:val="both"/>
              <w:rPr>
                <w:sz w:val="18"/>
                <w:szCs w:val="18"/>
              </w:rPr>
            </w:pPr>
            <w:r w:rsidRPr="00120984">
              <w:rPr>
                <w:sz w:val="18"/>
                <w:szCs w:val="18"/>
              </w:rPr>
              <w:t xml:space="preserve">Lesjak, M., Hoque R., Balesaria, S., Skinner, V., Debnam, E. S., Srai, K. S. S., Sharp, P. A. (2014): Quercetin Inhibits Intestinal Iron Absorption and Ferroportin Transporter Expression </w:t>
            </w:r>
            <w:r w:rsidRPr="00120984">
              <w:rPr>
                <w:i/>
                <w:sz w:val="18"/>
                <w:szCs w:val="18"/>
              </w:rPr>
              <w:t>In Vivo</w:t>
            </w:r>
            <w:r w:rsidRPr="00120984">
              <w:rPr>
                <w:sz w:val="18"/>
                <w:szCs w:val="18"/>
              </w:rPr>
              <w:t xml:space="preserve"> and </w:t>
            </w:r>
            <w:r w:rsidRPr="00120984">
              <w:rPr>
                <w:i/>
                <w:sz w:val="18"/>
                <w:szCs w:val="18"/>
              </w:rPr>
              <w:t>In Vitro</w:t>
            </w:r>
            <w:r w:rsidRPr="00120984">
              <w:rPr>
                <w:sz w:val="18"/>
                <w:szCs w:val="18"/>
              </w:rPr>
              <w:t xml:space="preserve">. </w:t>
            </w:r>
            <w:r w:rsidRPr="00120984">
              <w:rPr>
                <w:i/>
                <w:sz w:val="18"/>
                <w:szCs w:val="18"/>
              </w:rPr>
              <w:t>PLoS ONE</w:t>
            </w:r>
            <w:r w:rsidRPr="00120984">
              <w:rPr>
                <w:sz w:val="18"/>
                <w:szCs w:val="18"/>
              </w:rPr>
              <w:t xml:space="preserve">. </w:t>
            </w:r>
            <w:r w:rsidRPr="00120984">
              <w:rPr>
                <w:b/>
                <w:sz w:val="18"/>
                <w:szCs w:val="18"/>
              </w:rPr>
              <w:t>9</w:t>
            </w:r>
            <w:r w:rsidRPr="00120984">
              <w:rPr>
                <w:sz w:val="18"/>
                <w:szCs w:val="18"/>
              </w:rPr>
              <w:t>: e102900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2" w:type="dxa"/>
            <w:gridSpan w:val="9"/>
            <w:shd w:val="clear" w:color="auto" w:fill="auto"/>
            <w:vAlign w:val="center"/>
          </w:tcPr>
          <w:p w:rsidR="000474DB" w:rsidRPr="00120984" w:rsidRDefault="000474DB" w:rsidP="000474DB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120984">
              <w:rPr>
                <w:sz w:val="18"/>
                <w:szCs w:val="18"/>
              </w:rPr>
              <w:t xml:space="preserve">Beara, I., Živković, J., Lesjak, M., Ristić, J., Šavikin, K., Maksimović, Z., Janković, T. (2015): Phenolic profile and anti-inflammatory activity of three </w:t>
            </w:r>
            <w:r w:rsidRPr="00120984">
              <w:rPr>
                <w:rStyle w:val="Emphasis"/>
                <w:sz w:val="18"/>
                <w:szCs w:val="18"/>
              </w:rPr>
              <w:t>Veronica</w:t>
            </w:r>
            <w:r w:rsidRPr="00120984">
              <w:rPr>
                <w:sz w:val="18"/>
                <w:szCs w:val="18"/>
              </w:rPr>
              <w:t xml:space="preserve"> species. </w:t>
            </w:r>
            <w:r w:rsidRPr="00120984">
              <w:rPr>
                <w:rStyle w:val="st"/>
                <w:i/>
                <w:sz w:val="18"/>
                <w:szCs w:val="18"/>
              </w:rPr>
              <w:t>Ind Crops Prod</w:t>
            </w:r>
            <w:r w:rsidRPr="00120984">
              <w:rPr>
                <w:i/>
                <w:sz w:val="18"/>
                <w:szCs w:val="18"/>
              </w:rPr>
              <w:t xml:space="preserve">. </w:t>
            </w:r>
            <w:r w:rsidRPr="00120984">
              <w:rPr>
                <w:b/>
                <w:sz w:val="18"/>
                <w:szCs w:val="18"/>
              </w:rPr>
              <w:t>63</w:t>
            </w:r>
            <w:r w:rsidRPr="00120984">
              <w:rPr>
                <w:sz w:val="18"/>
                <w:szCs w:val="18"/>
              </w:rPr>
              <w:t>: 276–280.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2" w:type="dxa"/>
            <w:gridSpan w:val="9"/>
            <w:shd w:val="clear" w:color="auto" w:fill="auto"/>
            <w:vAlign w:val="center"/>
          </w:tcPr>
          <w:p w:rsidR="000474DB" w:rsidRPr="00120984" w:rsidRDefault="000474DB" w:rsidP="000474DB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120984">
              <w:rPr>
                <w:bCs/>
                <w:sz w:val="18"/>
                <w:szCs w:val="18"/>
              </w:rPr>
              <w:t xml:space="preserve">Nađpal, J. D., Lesjak, M. M., Šibul, F. S., Anačkov, G. T., Četojević-Simin, D. D., Mimica-Dukić, N. M., Beara I. N. (2016): Comparative study of biological activities and phytochemical composition of two rose hips and their preserves: </w:t>
            </w:r>
            <w:r w:rsidRPr="00120984">
              <w:rPr>
                <w:bCs/>
                <w:i/>
                <w:sz w:val="18"/>
                <w:szCs w:val="18"/>
              </w:rPr>
              <w:t>Rosa canina</w:t>
            </w:r>
            <w:r w:rsidRPr="00120984">
              <w:rPr>
                <w:bCs/>
                <w:sz w:val="18"/>
                <w:szCs w:val="18"/>
              </w:rPr>
              <w:t xml:space="preserve"> L. and </w:t>
            </w:r>
            <w:r w:rsidRPr="00120984">
              <w:rPr>
                <w:bCs/>
                <w:i/>
                <w:sz w:val="18"/>
                <w:szCs w:val="18"/>
              </w:rPr>
              <w:t>Rosa arvensis</w:t>
            </w:r>
            <w:r w:rsidRPr="00120984">
              <w:rPr>
                <w:bCs/>
                <w:sz w:val="18"/>
                <w:szCs w:val="18"/>
              </w:rPr>
              <w:t xml:space="preserve"> Huds. </w:t>
            </w:r>
            <w:r w:rsidRPr="00120984">
              <w:rPr>
                <w:i/>
                <w:sz w:val="18"/>
                <w:szCs w:val="18"/>
              </w:rPr>
              <w:t>Food Chem</w:t>
            </w:r>
            <w:r w:rsidRPr="00120984">
              <w:rPr>
                <w:sz w:val="18"/>
                <w:szCs w:val="18"/>
              </w:rPr>
              <w:t xml:space="preserve">. </w:t>
            </w:r>
            <w:r w:rsidRPr="00120984">
              <w:rPr>
                <w:b/>
                <w:bCs/>
                <w:sz w:val="18"/>
                <w:szCs w:val="18"/>
              </w:rPr>
              <w:t>192</w:t>
            </w:r>
            <w:r w:rsidRPr="00120984">
              <w:rPr>
                <w:bCs/>
                <w:sz w:val="18"/>
                <w:szCs w:val="18"/>
              </w:rPr>
              <w:t>: 907</w:t>
            </w:r>
            <w:r w:rsidRPr="00120984">
              <w:rPr>
                <w:sz w:val="18"/>
                <w:szCs w:val="18"/>
              </w:rPr>
              <w:t>–</w:t>
            </w:r>
            <w:r w:rsidRPr="00120984">
              <w:rPr>
                <w:bCs/>
                <w:sz w:val="18"/>
                <w:szCs w:val="18"/>
              </w:rPr>
              <w:t>914.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2" w:type="dxa"/>
            <w:gridSpan w:val="9"/>
            <w:shd w:val="clear" w:color="auto" w:fill="auto"/>
            <w:vAlign w:val="center"/>
          </w:tcPr>
          <w:p w:rsidR="000474DB" w:rsidRPr="00120984" w:rsidRDefault="000474DB" w:rsidP="000474DB">
            <w:pPr>
              <w:widowControl/>
              <w:autoSpaceDE/>
              <w:autoSpaceDN/>
              <w:adjustRightInd/>
              <w:jc w:val="both"/>
              <w:rPr>
                <w:rStyle w:val="textbold"/>
                <w:sz w:val="18"/>
                <w:szCs w:val="18"/>
              </w:rPr>
            </w:pPr>
            <w:r w:rsidRPr="00120984">
              <w:rPr>
                <w:bCs/>
                <w:sz w:val="18"/>
                <w:szCs w:val="18"/>
              </w:rPr>
              <w:t xml:space="preserve">Lesjak, M., Simin, N., Orčić, D., Francišković, M., Knežević, P., Beara, I., Aleksić, V., Svirčev, E., Buzas, K., Mimica-Dukić, N. (2016): Binary and tertiary mixtures of </w:t>
            </w:r>
            <w:r w:rsidRPr="00120984">
              <w:rPr>
                <w:bCs/>
                <w:i/>
                <w:sz w:val="18"/>
                <w:szCs w:val="18"/>
              </w:rPr>
              <w:t>Satureja hortensis</w:t>
            </w:r>
            <w:r w:rsidRPr="00120984">
              <w:rPr>
                <w:bCs/>
                <w:sz w:val="18"/>
                <w:szCs w:val="18"/>
              </w:rPr>
              <w:t xml:space="preserve"> and </w:t>
            </w:r>
            <w:r w:rsidRPr="00120984">
              <w:rPr>
                <w:bCs/>
                <w:i/>
                <w:sz w:val="18"/>
                <w:szCs w:val="18"/>
              </w:rPr>
              <w:t>Origanum vulgare</w:t>
            </w:r>
            <w:r w:rsidRPr="00120984">
              <w:rPr>
                <w:bCs/>
                <w:sz w:val="18"/>
                <w:szCs w:val="18"/>
              </w:rPr>
              <w:t xml:space="preserve"> essential oils as potent antimicrobial agents against </w:t>
            </w:r>
            <w:r w:rsidRPr="00120984">
              <w:rPr>
                <w:bCs/>
                <w:i/>
                <w:sz w:val="18"/>
                <w:szCs w:val="18"/>
              </w:rPr>
              <w:t>Helicobacter pylori</w:t>
            </w:r>
            <w:r w:rsidRPr="00120984">
              <w:rPr>
                <w:bCs/>
                <w:sz w:val="18"/>
                <w:szCs w:val="18"/>
              </w:rPr>
              <w:t xml:space="preserve">. </w:t>
            </w:r>
            <w:r w:rsidRPr="00120984">
              <w:rPr>
                <w:bCs/>
                <w:i/>
                <w:sz w:val="18"/>
                <w:szCs w:val="18"/>
              </w:rPr>
              <w:t>Phytother Res</w:t>
            </w:r>
            <w:r w:rsidRPr="00120984">
              <w:rPr>
                <w:bCs/>
                <w:sz w:val="18"/>
                <w:szCs w:val="18"/>
              </w:rPr>
              <w:t xml:space="preserve">. </w:t>
            </w:r>
            <w:r w:rsidRPr="00120984">
              <w:rPr>
                <w:b/>
                <w:bCs/>
                <w:sz w:val="18"/>
                <w:szCs w:val="18"/>
              </w:rPr>
              <w:t>30</w:t>
            </w:r>
            <w:r w:rsidRPr="00120984">
              <w:rPr>
                <w:bCs/>
                <w:sz w:val="18"/>
                <w:szCs w:val="18"/>
              </w:rPr>
              <w:t>: 476</w:t>
            </w:r>
            <w:r w:rsidRPr="00120984">
              <w:rPr>
                <w:sz w:val="18"/>
                <w:szCs w:val="18"/>
              </w:rPr>
              <w:t>–4</w:t>
            </w:r>
            <w:r w:rsidRPr="00120984">
              <w:rPr>
                <w:bCs/>
                <w:sz w:val="18"/>
                <w:szCs w:val="18"/>
              </w:rPr>
              <w:t>84.</w:t>
            </w:r>
          </w:p>
        </w:tc>
      </w:tr>
      <w:tr w:rsidR="000474DB" w:rsidRPr="00120984" w:rsidTr="000474DB">
        <w:trPr>
          <w:trHeight w:val="227"/>
        </w:trPr>
        <w:tc>
          <w:tcPr>
            <w:tcW w:w="676" w:type="dxa"/>
            <w:vAlign w:val="center"/>
          </w:tcPr>
          <w:p w:rsidR="000474DB" w:rsidRPr="00120984" w:rsidRDefault="000474DB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2" w:type="dxa"/>
            <w:gridSpan w:val="9"/>
            <w:shd w:val="clear" w:color="auto" w:fill="auto"/>
            <w:vAlign w:val="center"/>
          </w:tcPr>
          <w:p w:rsidR="000474DB" w:rsidRPr="00120984" w:rsidRDefault="000474DB" w:rsidP="000474DB">
            <w:pPr>
              <w:jc w:val="both"/>
              <w:rPr>
                <w:sz w:val="18"/>
                <w:szCs w:val="18"/>
              </w:rPr>
            </w:pPr>
            <w:r w:rsidRPr="00120984">
              <w:rPr>
                <w:sz w:val="18"/>
                <w:szCs w:val="18"/>
              </w:rPr>
              <w:t xml:space="preserve">Harmati, M., Gyukity-Sebestyen, E., Dobra, G., Terhes, G., Urban, E., Decsi, G., Mimica-Dukić, N., Lesjak, M., Simin, N., Pap, B., Nemeth, I. B., Buzas, K. (2016): Binary mixture of </w:t>
            </w:r>
            <w:r w:rsidRPr="00120984">
              <w:rPr>
                <w:i/>
                <w:sz w:val="18"/>
                <w:szCs w:val="18"/>
              </w:rPr>
              <w:t>Satureja hortensis</w:t>
            </w:r>
            <w:r w:rsidRPr="00120984">
              <w:rPr>
                <w:sz w:val="18"/>
                <w:szCs w:val="18"/>
              </w:rPr>
              <w:t xml:space="preserve"> and </w:t>
            </w:r>
            <w:r w:rsidRPr="00120984">
              <w:rPr>
                <w:i/>
                <w:sz w:val="18"/>
                <w:szCs w:val="18"/>
              </w:rPr>
              <w:t>Origanum vulgare</w:t>
            </w:r>
            <w:r w:rsidRPr="00120984">
              <w:rPr>
                <w:sz w:val="18"/>
                <w:szCs w:val="18"/>
              </w:rPr>
              <w:t xml:space="preserve"> subsp. </w:t>
            </w:r>
            <w:r w:rsidRPr="00120984">
              <w:rPr>
                <w:i/>
                <w:sz w:val="18"/>
                <w:szCs w:val="18"/>
              </w:rPr>
              <w:t>hirtum</w:t>
            </w:r>
            <w:r w:rsidRPr="00120984">
              <w:rPr>
                <w:sz w:val="18"/>
                <w:szCs w:val="18"/>
              </w:rPr>
              <w:t xml:space="preserve"> essential oils: in vivo therapeutic efficiency against </w:t>
            </w:r>
            <w:r w:rsidRPr="00120984">
              <w:rPr>
                <w:i/>
                <w:sz w:val="18"/>
                <w:szCs w:val="18"/>
              </w:rPr>
              <w:t>Helicobacter pylori</w:t>
            </w:r>
            <w:r w:rsidRPr="00120984">
              <w:rPr>
                <w:sz w:val="18"/>
                <w:szCs w:val="18"/>
              </w:rPr>
              <w:t xml:space="preserve"> infection. </w:t>
            </w:r>
            <w:r w:rsidRPr="00120984">
              <w:rPr>
                <w:i/>
                <w:sz w:val="18"/>
                <w:szCs w:val="18"/>
              </w:rPr>
              <w:t>Helicobacter</w:t>
            </w:r>
            <w:r w:rsidRPr="00120984">
              <w:rPr>
                <w:sz w:val="18"/>
                <w:szCs w:val="18"/>
              </w:rPr>
              <w:t>. DOI: 10.1111/hel.12350</w:t>
            </w:r>
          </w:p>
        </w:tc>
      </w:tr>
      <w:tr w:rsidR="00A66DA8" w:rsidRPr="00120984" w:rsidTr="000474DB">
        <w:trPr>
          <w:trHeight w:val="227"/>
        </w:trPr>
        <w:tc>
          <w:tcPr>
            <w:tcW w:w="9998" w:type="dxa"/>
            <w:gridSpan w:val="10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20984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474DB" w:rsidRPr="00120984" w:rsidTr="000474DB">
        <w:trPr>
          <w:trHeight w:val="227"/>
        </w:trPr>
        <w:tc>
          <w:tcPr>
            <w:tcW w:w="4281" w:type="dxa"/>
            <w:gridSpan w:val="5"/>
            <w:vAlign w:val="center"/>
          </w:tcPr>
          <w:p w:rsidR="000474DB" w:rsidRPr="00120984" w:rsidRDefault="000474D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0474DB" w:rsidRPr="00120984" w:rsidRDefault="000474DB" w:rsidP="00755FD6">
            <w:pPr>
              <w:tabs>
                <w:tab w:val="left" w:pos="567"/>
              </w:tabs>
              <w:rPr>
                <w:lang w:val="sr-Cyrl-CS"/>
              </w:rPr>
            </w:pPr>
            <w:r w:rsidRPr="00120984">
              <w:rPr>
                <w:lang w:val="sr-Cyrl-CS"/>
              </w:rPr>
              <w:t xml:space="preserve">238, од којих 208 хетероцитата, </w:t>
            </w:r>
          </w:p>
        </w:tc>
      </w:tr>
      <w:tr w:rsidR="00A66DA8" w:rsidRPr="00120984" w:rsidTr="000474DB">
        <w:trPr>
          <w:trHeight w:val="227"/>
        </w:trPr>
        <w:tc>
          <w:tcPr>
            <w:tcW w:w="4281" w:type="dxa"/>
            <w:gridSpan w:val="5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120984" w:rsidRDefault="000474DB" w:rsidP="00F23C08">
            <w:pPr>
              <w:tabs>
                <w:tab w:val="left" w:pos="567"/>
              </w:tabs>
              <w:spacing w:after="60"/>
            </w:pPr>
            <w:r w:rsidRPr="00120984">
              <w:t>14</w:t>
            </w:r>
          </w:p>
        </w:tc>
      </w:tr>
      <w:tr w:rsidR="00A66DA8" w:rsidRPr="00120984" w:rsidTr="000474DB">
        <w:trPr>
          <w:trHeight w:val="227"/>
        </w:trPr>
        <w:tc>
          <w:tcPr>
            <w:tcW w:w="4281" w:type="dxa"/>
            <w:gridSpan w:val="5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120984" w:rsidRDefault="00A66DA8" w:rsidP="000474DB">
            <w:pPr>
              <w:tabs>
                <w:tab w:val="left" w:pos="567"/>
              </w:tabs>
              <w:spacing w:after="60"/>
            </w:pPr>
            <w:r w:rsidRPr="00120984">
              <w:rPr>
                <w:lang w:val="sr-Cyrl-CS"/>
              </w:rPr>
              <w:t>Домаћи</w:t>
            </w:r>
            <w:r w:rsidR="006329F8" w:rsidRPr="00120984">
              <w:rPr>
                <w:lang w:val="sr-Cyrl-CS"/>
              </w:rPr>
              <w:t xml:space="preserve"> </w:t>
            </w:r>
            <w:r w:rsidR="000474DB" w:rsidRPr="00120984">
              <w:t>2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>Међународни</w:t>
            </w:r>
            <w:r w:rsidR="006329F8" w:rsidRPr="00120984">
              <w:rPr>
                <w:lang w:val="sr-Cyrl-CS"/>
              </w:rPr>
              <w:t xml:space="preserve"> -</w:t>
            </w:r>
          </w:p>
        </w:tc>
      </w:tr>
      <w:tr w:rsidR="00A66DA8" w:rsidRPr="00120984" w:rsidTr="000474DB">
        <w:trPr>
          <w:trHeight w:val="227"/>
        </w:trPr>
        <w:tc>
          <w:tcPr>
            <w:tcW w:w="2184" w:type="dxa"/>
            <w:gridSpan w:val="3"/>
            <w:vAlign w:val="center"/>
          </w:tcPr>
          <w:p w:rsidR="00A66DA8" w:rsidRPr="00120984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lang w:val="sr-Cyrl-CS"/>
              </w:rPr>
              <w:t xml:space="preserve">Усавршавања </w:t>
            </w:r>
          </w:p>
        </w:tc>
        <w:tc>
          <w:tcPr>
            <w:tcW w:w="7814" w:type="dxa"/>
            <w:gridSpan w:val="7"/>
            <w:vAlign w:val="center"/>
          </w:tcPr>
          <w:p w:rsidR="00A66DA8" w:rsidRPr="00120984" w:rsidRDefault="000474DB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20984">
              <w:rPr>
                <w:i/>
              </w:rPr>
              <w:t>University</w:t>
            </w:r>
            <w:r w:rsidRPr="00120984">
              <w:rPr>
                <w:i/>
                <w:lang w:val="sr-Cyrl-CS"/>
              </w:rPr>
              <w:t xml:space="preserve"> </w:t>
            </w:r>
            <w:r w:rsidRPr="00120984">
              <w:rPr>
                <w:i/>
              </w:rPr>
              <w:t>College</w:t>
            </w:r>
            <w:r w:rsidRPr="00120984">
              <w:rPr>
                <w:i/>
                <w:lang w:val="sr-Cyrl-CS"/>
              </w:rPr>
              <w:t xml:space="preserve"> </w:t>
            </w:r>
            <w:r w:rsidRPr="00120984">
              <w:rPr>
                <w:i/>
              </w:rPr>
              <w:t>London</w:t>
            </w:r>
            <w:r w:rsidRPr="00120984">
              <w:rPr>
                <w:lang w:val="sr-Cyrl-CS"/>
              </w:rPr>
              <w:t>, Лондон, Велика Британија</w:t>
            </w:r>
          </w:p>
        </w:tc>
      </w:tr>
      <w:tr w:rsidR="00A66DA8" w:rsidRPr="00120984" w:rsidTr="000474DB">
        <w:trPr>
          <w:trHeight w:val="227"/>
        </w:trPr>
        <w:tc>
          <w:tcPr>
            <w:tcW w:w="9998" w:type="dxa"/>
            <w:gridSpan w:val="10"/>
            <w:vAlign w:val="center"/>
          </w:tcPr>
          <w:p w:rsidR="00A66DA8" w:rsidRPr="00120984" w:rsidRDefault="00A66DA8" w:rsidP="000474DB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en-US"/>
              </w:rPr>
            </w:pPr>
            <w:r w:rsidRPr="00120984">
              <w:rPr>
                <w:sz w:val="18"/>
                <w:szCs w:val="18"/>
                <w:lang w:val="sr-Cyrl-CS"/>
              </w:rPr>
              <w:t>Други подаци које сматрате релевантним</w:t>
            </w:r>
            <w:r w:rsidR="009714B1" w:rsidRPr="00120984">
              <w:rPr>
                <w:sz w:val="18"/>
                <w:szCs w:val="18"/>
                <w:lang w:val="en-US"/>
              </w:rPr>
              <w:t>:</w:t>
            </w:r>
            <w:r w:rsidR="000474DB" w:rsidRPr="00120984">
              <w:rPr>
                <w:sz w:val="18"/>
                <w:szCs w:val="18"/>
                <w:lang w:val="en-US"/>
              </w:rPr>
              <w:t xml:space="preserve"> </w:t>
            </w:r>
            <w:r w:rsidR="000474DB" w:rsidRPr="00120984">
              <w:rPr>
                <w:sz w:val="18"/>
                <w:szCs w:val="18"/>
                <w:lang w:val="sr-Cyrl-CS"/>
              </w:rPr>
              <w:t xml:space="preserve">Коаутор је </w:t>
            </w:r>
            <w:r w:rsidR="000474DB" w:rsidRPr="00120984">
              <w:rPr>
                <w:sz w:val="18"/>
                <w:szCs w:val="18"/>
              </w:rPr>
              <w:t>14</w:t>
            </w:r>
            <w:r w:rsidR="000474DB" w:rsidRPr="00120984">
              <w:rPr>
                <w:sz w:val="18"/>
                <w:szCs w:val="18"/>
                <w:lang w:val="sr-Cyrl-CS"/>
              </w:rPr>
              <w:t xml:space="preserve"> научн</w:t>
            </w:r>
            <w:r w:rsidR="000474DB" w:rsidRPr="00120984">
              <w:rPr>
                <w:sz w:val="18"/>
                <w:szCs w:val="18"/>
              </w:rPr>
              <w:t>их</w:t>
            </w:r>
            <w:r w:rsidR="000474DB" w:rsidRPr="00120984">
              <w:rPr>
                <w:sz w:val="18"/>
                <w:szCs w:val="18"/>
                <w:lang w:val="sr-Cyrl-CS"/>
              </w:rPr>
              <w:t xml:space="preserve"> радова у међународним часописима</w:t>
            </w:r>
            <w:r w:rsidR="000474DB" w:rsidRPr="00120984">
              <w:rPr>
                <w:sz w:val="18"/>
                <w:szCs w:val="18"/>
              </w:rPr>
              <w:t xml:space="preserve"> </w:t>
            </w:r>
            <w:r w:rsidR="000474DB" w:rsidRPr="00120984">
              <w:rPr>
                <w:sz w:val="18"/>
                <w:szCs w:val="18"/>
                <w:lang w:val="sr-Cyrl-CS"/>
              </w:rPr>
              <w:t xml:space="preserve">и преко </w:t>
            </w:r>
            <w:r w:rsidR="000474DB" w:rsidRPr="00120984">
              <w:rPr>
                <w:sz w:val="18"/>
                <w:szCs w:val="18"/>
              </w:rPr>
              <w:t>7</w:t>
            </w:r>
            <w:r w:rsidR="000474DB" w:rsidRPr="00120984">
              <w:rPr>
                <w:sz w:val="18"/>
                <w:szCs w:val="18"/>
                <w:lang w:val="sr-Cyrl-CS"/>
              </w:rPr>
              <w:t xml:space="preserve">0 саопштења на научним скуповима. </w:t>
            </w:r>
            <w:r w:rsidR="000474DB" w:rsidRPr="00120984">
              <w:rPr>
                <w:sz w:val="18"/>
                <w:szCs w:val="18"/>
              </w:rPr>
              <w:t xml:space="preserve">Oдржала је предавање по позиву на три међународне конференције. </w:t>
            </w:r>
            <w:r w:rsidR="000474DB" w:rsidRPr="00120984">
              <w:rPr>
                <w:sz w:val="18"/>
                <w:szCs w:val="18"/>
                <w:lang w:val="sr-Cyrl-CS"/>
              </w:rPr>
              <w:t xml:space="preserve">Добитник је престижне светске награде </w:t>
            </w:r>
            <w:r w:rsidR="000474DB" w:rsidRPr="00120984">
              <w:rPr>
                <w:i/>
                <w:sz w:val="18"/>
                <w:szCs w:val="18"/>
                <w:lang w:val="sr-Cyrl-CS"/>
              </w:rPr>
              <w:t xml:space="preserve">Dr. Willmar Schwabe </w:t>
            </w:r>
            <w:r w:rsidR="000474DB" w:rsidRPr="00120984">
              <w:rPr>
                <w:sz w:val="18"/>
                <w:szCs w:val="18"/>
                <w:lang w:val="sr-Cyrl-CS"/>
              </w:rPr>
              <w:t xml:space="preserve">награде за младе истраживаче за 2011. годину коју додељује </w:t>
            </w:r>
            <w:r w:rsidR="000474DB" w:rsidRPr="00120984">
              <w:rPr>
                <w:i/>
                <w:sz w:val="18"/>
                <w:szCs w:val="18"/>
                <w:lang w:val="sr-Cyrl-CS"/>
              </w:rPr>
              <w:t>Society of Medicinal Plant Research (GA)</w:t>
            </w:r>
            <w:r w:rsidR="000474DB" w:rsidRPr="00120984">
              <w:rPr>
                <w:sz w:val="18"/>
                <w:szCs w:val="18"/>
                <w:lang w:val="sr-Cyrl-CS"/>
              </w:rPr>
              <w:t xml:space="preserve">, за студијски боравак на </w:t>
            </w:r>
            <w:r w:rsidR="000474DB" w:rsidRPr="00120984">
              <w:rPr>
                <w:i/>
                <w:sz w:val="18"/>
                <w:szCs w:val="18"/>
                <w:lang w:val="sr-Cyrl-CS"/>
              </w:rPr>
              <w:t>University College London</w:t>
            </w:r>
            <w:r w:rsidR="000474DB" w:rsidRPr="00120984">
              <w:rPr>
                <w:sz w:val="18"/>
                <w:szCs w:val="18"/>
                <w:lang w:val="sr-Cyrl-CS"/>
              </w:rPr>
              <w:t xml:space="preserve"> у Великој Британији.</w:t>
            </w:r>
            <w:r w:rsidR="000474DB" w:rsidRPr="00120984">
              <w:rPr>
                <w:sz w:val="18"/>
                <w:szCs w:val="18"/>
              </w:rPr>
              <w:t xml:space="preserve"> Поред тога, добитник је награде за најбољег младог истраживача на Природно-математичком факултету у Новом Саду у 2015. години, стипендије „Покрени се за науку“ коју додељује компанија </w:t>
            </w:r>
            <w:r w:rsidR="000474DB" w:rsidRPr="00120984">
              <w:rPr>
                <w:i/>
                <w:sz w:val="18"/>
                <w:szCs w:val="18"/>
              </w:rPr>
              <w:t>Philip Morris</w:t>
            </w:r>
            <w:r w:rsidR="000474DB" w:rsidRPr="00120984">
              <w:rPr>
                <w:sz w:val="18"/>
                <w:szCs w:val="18"/>
              </w:rPr>
              <w:t xml:space="preserve"> у сарадњи са Центром за развој лидерства у Србији (2016) и националне стипендије „За жене у науци“ коју додељује компанија </w:t>
            </w:r>
            <w:r w:rsidR="000474DB" w:rsidRPr="00120984">
              <w:rPr>
                <w:i/>
                <w:sz w:val="18"/>
                <w:szCs w:val="18"/>
              </w:rPr>
              <w:t>L</w:t>
            </w:r>
            <w:r w:rsidR="000474DB" w:rsidRPr="00120984">
              <w:rPr>
                <w:sz w:val="18"/>
                <w:szCs w:val="18"/>
              </w:rPr>
              <w:t>’</w:t>
            </w:r>
            <w:r w:rsidR="000474DB" w:rsidRPr="00120984">
              <w:rPr>
                <w:i/>
                <w:sz w:val="18"/>
                <w:szCs w:val="18"/>
              </w:rPr>
              <w:t>Oréal Balkan</w:t>
            </w:r>
            <w:r w:rsidR="000474DB" w:rsidRPr="00120984">
              <w:rPr>
                <w:sz w:val="18"/>
                <w:szCs w:val="18"/>
              </w:rPr>
              <w:t xml:space="preserve"> и Национална комисија за сарадњу са </w:t>
            </w:r>
            <w:r w:rsidR="000474DB" w:rsidRPr="00120984">
              <w:rPr>
                <w:i/>
                <w:sz w:val="18"/>
                <w:szCs w:val="18"/>
              </w:rPr>
              <w:t>UNESCO</w:t>
            </w:r>
            <w:r w:rsidR="000474DB" w:rsidRPr="00120984">
              <w:rPr>
                <w:sz w:val="18"/>
                <w:szCs w:val="18"/>
              </w:rPr>
              <w:t>-м у сарадњи са Министарством просвете, науке и технолошког развоја Републике Србије</w:t>
            </w:r>
            <w:r w:rsidR="000474DB" w:rsidRPr="00120984">
              <w:rPr>
                <w:sz w:val="18"/>
                <w:szCs w:val="18"/>
                <w:lang w:val="en-GB"/>
              </w:rPr>
              <w:t xml:space="preserve"> </w:t>
            </w:r>
            <w:r w:rsidR="000474DB" w:rsidRPr="00120984">
              <w:rPr>
                <w:sz w:val="18"/>
                <w:szCs w:val="18"/>
              </w:rPr>
              <w:t>(2016).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474DB"/>
    <w:rsid w:val="00092847"/>
    <w:rsid w:val="000F6204"/>
    <w:rsid w:val="0011797A"/>
    <w:rsid w:val="00120984"/>
    <w:rsid w:val="00173DA5"/>
    <w:rsid w:val="001B2373"/>
    <w:rsid w:val="001E3194"/>
    <w:rsid w:val="00203806"/>
    <w:rsid w:val="00267B2D"/>
    <w:rsid w:val="00300075"/>
    <w:rsid w:val="003214D9"/>
    <w:rsid w:val="00326527"/>
    <w:rsid w:val="003C7C0B"/>
    <w:rsid w:val="0045103A"/>
    <w:rsid w:val="00460A61"/>
    <w:rsid w:val="00496F61"/>
    <w:rsid w:val="004A5082"/>
    <w:rsid w:val="004B27D8"/>
    <w:rsid w:val="004E7A7C"/>
    <w:rsid w:val="00510500"/>
    <w:rsid w:val="005A1D49"/>
    <w:rsid w:val="005B7D61"/>
    <w:rsid w:val="005C0946"/>
    <w:rsid w:val="005D71D4"/>
    <w:rsid w:val="006329F8"/>
    <w:rsid w:val="00640AAC"/>
    <w:rsid w:val="00660819"/>
    <w:rsid w:val="00683523"/>
    <w:rsid w:val="00736BD9"/>
    <w:rsid w:val="0085046D"/>
    <w:rsid w:val="0093307F"/>
    <w:rsid w:val="00935C55"/>
    <w:rsid w:val="009714B1"/>
    <w:rsid w:val="00A66DA8"/>
    <w:rsid w:val="00B06A3A"/>
    <w:rsid w:val="00B07F37"/>
    <w:rsid w:val="00B327FF"/>
    <w:rsid w:val="00B7068A"/>
    <w:rsid w:val="00C53D82"/>
    <w:rsid w:val="00C66219"/>
    <w:rsid w:val="00CB2CD6"/>
    <w:rsid w:val="00D93FA1"/>
    <w:rsid w:val="00E2760A"/>
    <w:rsid w:val="00ED5E27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  <w:style w:type="character" w:customStyle="1" w:styleId="textbold">
    <w:name w:val="textbold"/>
    <w:basedOn w:val="DefaultParagraphFont"/>
    <w:rsid w:val="000474DB"/>
  </w:style>
  <w:style w:type="character" w:styleId="Emphasis">
    <w:name w:val="Emphasis"/>
    <w:basedOn w:val="DefaultParagraphFont"/>
    <w:uiPriority w:val="20"/>
    <w:qFormat/>
    <w:rsid w:val="000474DB"/>
    <w:rPr>
      <w:i/>
      <w:iCs/>
    </w:rPr>
  </w:style>
  <w:style w:type="character" w:customStyle="1" w:styleId="st">
    <w:name w:val="st"/>
    <w:basedOn w:val="DefaultParagraphFont"/>
    <w:rsid w:val="000474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6</cp:revision>
  <dcterms:created xsi:type="dcterms:W3CDTF">2017-07-02T16:23:00Z</dcterms:created>
  <dcterms:modified xsi:type="dcterms:W3CDTF">2017-07-02T16:46:00Z</dcterms:modified>
</cp:coreProperties>
</file>