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396"/>
        <w:gridCol w:w="709"/>
      </w:tblGrid>
      <w:tr w:rsidR="00637D53" w:rsidRPr="00A22864" w:rsidTr="00475EDE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A22864" w:rsidRDefault="00EB4BC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Немања Банић</w:t>
            </w:r>
          </w:p>
        </w:tc>
      </w:tr>
      <w:tr w:rsidR="00637D53" w:rsidRPr="00A22864" w:rsidTr="00475EDE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A22864" w:rsidRDefault="00EB4BC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637D53" w:rsidRPr="00A22864" w:rsidTr="00475EDE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A22864" w:rsidRDefault="00EB4BC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2465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EB4BCE" w:rsidRPr="00A22864" w:rsidTr="00475EDE">
        <w:trPr>
          <w:trHeight w:val="227"/>
        </w:trPr>
        <w:tc>
          <w:tcPr>
            <w:tcW w:w="2465" w:type="dxa"/>
            <w:gridSpan w:val="3"/>
            <w:vAlign w:val="center"/>
          </w:tcPr>
          <w:p w:rsidR="00EB4BCE" w:rsidRPr="00A22864" w:rsidRDefault="00EB4BC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3666" w:type="dxa"/>
            <w:gridSpan w:val="3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EB4BCE" w:rsidRPr="00A22864" w:rsidTr="00475EDE">
        <w:trPr>
          <w:trHeight w:val="227"/>
        </w:trPr>
        <w:tc>
          <w:tcPr>
            <w:tcW w:w="2465" w:type="dxa"/>
            <w:gridSpan w:val="3"/>
            <w:vAlign w:val="center"/>
          </w:tcPr>
          <w:p w:rsidR="00EB4BCE" w:rsidRPr="00A22864" w:rsidRDefault="00EB4BC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3666" w:type="dxa"/>
            <w:gridSpan w:val="3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Х</w:t>
            </w:r>
            <w:r>
              <w:rPr>
                <w:lang w:val="sr-Cyrl-CS"/>
              </w:rPr>
              <w:t>емија</w:t>
            </w:r>
          </w:p>
        </w:tc>
      </w:tr>
      <w:tr w:rsidR="00EB4BCE" w:rsidRPr="00A22864" w:rsidTr="00475EDE">
        <w:trPr>
          <w:trHeight w:val="227"/>
        </w:trPr>
        <w:tc>
          <w:tcPr>
            <w:tcW w:w="2465" w:type="dxa"/>
            <w:gridSpan w:val="3"/>
            <w:vAlign w:val="center"/>
          </w:tcPr>
          <w:p w:rsidR="00EB4BCE" w:rsidRPr="00A22864" w:rsidRDefault="00EB4BCE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666" w:type="dxa"/>
            <w:gridSpan w:val="3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637D53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EB4BCE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EB4BCE" w:rsidRPr="002332E2" w:rsidRDefault="00EB4BCE" w:rsidP="00BD02A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Методологија научног рада </w:t>
            </w:r>
            <w:r>
              <w:t>(1/2)</w:t>
            </w:r>
          </w:p>
        </w:tc>
        <w:tc>
          <w:tcPr>
            <w:tcW w:w="2165" w:type="dxa"/>
            <w:gridSpan w:val="3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EB4BCE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EB4BCE" w:rsidRPr="002332E2" w:rsidRDefault="00EB4BCE" w:rsidP="00BD02A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Информације у хемији </w:t>
            </w:r>
            <w:r>
              <w:t>(1/2)</w:t>
            </w:r>
          </w:p>
        </w:tc>
        <w:tc>
          <w:tcPr>
            <w:tcW w:w="2165" w:type="dxa"/>
            <w:gridSpan w:val="3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EB4BCE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Аналитичка спектрометрија </w:t>
            </w:r>
          </w:p>
        </w:tc>
        <w:tc>
          <w:tcPr>
            <w:tcW w:w="2165" w:type="dxa"/>
            <w:gridSpan w:val="3"/>
            <w:vAlign w:val="center"/>
          </w:tcPr>
          <w:p w:rsidR="00EB4BCE" w:rsidRPr="005E671A" w:rsidRDefault="00EB4BCE" w:rsidP="00BD02A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637D53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637D53" w:rsidRPr="00A22864" w:rsidRDefault="00637D53" w:rsidP="00EB4BC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EB4BCE" w:rsidRPr="00A22864" w:rsidTr="00EB4BCE">
        <w:trPr>
          <w:trHeight w:val="227"/>
        </w:trPr>
        <w:tc>
          <w:tcPr>
            <w:tcW w:w="521" w:type="dxa"/>
            <w:vAlign w:val="center"/>
          </w:tcPr>
          <w:p w:rsidR="00EB4BCE" w:rsidRPr="009A4722" w:rsidRDefault="00EB4BCE" w:rsidP="00EB4BCE">
            <w:pPr>
              <w:tabs>
                <w:tab w:val="left" w:pos="567"/>
              </w:tabs>
              <w:spacing w:after="60"/>
            </w:pPr>
            <w:r w:rsidRPr="009A4722">
              <w:t>1.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EB4BCE" w:rsidRPr="00A26D4B" w:rsidRDefault="00EB4BCE" w:rsidP="00EB4BCE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Finčur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N.L.;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Krstić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J.B.;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Šibul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F.S.;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Šojić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D.V.;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Despotović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V.N.;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N.D.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Agbaba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J.R.;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B.F. Removal of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alprazolam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from aqueous solutions by advanced oxidation processes: Influencing factors, intermediates, and products.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Chem. Eng. J.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2017, 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307, 1105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–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1115. </w:t>
            </w:r>
          </w:p>
        </w:tc>
        <w:tc>
          <w:tcPr>
            <w:tcW w:w="709" w:type="dxa"/>
            <w:vAlign w:val="center"/>
          </w:tcPr>
          <w:p w:rsidR="00EB4BCE" w:rsidRPr="00EB4BCE" w:rsidRDefault="00EB4BCE" w:rsidP="00EB4BC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  <w:lang w:val="sr-Cyrl-CS"/>
              </w:rPr>
              <w:t>М</w:t>
            </w:r>
            <w:r w:rsidRPr="00EB4BCE">
              <w:rPr>
                <w:sz w:val="16"/>
                <w:szCs w:val="16"/>
              </w:rPr>
              <w:t>21a</w:t>
            </w:r>
          </w:p>
        </w:tc>
      </w:tr>
      <w:tr w:rsidR="00EB4BCE" w:rsidRPr="00A22864" w:rsidTr="00EB4BCE">
        <w:trPr>
          <w:trHeight w:val="227"/>
        </w:trPr>
        <w:tc>
          <w:tcPr>
            <w:tcW w:w="521" w:type="dxa"/>
            <w:vAlign w:val="center"/>
          </w:tcPr>
          <w:p w:rsidR="00EB4BCE" w:rsidRPr="009A4722" w:rsidRDefault="00EB4BCE" w:rsidP="00EB4BCE">
            <w:pPr>
              <w:tabs>
                <w:tab w:val="left" w:pos="567"/>
              </w:tabs>
              <w:spacing w:after="60"/>
            </w:pPr>
            <w:r w:rsidRPr="009A4722">
              <w:t>2.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EB4BCE" w:rsidRPr="00A26D4B" w:rsidRDefault="00EB4BCE" w:rsidP="00EB4BCE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N.D.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B.F.;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Šojić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D.V.;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Krstić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J.B.;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Finčur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N.L.;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Bočković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I.P. Efficiency of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neonicotinoids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photocatalytic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degradation by using annular slurry reactor.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Chem. Eng. J.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>2016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286, 184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–190. </w:t>
            </w:r>
          </w:p>
        </w:tc>
        <w:tc>
          <w:tcPr>
            <w:tcW w:w="709" w:type="dxa"/>
            <w:vAlign w:val="center"/>
          </w:tcPr>
          <w:p w:rsidR="00EB4BCE" w:rsidRPr="00EB4BCE" w:rsidRDefault="00EB4BCE" w:rsidP="00EB4BC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M21a</w:t>
            </w:r>
          </w:p>
        </w:tc>
      </w:tr>
      <w:tr w:rsidR="00EB4BCE" w:rsidRPr="00A22864" w:rsidTr="00EB4BCE">
        <w:trPr>
          <w:trHeight w:val="227"/>
        </w:trPr>
        <w:tc>
          <w:tcPr>
            <w:tcW w:w="521" w:type="dxa"/>
            <w:vAlign w:val="center"/>
          </w:tcPr>
          <w:p w:rsidR="00EB4BCE" w:rsidRPr="009A4722" w:rsidRDefault="00EB4BCE" w:rsidP="00EB4BCE">
            <w:pPr>
              <w:tabs>
                <w:tab w:val="left" w:pos="567"/>
              </w:tabs>
              <w:spacing w:after="60"/>
            </w:pPr>
            <w:r w:rsidRPr="009A4722">
              <w:t>3.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EB4BCE" w:rsidRPr="00A26D4B" w:rsidRDefault="00EB4BCE" w:rsidP="00EB4BCE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Krstić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J.;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Šojić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Lončarević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Cherkezova–Zheleva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Z.;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Guzsvány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V.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Photodegradation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of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thiacloprid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using Fe/TiO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as a heterogeneous photo– Fenton catalyst.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Appl.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Catal</w:t>
            </w:r>
            <w:proofErr w:type="spellEnd"/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. B: Environ.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>2011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107, 363–371.</w:t>
            </w:r>
          </w:p>
        </w:tc>
        <w:tc>
          <w:tcPr>
            <w:tcW w:w="709" w:type="dxa"/>
            <w:vAlign w:val="center"/>
          </w:tcPr>
          <w:p w:rsidR="00EB4BCE" w:rsidRPr="00EB4BCE" w:rsidRDefault="00EB4BCE" w:rsidP="00EB4BC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M21a</w:t>
            </w:r>
          </w:p>
        </w:tc>
      </w:tr>
      <w:tr w:rsidR="00EB4BCE" w:rsidRPr="00A22864" w:rsidTr="00EB4BCE">
        <w:trPr>
          <w:trHeight w:val="227"/>
        </w:trPr>
        <w:tc>
          <w:tcPr>
            <w:tcW w:w="521" w:type="dxa"/>
            <w:vAlign w:val="center"/>
          </w:tcPr>
          <w:p w:rsidR="00EB4BCE" w:rsidRPr="009A4722" w:rsidRDefault="00EB4BCE" w:rsidP="00EB4BCE">
            <w:pPr>
              <w:tabs>
                <w:tab w:val="left" w:pos="567"/>
              </w:tabs>
              <w:spacing w:after="60"/>
            </w:pPr>
            <w:r w:rsidRPr="009A4722">
              <w:t>4.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EB4BCE" w:rsidRPr="00A26D4B" w:rsidRDefault="00EB4BCE" w:rsidP="00EB4BCE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Šibul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F.;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Orčić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D.; Watson, M.;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Vraneš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M.;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Gadžurić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S. Advanced oxidation processes for the removal of [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bmim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][Sal] third generation ionic liquids: Effect of water matrices and intermediates identification.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RSC Adv.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>2016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6, 52826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–52837. </w:t>
            </w:r>
          </w:p>
        </w:tc>
        <w:tc>
          <w:tcPr>
            <w:tcW w:w="709" w:type="dxa"/>
            <w:vAlign w:val="center"/>
          </w:tcPr>
          <w:p w:rsidR="00EB4BCE" w:rsidRPr="00EB4BCE" w:rsidRDefault="00EB4BCE" w:rsidP="00EB4BC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</w:t>
            </w:r>
          </w:p>
        </w:tc>
      </w:tr>
      <w:tr w:rsidR="00EB4BCE" w:rsidRPr="00A22864" w:rsidTr="00EB4BCE">
        <w:trPr>
          <w:trHeight w:val="227"/>
        </w:trPr>
        <w:tc>
          <w:tcPr>
            <w:tcW w:w="521" w:type="dxa"/>
            <w:vAlign w:val="center"/>
          </w:tcPr>
          <w:p w:rsidR="00EB4BCE" w:rsidRPr="009A4722" w:rsidRDefault="00EB4BCE" w:rsidP="00EB4BCE">
            <w:pPr>
              <w:tabs>
                <w:tab w:val="left" w:pos="567"/>
              </w:tabs>
              <w:spacing w:after="60"/>
            </w:pPr>
            <w:r w:rsidRPr="009A4722">
              <w:t>5.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EB4BCE" w:rsidRPr="00A26D4B" w:rsidRDefault="00EB4BCE" w:rsidP="00EB4BCE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Šojić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D.V.;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Orčić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D.Z.;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Četojević-Simin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D.D.;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N.D.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B.F. Efficient removal of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sulcotrione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and its formulated compound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Tangenta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® in aqueous TiO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suspension: Stability, photoproducts assessment and toxicity.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Chemosphere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>2015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138, 988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–994. </w:t>
            </w:r>
          </w:p>
        </w:tc>
        <w:tc>
          <w:tcPr>
            <w:tcW w:w="709" w:type="dxa"/>
            <w:vAlign w:val="center"/>
          </w:tcPr>
          <w:p w:rsidR="00EB4BCE" w:rsidRPr="00EB4BCE" w:rsidRDefault="00EB4BCE" w:rsidP="00EB4BC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</w:t>
            </w:r>
          </w:p>
        </w:tc>
      </w:tr>
      <w:tr w:rsidR="00EB4BCE" w:rsidRPr="00A22864" w:rsidTr="00EB4BCE">
        <w:trPr>
          <w:trHeight w:val="227"/>
        </w:trPr>
        <w:tc>
          <w:tcPr>
            <w:tcW w:w="521" w:type="dxa"/>
            <w:vAlign w:val="center"/>
          </w:tcPr>
          <w:p w:rsidR="00EB4BCE" w:rsidRPr="009A4722" w:rsidRDefault="00EB4BCE" w:rsidP="00EB4BCE">
            <w:pPr>
              <w:tabs>
                <w:tab w:val="left" w:pos="567"/>
              </w:tabs>
              <w:spacing w:after="60"/>
            </w:pPr>
            <w:r w:rsidRPr="009A4722">
              <w:t>6.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EB4BCE" w:rsidRPr="00A26D4B" w:rsidRDefault="00EB4BCE" w:rsidP="00EB4BCE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Vraneš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M.;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Csanádi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J.;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Gadžurić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S.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Thermochromism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stability and 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thermodynamics of cobalt(II) complexes in newly synthesized nitrate based ionic liquid and its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photostability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Dalton T.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43, 15515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–15525.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EB4BCE" w:rsidRPr="00EB4BCE" w:rsidRDefault="00EB4BCE" w:rsidP="00EB4BC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</w:t>
            </w:r>
          </w:p>
        </w:tc>
      </w:tr>
      <w:tr w:rsidR="00EB4BCE" w:rsidRPr="00A22864" w:rsidTr="00EB4BCE">
        <w:trPr>
          <w:trHeight w:val="227"/>
        </w:trPr>
        <w:tc>
          <w:tcPr>
            <w:tcW w:w="521" w:type="dxa"/>
            <w:vAlign w:val="center"/>
          </w:tcPr>
          <w:p w:rsidR="00EB4BCE" w:rsidRPr="009A4722" w:rsidRDefault="00EB4BCE" w:rsidP="00EB4BCE">
            <w:pPr>
              <w:tabs>
                <w:tab w:val="left" w:pos="567"/>
              </w:tabs>
              <w:spacing w:after="60"/>
            </w:pPr>
            <w:r w:rsidRPr="009A4722">
              <w:t>7.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EB4BCE" w:rsidRPr="00A26D4B" w:rsidRDefault="00EB4BCE" w:rsidP="00EB4BCE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Abramović, B.F.; 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>Banić, N.D.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Krstić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J.B.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Degradation of thiacloprid 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by ZnO in laminar falling film 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slurry photocatalytic reactor.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Ind. Eng. Chem. Res.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>2013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, 52, 5040–5047.</w:t>
            </w:r>
          </w:p>
        </w:tc>
        <w:tc>
          <w:tcPr>
            <w:tcW w:w="709" w:type="dxa"/>
            <w:vAlign w:val="center"/>
          </w:tcPr>
          <w:p w:rsidR="00EB4BCE" w:rsidRPr="00EB4BCE" w:rsidRDefault="00EB4BCE" w:rsidP="00EB4BC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</w:t>
            </w:r>
          </w:p>
        </w:tc>
      </w:tr>
      <w:tr w:rsidR="00EB4BCE" w:rsidRPr="00A22864" w:rsidTr="00EB4BCE">
        <w:trPr>
          <w:trHeight w:val="227"/>
        </w:trPr>
        <w:tc>
          <w:tcPr>
            <w:tcW w:w="521" w:type="dxa"/>
            <w:vAlign w:val="center"/>
          </w:tcPr>
          <w:p w:rsidR="00EB4BCE" w:rsidRPr="009A4722" w:rsidRDefault="00EB4BCE" w:rsidP="00EB4BCE">
            <w:pPr>
              <w:tabs>
                <w:tab w:val="left" w:pos="567"/>
              </w:tabs>
              <w:spacing w:after="60"/>
            </w:pPr>
            <w:r w:rsidRPr="009A4722">
              <w:t>8.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EB4BCE" w:rsidRPr="00A26D4B" w:rsidRDefault="00EB4BCE" w:rsidP="00EB4BCE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Abramović, B.F.; 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>Banić, N.D.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; Šojić, D.V. Degradation of thiacloprid 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in aqueous solution by UV and 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UV/H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pl-PL"/>
              </w:rPr>
              <w:t>2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O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pl-PL"/>
              </w:rPr>
              <w:t>2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treatments. </w:t>
            </w:r>
            <w:r w:rsidRPr="00A26D4B">
              <w:rPr>
                <w:rFonts w:ascii="Times New Roman" w:hAnsi="Times New Roman" w:cs="Times New Roman"/>
                <w:i/>
                <w:sz w:val="16"/>
                <w:szCs w:val="16"/>
                <w:lang w:val="pl-PL"/>
              </w:rPr>
              <w:t>Chemosphere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  <w:lang w:val="pl-PL"/>
              </w:rPr>
              <w:t>2010</w:t>
            </w:r>
            <w:r w:rsidRPr="00A26D4B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, 81, 114–119.</w:t>
            </w:r>
          </w:p>
        </w:tc>
        <w:tc>
          <w:tcPr>
            <w:tcW w:w="709" w:type="dxa"/>
            <w:vAlign w:val="center"/>
          </w:tcPr>
          <w:p w:rsidR="00EB4BCE" w:rsidRPr="00EB4BCE" w:rsidRDefault="00EB4BCE" w:rsidP="00EB4BC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M21</w:t>
            </w:r>
          </w:p>
        </w:tc>
      </w:tr>
      <w:tr w:rsidR="00EB4BCE" w:rsidRPr="00A22864" w:rsidTr="00EB4BCE">
        <w:trPr>
          <w:trHeight w:val="227"/>
        </w:trPr>
        <w:tc>
          <w:tcPr>
            <w:tcW w:w="521" w:type="dxa"/>
            <w:vAlign w:val="center"/>
          </w:tcPr>
          <w:p w:rsidR="00EB4BCE" w:rsidRPr="009A4722" w:rsidRDefault="00EB4BCE" w:rsidP="00EB4BCE">
            <w:pPr>
              <w:tabs>
                <w:tab w:val="left" w:pos="567"/>
              </w:tabs>
              <w:spacing w:after="60"/>
            </w:pPr>
            <w:r w:rsidRPr="009A4722">
              <w:t>9.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EB4BCE" w:rsidRPr="00A26D4B" w:rsidRDefault="00EB4BCE" w:rsidP="00EB4BCE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  <w:lang w:val="pl-PL"/>
              </w:rPr>
              <w:t>Banić, N.D.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Šojić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D.V.;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Krstić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J.B.;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B.F.</w:t>
            </w:r>
            <w:r w:rsidRPr="00A26D4B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noProof/>
                <w:sz w:val="16"/>
                <w:szCs w:val="16"/>
                <w:lang w:val="en-US" w:eastAsia="en-US" w:bidi="ar-SA"/>
              </w:rPr>
              <w:drawing>
                <wp:inline distT="0" distB="0" distL="0" distR="0">
                  <wp:extent cx="35560" cy="35560"/>
                  <wp:effectExtent l="0" t="0" r="0" b="0"/>
                  <wp:docPr id="5" name="Picture 6" descr="https://www.scopus.com/static/images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scopus.com/static/images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" cy="35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A26D4B">
              <w:rPr>
                <w:rFonts w:ascii="Times New Roman" w:hAnsi="Times New Roman" w:cs="Times New Roman"/>
                <w:bCs/>
                <w:kern w:val="36"/>
                <w:sz w:val="16"/>
                <w:szCs w:val="16"/>
              </w:rPr>
              <w:t>Photodegradation</w:t>
            </w:r>
            <w:proofErr w:type="spellEnd"/>
            <w:r w:rsidRPr="00A26D4B">
              <w:rPr>
                <w:rFonts w:ascii="Times New Roman" w:hAnsi="Times New Roman" w:cs="Times New Roman"/>
                <w:bCs/>
                <w:kern w:val="36"/>
                <w:sz w:val="16"/>
                <w:szCs w:val="16"/>
              </w:rPr>
              <w:t xml:space="preserve"> of </w:t>
            </w:r>
            <w:proofErr w:type="spellStart"/>
            <w:r w:rsidRPr="00A26D4B">
              <w:rPr>
                <w:rFonts w:ascii="Times New Roman" w:hAnsi="Times New Roman" w:cs="Times New Roman"/>
                <w:bCs/>
                <w:kern w:val="36"/>
                <w:sz w:val="16"/>
                <w:szCs w:val="16"/>
              </w:rPr>
              <w:t>neonicotinoid</w:t>
            </w:r>
            <w:proofErr w:type="spellEnd"/>
            <w:r w:rsidRPr="00A26D4B">
              <w:rPr>
                <w:rFonts w:ascii="Times New Roman" w:hAnsi="Times New Roman" w:cs="Times New Roman"/>
                <w:bCs/>
                <w:kern w:val="36"/>
                <w:sz w:val="16"/>
                <w:szCs w:val="16"/>
              </w:rPr>
              <w:t xml:space="preserve"> active ingredients and their commercial formulations in water by different advanced oxidation processes. </w:t>
            </w:r>
            <w:r w:rsidRPr="00A26D4B">
              <w:rPr>
                <w:rFonts w:ascii="Times New Roman" w:hAnsi="Times New Roman" w:cs="Times New Roman"/>
                <w:bCs/>
                <w:i/>
                <w:kern w:val="36"/>
                <w:sz w:val="16"/>
                <w:szCs w:val="16"/>
              </w:rPr>
              <w:t>Water Air Soil Poll.</w:t>
            </w:r>
            <w:r w:rsidRPr="00A26D4B">
              <w:rPr>
                <w:rFonts w:ascii="Times New Roman" w:hAnsi="Times New Roman" w:cs="Times New Roman"/>
                <w:bCs/>
                <w:kern w:val="36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bCs/>
                <w:kern w:val="36"/>
                <w:sz w:val="16"/>
                <w:szCs w:val="16"/>
              </w:rPr>
              <w:t>2014</w:t>
            </w:r>
            <w:r w:rsidRPr="00A26D4B">
              <w:rPr>
                <w:rFonts w:ascii="Times New Roman" w:hAnsi="Times New Roman" w:cs="Times New Roman"/>
                <w:bCs/>
                <w:kern w:val="36"/>
                <w:sz w:val="16"/>
                <w:szCs w:val="16"/>
              </w:rPr>
              <w:t xml:space="preserve">, 225, 1954. </w:t>
            </w:r>
          </w:p>
        </w:tc>
        <w:tc>
          <w:tcPr>
            <w:tcW w:w="709" w:type="dxa"/>
            <w:vAlign w:val="center"/>
          </w:tcPr>
          <w:p w:rsidR="00EB4BCE" w:rsidRPr="00EB4BCE" w:rsidRDefault="00EB4BCE" w:rsidP="00EB4BC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M22</w:t>
            </w:r>
          </w:p>
        </w:tc>
      </w:tr>
      <w:tr w:rsidR="00EB4BCE" w:rsidRPr="00A22864" w:rsidTr="00EB4BCE">
        <w:trPr>
          <w:trHeight w:val="227"/>
        </w:trPr>
        <w:tc>
          <w:tcPr>
            <w:tcW w:w="521" w:type="dxa"/>
            <w:vAlign w:val="center"/>
          </w:tcPr>
          <w:p w:rsidR="00EB4BCE" w:rsidRPr="009A4722" w:rsidRDefault="00EB4BCE" w:rsidP="00EB4BCE">
            <w:pPr>
              <w:tabs>
                <w:tab w:val="left" w:pos="567"/>
              </w:tabs>
              <w:spacing w:after="60"/>
            </w:pPr>
            <w:r w:rsidRPr="009A4722">
              <w:t>10.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EB4BCE" w:rsidRPr="00A26D4B" w:rsidRDefault="00EB4BCE" w:rsidP="00EB4BCE">
            <w:pPr>
              <w:pStyle w:val="ECVSectionBullet"/>
              <w:ind w:left="113" w:hanging="106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Guzsvány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V.;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Banić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 N.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; Papp, Z.;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Gaál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F.;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, B. Comparison of different iron–based catalysts for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photocatalytic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removal of </w:t>
            </w:r>
            <w:proofErr w:type="spellStart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imidacloprid</w:t>
            </w:r>
            <w:proofErr w:type="spellEnd"/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Reac</w:t>
            </w:r>
            <w:proofErr w:type="spellEnd"/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. </w:t>
            </w:r>
            <w:proofErr w:type="spellStart"/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Kinet</w:t>
            </w:r>
            <w:proofErr w:type="spellEnd"/>
            <w:r w:rsidRPr="00A26D4B">
              <w:rPr>
                <w:rFonts w:ascii="Times New Roman" w:hAnsi="Times New Roman" w:cs="Times New Roman"/>
                <w:i/>
                <w:sz w:val="16"/>
                <w:szCs w:val="16"/>
              </w:rPr>
              <w:t>. Mech. Cat.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6D4B">
              <w:rPr>
                <w:rFonts w:ascii="Times New Roman" w:hAnsi="Times New Roman" w:cs="Times New Roman"/>
                <w:b/>
                <w:sz w:val="16"/>
                <w:szCs w:val="16"/>
              </w:rPr>
              <w:t>2010</w:t>
            </w:r>
            <w:r w:rsidRPr="00A26D4B">
              <w:rPr>
                <w:rFonts w:ascii="Times New Roman" w:hAnsi="Times New Roman" w:cs="Times New Roman"/>
                <w:sz w:val="16"/>
                <w:szCs w:val="16"/>
              </w:rPr>
              <w:t>, 99, 225–233.</w:t>
            </w:r>
          </w:p>
        </w:tc>
        <w:tc>
          <w:tcPr>
            <w:tcW w:w="709" w:type="dxa"/>
            <w:vAlign w:val="center"/>
          </w:tcPr>
          <w:p w:rsidR="00EB4BCE" w:rsidRPr="00EB4BCE" w:rsidRDefault="00EB4BCE" w:rsidP="00EB4BC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4BCE">
              <w:rPr>
                <w:sz w:val="16"/>
                <w:szCs w:val="16"/>
              </w:rPr>
              <w:t>M23</w:t>
            </w:r>
          </w:p>
        </w:tc>
      </w:tr>
      <w:tr w:rsidR="00637D53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37D53" w:rsidRPr="00A22864" w:rsidTr="00475EDE">
        <w:trPr>
          <w:trHeight w:val="227"/>
        </w:trPr>
        <w:tc>
          <w:tcPr>
            <w:tcW w:w="4929" w:type="dxa"/>
            <w:gridSpan w:val="5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637D53" w:rsidRPr="00F04213" w:rsidRDefault="00BC4721" w:rsidP="00475EDE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Укупан број цитата </w:t>
            </w:r>
            <w:r>
              <w:t>126</w:t>
            </w:r>
            <w:r>
              <w:rPr>
                <w:lang w:val="sr-Cyrl-CS"/>
              </w:rPr>
              <w:t xml:space="preserve">, без аутоцитата </w:t>
            </w:r>
            <w:r>
              <w:rPr>
                <w:lang w:val="en-US"/>
              </w:rPr>
              <w:t>110</w:t>
            </w:r>
          </w:p>
        </w:tc>
      </w:tr>
      <w:tr w:rsidR="00637D53" w:rsidRPr="00A22864" w:rsidTr="00475EDE">
        <w:trPr>
          <w:trHeight w:val="227"/>
        </w:trPr>
        <w:tc>
          <w:tcPr>
            <w:tcW w:w="4929" w:type="dxa"/>
            <w:gridSpan w:val="5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637D53" w:rsidRPr="00F04213" w:rsidRDefault="00F04213" w:rsidP="00475EDE">
            <w:pPr>
              <w:tabs>
                <w:tab w:val="left" w:pos="567"/>
              </w:tabs>
              <w:spacing w:after="60"/>
            </w:pPr>
            <w:r>
              <w:t>13</w:t>
            </w:r>
          </w:p>
        </w:tc>
      </w:tr>
      <w:tr w:rsidR="00637D53" w:rsidRPr="00A22864" w:rsidTr="00475EDE">
        <w:trPr>
          <w:trHeight w:val="227"/>
        </w:trPr>
        <w:tc>
          <w:tcPr>
            <w:tcW w:w="4929" w:type="dxa"/>
            <w:gridSpan w:val="5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637D53" w:rsidRPr="00F04213" w:rsidRDefault="00637D53" w:rsidP="00475ED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 w:rsidR="00F04213">
              <w:t xml:space="preserve"> (1)</w:t>
            </w:r>
          </w:p>
        </w:tc>
        <w:tc>
          <w:tcPr>
            <w:tcW w:w="2165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</w:tbl>
    <w:p w:rsidR="00637D53" w:rsidRDefault="00637D53"/>
    <w:p w:rsidR="00637D53" w:rsidRDefault="00637D53"/>
    <w:p w:rsidR="00637D53" w:rsidRDefault="00637D53"/>
    <w:p w:rsidR="00637D53" w:rsidRDefault="00637D53"/>
    <w:p w:rsidR="00637D53" w:rsidRDefault="00637D53"/>
    <w:p w:rsidR="00637D53" w:rsidRDefault="00637D53"/>
    <w:p w:rsidR="00637D53" w:rsidRDefault="00637D53"/>
    <w:p w:rsidR="00637D53" w:rsidRDefault="00637D53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F04213" w:rsidRDefault="00F04213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sectPr w:rsidR="00F04213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637D53"/>
    <w:rsid w:val="00041B5C"/>
    <w:rsid w:val="004202A2"/>
    <w:rsid w:val="00637D53"/>
    <w:rsid w:val="00925998"/>
    <w:rsid w:val="009A4722"/>
    <w:rsid w:val="00B07B84"/>
    <w:rsid w:val="00BC4721"/>
    <w:rsid w:val="00C66362"/>
    <w:rsid w:val="00EB4BCE"/>
    <w:rsid w:val="00EF1FE7"/>
    <w:rsid w:val="00F04213"/>
    <w:rsid w:val="00F53599"/>
    <w:rsid w:val="00FA2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VSectionBullet">
    <w:name w:val="_ECV_SectionBullet"/>
    <w:basedOn w:val="Normal"/>
    <w:rsid w:val="00EB4BCE"/>
    <w:pPr>
      <w:suppressLineNumbers/>
      <w:suppressAutoHyphens/>
      <w:autoSpaceDN/>
      <w:adjustRightInd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BCE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7</cp:revision>
  <dcterms:created xsi:type="dcterms:W3CDTF">2017-02-23T12:14:00Z</dcterms:created>
  <dcterms:modified xsi:type="dcterms:W3CDTF">2017-06-05T11:58:00Z</dcterms:modified>
</cp:coreProperties>
</file>