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F34668" w:rsidRDefault="00F114D8" w:rsidP="00F3466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pPr w:leftFromText="180" w:rightFromText="180" w:vertAnchor="text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494"/>
        <w:gridCol w:w="611"/>
      </w:tblGrid>
      <w:tr w:rsidR="00F114D8" w:rsidRPr="00A22864" w:rsidTr="00F34668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C316D3" w:rsidRDefault="00C316D3" w:rsidP="00F34668">
            <w:pPr>
              <w:tabs>
                <w:tab w:val="left" w:pos="567"/>
              </w:tabs>
              <w:spacing w:after="60"/>
            </w:pPr>
            <w:r>
              <w:t>Мирјана Радановић</w:t>
            </w:r>
          </w:p>
        </w:tc>
      </w:tr>
      <w:tr w:rsidR="00F114D8" w:rsidRPr="00A22864" w:rsidTr="00F34668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F114D8" w:rsidRPr="00A22864" w:rsidTr="00F34668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114D8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6411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1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F114D8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A22864" w:rsidRDefault="00F114D8" w:rsidP="00E449B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F114D8" w:rsidRPr="00F34668" w:rsidTr="00F34668">
        <w:trPr>
          <w:trHeight w:val="227"/>
        </w:trPr>
        <w:tc>
          <w:tcPr>
            <w:tcW w:w="521" w:type="dxa"/>
            <w:vAlign w:val="center"/>
          </w:tcPr>
          <w:p w:rsidR="00F114D8" w:rsidRPr="00F34668" w:rsidRDefault="002418C1" w:rsidP="00F3466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 xml:space="preserve">1. 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114D8" w:rsidRPr="00F34668" w:rsidRDefault="002418C1" w:rsidP="00F34668">
            <w:pPr>
              <w:tabs>
                <w:tab w:val="left" w:pos="567"/>
              </w:tabs>
              <w:spacing w:after="60"/>
              <w:rPr>
                <w:bCs/>
                <w:sz w:val="16"/>
                <w:szCs w:val="16"/>
                <w:lang w:val="sr-Cyrl-CS"/>
              </w:rPr>
            </w:pPr>
            <w:r w:rsidRPr="00F34668">
              <w:rPr>
                <w:sz w:val="16"/>
                <w:szCs w:val="16"/>
              </w:rPr>
              <w:t xml:space="preserve">S. B. Novaković, </w:t>
            </w:r>
            <w:r w:rsidRPr="00F34668">
              <w:rPr>
                <w:b/>
                <w:sz w:val="16"/>
                <w:szCs w:val="16"/>
              </w:rPr>
              <w:t>M. Lalović</w:t>
            </w:r>
            <w:r w:rsidRPr="00F34668">
              <w:rPr>
                <w:sz w:val="16"/>
                <w:szCs w:val="16"/>
              </w:rPr>
              <w:t>, V. Divjaković, LJ. S. Vojinović-Ješić, V. I. Češljević</w:t>
            </w:r>
            <w:r w:rsidRPr="00F34668">
              <w:rPr>
                <w:sz w:val="16"/>
                <w:szCs w:val="16"/>
                <w:lang w:val="sr-Cyrl-CS"/>
              </w:rPr>
              <w:t>, “</w:t>
            </w:r>
            <w:r w:rsidRPr="00F34668">
              <w:rPr>
                <w:sz w:val="16"/>
                <w:szCs w:val="16"/>
                <w:lang w:val="en-US"/>
              </w:rPr>
              <w:t>Amino</w:t>
            </w:r>
            <w:r w:rsidRPr="00F34668">
              <w:rPr>
                <w:sz w:val="16"/>
                <w:szCs w:val="16"/>
                <w:lang w:val="sr-Cyrl-CS"/>
              </w:rPr>
              <w:t>(5-{2-[</w:t>
            </w:r>
            <w:r w:rsidRPr="00F34668">
              <w:rPr>
                <w:sz w:val="16"/>
                <w:szCs w:val="16"/>
                <w:lang w:val="en-US"/>
              </w:rPr>
              <w:t>amino</w:t>
            </w:r>
            <w:r w:rsidRPr="00F34668">
              <w:rPr>
                <w:sz w:val="16"/>
                <w:szCs w:val="16"/>
                <w:lang w:val="sr-Cyrl-CS"/>
              </w:rPr>
              <w:t>(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iminio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)</w:t>
            </w:r>
            <w:r w:rsidRPr="00F34668">
              <w:rPr>
                <w:sz w:val="16"/>
                <w:szCs w:val="16"/>
                <w:lang w:val="en-US"/>
              </w:rPr>
              <w:t>methyl</w:t>
            </w:r>
            <w:r w:rsidRPr="00F34668">
              <w:rPr>
                <w:sz w:val="16"/>
                <w:szCs w:val="16"/>
                <w:lang w:val="sr-Cyrl-CS"/>
              </w:rPr>
              <w:t>]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hydrazin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-1-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yl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}-3,5-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dimethyl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-4,5-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dihydro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-1</w:t>
            </w:r>
            <w:r w:rsidRPr="00F34668">
              <w:rPr>
                <w:sz w:val="16"/>
                <w:szCs w:val="16"/>
                <w:lang w:val="en-US"/>
              </w:rPr>
              <w:t>H</w:t>
            </w:r>
            <w:r w:rsidRPr="00F34668">
              <w:rPr>
                <w:sz w:val="16"/>
                <w:szCs w:val="16"/>
                <w:lang w:val="sr-Cyrl-CS"/>
              </w:rPr>
              <w:t>-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pyrazol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-1-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yl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)</w:t>
            </w:r>
            <w:proofErr w:type="spellStart"/>
            <w:r w:rsidRPr="00F34668">
              <w:rPr>
                <w:sz w:val="16"/>
                <w:szCs w:val="16"/>
                <w:lang w:val="en-US"/>
              </w:rPr>
              <w:t>methaniminiumdinitrate</w:t>
            </w:r>
            <w:proofErr w:type="spellEnd"/>
            <w:r w:rsidRPr="00F34668">
              <w:rPr>
                <w:sz w:val="16"/>
                <w:szCs w:val="16"/>
                <w:lang w:val="sr-Cyrl-CS"/>
              </w:rPr>
              <w:t>“,</w:t>
            </w:r>
            <w:proofErr w:type="spellStart"/>
            <w:r w:rsidRPr="00F34668">
              <w:rPr>
                <w:i/>
                <w:sz w:val="16"/>
                <w:szCs w:val="16"/>
                <w:lang w:val="en-US"/>
              </w:rPr>
              <w:t>ActaCryst</w:t>
            </w:r>
            <w:proofErr w:type="spellEnd"/>
            <w:r w:rsidRPr="00F34668">
              <w:rPr>
                <w:b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b/>
                <w:sz w:val="16"/>
                <w:szCs w:val="16"/>
                <w:lang w:val="en-US"/>
              </w:rPr>
              <w:t>E</w:t>
            </w:r>
            <w:r w:rsidRPr="00F34668">
              <w:rPr>
                <w:b/>
                <w:sz w:val="16"/>
                <w:szCs w:val="16"/>
                <w:lang w:val="sr-Cyrl-CS"/>
              </w:rPr>
              <w:t>66</w:t>
            </w:r>
            <w:r w:rsidRPr="00F34668">
              <w:rPr>
                <w:sz w:val="16"/>
                <w:szCs w:val="16"/>
                <w:lang w:val="sr-Cyrl-CS"/>
              </w:rPr>
              <w:t xml:space="preserve"> (2010) 191</w:t>
            </w:r>
            <w:r w:rsidRPr="00F34668">
              <w:rPr>
                <w:sz w:val="16"/>
                <w:szCs w:val="16"/>
                <w:lang w:val="en-US"/>
              </w:rPr>
              <w:t>6</w:t>
            </w:r>
            <w:r w:rsidRPr="00F34668">
              <w:rPr>
                <w:sz w:val="16"/>
                <w:szCs w:val="16"/>
                <w:lang w:val="sr-Cyrl-CS"/>
              </w:rPr>
              <w:t xml:space="preserve">. </w:t>
            </w:r>
          </w:p>
        </w:tc>
        <w:tc>
          <w:tcPr>
            <w:tcW w:w="611" w:type="dxa"/>
            <w:vAlign w:val="center"/>
          </w:tcPr>
          <w:p w:rsidR="00F114D8" w:rsidRPr="00F34668" w:rsidRDefault="0035599E" w:rsidP="00F3466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</w:t>
            </w:r>
            <w:r w:rsidR="002418C1" w:rsidRPr="00F34668">
              <w:rPr>
                <w:sz w:val="16"/>
                <w:szCs w:val="16"/>
                <w:lang w:val="en-US"/>
              </w:rPr>
              <w:t>23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 xml:space="preserve">2. 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707A67" w:rsidRDefault="00604867" w:rsidP="00E449BB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604867">
              <w:rPr>
                <w:rFonts w:ascii="Times New Roman" w:hAnsi="Times New Roman"/>
                <w:sz w:val="16"/>
                <w:szCs w:val="16"/>
                <w:lang w:val="sr-Latn-CS"/>
              </w:rPr>
              <w:t>LJ. S. Vojinović-Ješić</w:t>
            </w:r>
            <w:r w:rsidRPr="00707A67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, V. M. Leovac, </w:t>
            </w:r>
            <w:bookmarkStart w:id="0" w:name="_GoBack"/>
            <w:r w:rsidRPr="00604867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M. M. Lalović</w:t>
            </w:r>
            <w:bookmarkEnd w:id="0"/>
            <w:r w:rsidRPr="00707A67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,</w:t>
            </w:r>
            <w:r w:rsidRPr="00707A67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V. I. Češljević, LJ. S. Jovanović, M. V. Rodić, V. Divjaković, “Transition metal complexes with thiosemicarbazide-based ligands. </w:t>
            </w:r>
            <w:r w:rsidRPr="00707A67">
              <w:rPr>
                <w:rFonts w:ascii="Times New Roman" w:hAnsi="Times New Roman"/>
                <w:sz w:val="16"/>
                <w:szCs w:val="16"/>
              </w:rPr>
              <w:t xml:space="preserve">Part 58. Synthesis, spectral and structural characterization of </w:t>
            </w:r>
            <w:proofErr w:type="spellStart"/>
            <w:r w:rsidRPr="00707A67">
              <w:rPr>
                <w:rFonts w:ascii="Times New Roman" w:hAnsi="Times New Roman"/>
                <w:sz w:val="16"/>
                <w:szCs w:val="16"/>
              </w:rPr>
              <w:t>dioxoyanadium</w:t>
            </w:r>
            <w:proofErr w:type="spellEnd"/>
            <w:r w:rsidRPr="00707A67">
              <w:rPr>
                <w:rFonts w:ascii="Times New Roman" w:hAnsi="Times New Roman"/>
                <w:sz w:val="16"/>
                <w:szCs w:val="16"/>
              </w:rPr>
              <w:t xml:space="preserve">(V) complexes with </w:t>
            </w:r>
            <w:proofErr w:type="spellStart"/>
            <w:r w:rsidRPr="00707A67">
              <w:rPr>
                <w:rFonts w:ascii="Times New Roman" w:hAnsi="Times New Roman"/>
                <w:sz w:val="16"/>
                <w:szCs w:val="16"/>
              </w:rPr>
              <w:t>salicylaldehyde</w:t>
            </w:r>
            <w:proofErr w:type="spellEnd"/>
            <w:r w:rsidRPr="00707A6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707A67">
              <w:rPr>
                <w:rFonts w:ascii="Times New Roman" w:hAnsi="Times New Roman"/>
                <w:sz w:val="16"/>
                <w:szCs w:val="16"/>
              </w:rPr>
              <w:t>thiosemicarbazone</w:t>
            </w:r>
            <w:proofErr w:type="spellEnd"/>
            <w:r w:rsidRPr="00707A67">
              <w:rPr>
                <w:rFonts w:ascii="Times New Roman" w:hAnsi="Times New Roman"/>
                <w:sz w:val="16"/>
                <w:szCs w:val="16"/>
              </w:rPr>
              <w:t xml:space="preserve">”, </w:t>
            </w:r>
            <w:r w:rsidRPr="00707A6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J. Serb. Chem. Soc. </w:t>
            </w:r>
            <w:r w:rsidRPr="00707A67">
              <w:rPr>
                <w:rFonts w:ascii="Times New Roman" w:hAnsi="Times New Roman"/>
                <w:b/>
                <w:iCs/>
                <w:sz w:val="16"/>
                <w:szCs w:val="16"/>
              </w:rPr>
              <w:t>76</w:t>
            </w:r>
            <w:r w:rsidRPr="00707A67">
              <w:rPr>
                <w:rFonts w:ascii="Times New Roman" w:hAnsi="Times New Roman"/>
                <w:sz w:val="16"/>
                <w:szCs w:val="16"/>
              </w:rPr>
              <w:t xml:space="preserve"> (2011) 865.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M23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Lalović</w:t>
            </w:r>
            <w:proofErr w:type="spellEnd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I.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Češljević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M. 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Rodi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Divjaković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“Syntheses, crystal structures and, electrochemical characterizations two octahedral iron(III) complexes with Schiff base of pyridoxal and aminoguanidine”, </w:t>
            </w:r>
            <w:r w:rsidRPr="00F34668">
              <w:rPr>
                <w:rFonts w:ascii="Times New Roman" w:hAnsi="Times New Roman"/>
                <w:i/>
                <w:sz w:val="16"/>
                <w:szCs w:val="16"/>
              </w:rPr>
              <w:t xml:space="preserve">J. </w:t>
            </w:r>
            <w:proofErr w:type="spellStart"/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Coord</w:t>
            </w:r>
            <w:proofErr w:type="spellEnd"/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. Chem.</w:t>
            </w: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65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(2012) 4217.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M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M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Lalovi</w:t>
            </w:r>
            <w:proofErr w:type="spellEnd"/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ć,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LJ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ć-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Je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LJ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V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M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V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I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. Č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e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ljevi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V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Divjakovi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ć, “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Synthesis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characterizationandcrystalstructureofsquare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-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pyramidalcopper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(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II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complexeswithpyridoxylideneaminoguanidine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proofErr w:type="spellStart"/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Inorg</w:t>
            </w:r>
            <w:proofErr w:type="spellEnd"/>
            <w:r w:rsidRPr="00F34668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Chim</w:t>
            </w:r>
            <w:proofErr w:type="spellEnd"/>
            <w:r w:rsidRPr="00F34668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Acta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388 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(2012) 157.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M. G. Jelić, N. Boukos, 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M.M. Lalović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N. Ž. Romčević, V. M. Leovac, B. B. Hadžić, S. S. Baloš, LJ. S. Jovanović, M. P. Slankamenac, M. B. Živanov, LJ. S. Vojinović-Ješić, 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“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>Synthesis, structure and photoluminescence properties of copper(II) and cobalt(III) complexes with pyridoxalaminoguanidine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r w:rsidRPr="00F34668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Opt</w:t>
            </w:r>
            <w:r w:rsidRPr="00F34668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Mater</w:t>
            </w:r>
            <w:r w:rsidRPr="00F34668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3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5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>(201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>3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>2728.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M21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6.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Lalović</w:t>
            </w:r>
            <w:proofErr w:type="spellEnd"/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V. M.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M. 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I.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Češljević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>, “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Dioxidovanadium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(V) complexes with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pyridoxalaminoguanidine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 — synthesis, spectral and structural characterization”, </w:t>
            </w:r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J. Serb. Chem. Soc.</w:t>
            </w: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 xml:space="preserve">78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(2013) 1161.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M23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7.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M. G. Jelić, 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N. Ž. Romčević, B. B. Hadžić, </w:t>
            </w:r>
            <w:r w:rsidRPr="00F34668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M.M. </w:t>
            </w:r>
            <w:proofErr w:type="spellStart"/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Lalović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M. P. Slankamenac, M. B. Živanov, </w:t>
            </w:r>
            <w:r w:rsidRPr="00F34668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F34668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>Photoluminescence study of cobalt (III) and copper (II) complexes with the Schiff base of pyridoxal and aminoguanidine</w:t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34668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 xml:space="preserve">Phys. </w:t>
            </w:r>
            <w:proofErr w:type="spellStart"/>
            <w:r w:rsidRPr="00F34668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Scripta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T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162</w:t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(2014) 1.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LJ. S. </w:t>
            </w:r>
            <w:proofErr w:type="spellStart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Vojinović-Ješić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M. V. </w:t>
            </w:r>
            <w:proofErr w:type="spellStart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Rodić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Jovanović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V. I. </w:t>
            </w:r>
            <w:proofErr w:type="spellStart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Češljević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, M. D. </w:t>
            </w:r>
            <w:proofErr w:type="spellStart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Joksović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34668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 xml:space="preserve"> “</w:t>
            </w:r>
            <w:hyperlink r:id="rId5" w:history="1"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 xml:space="preserve">Syntheses, structures and spectral characterization of copper(II) and </w:t>
              </w:r>
              <w:proofErr w:type="spellStart"/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dioxidovanadium</w:t>
              </w:r>
              <w:proofErr w:type="spellEnd"/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 xml:space="preserve">(V) complexes with </w:t>
              </w:r>
              <w:proofErr w:type="spellStart"/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salicylidene-aminoguanidine</w:t>
              </w:r>
              <w:proofErr w:type="spellEnd"/>
            </w:hyperlink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 </w:t>
            </w:r>
            <w:r w:rsidRPr="00F34668">
              <w:rPr>
                <w:rFonts w:ascii="Times New Roman" w:hAnsi="Times New Roman"/>
                <w:i/>
                <w:sz w:val="16"/>
                <w:szCs w:val="16"/>
              </w:rPr>
              <w:t>Polyhedron</w:t>
            </w:r>
            <w:r w:rsidRPr="00F34668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(2014) 90.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M. G. Jelić, 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N. Ž. Romčević, </w:t>
            </w:r>
            <w:r w:rsidRPr="00F3466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N. Boukos, 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LJ. S. Vojinović-Ješić,V. M. Leovac, B. B. Hadžić, B. M. Bajac, L. F. Nađ, S. S. Baloš, </w:t>
            </w:r>
            <w:r w:rsidRPr="00F34668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hyperlink r:id="rId6" w:history="1"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Synthesis, structure and photoluminescence of (PLAGH)</w:t>
              </w:r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  <w:vertAlign w:val="subscript"/>
                </w:rPr>
                <w:t>2</w:t>
              </w:r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[ZnCl</w:t>
              </w:r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  <w:vertAlign w:val="subscript"/>
                </w:rPr>
                <w:t>4</w:t>
              </w:r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 xml:space="preserve">] and comparative analysis of photoluminescence properties with </w:t>
              </w:r>
              <w:r w:rsidRPr="00F34668">
                <w:rPr>
                  <w:rFonts w:ascii="Times New Roman" w:hAnsi="Times New Roman"/>
                  <w:bCs/>
                  <w:i/>
                  <w:color w:val="000000" w:themeColor="text1"/>
                  <w:sz w:val="16"/>
                  <w:szCs w:val="16"/>
                </w:rPr>
                <w:t>tris</w:t>
              </w:r>
              <w:r w:rsidRPr="00F34668">
                <w:rPr>
                  <w:rFonts w:ascii="Times New Roman" w:hAnsi="Times New Roman"/>
                  <w:bCs/>
                  <w:color w:val="000000" w:themeColor="text1"/>
                  <w:sz w:val="16"/>
                  <w:szCs w:val="16"/>
                </w:rPr>
                <w:t>(2,2’-bipyridine)ruthenium(II)</w:t>
              </w:r>
            </w:hyperlink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34668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Mater. Res. Bull.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70</w:t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(2015) 951.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M21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sz w:val="16"/>
                <w:szCs w:val="16"/>
              </w:rPr>
              <w:t xml:space="preserve">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Vojinović-Ješić,LJ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M. 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B. Hollo, K.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  <w:lang w:val="en-GB"/>
              </w:rPr>
              <w:t>MészárosSzécsényi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S. A.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Ivković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34668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Transition metal complexes with thiosemicarbazide-based ligands. 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Part 63. Syntheses, structures and physicochemical characterization of the first chromium(III) complexes with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pyridoxal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 semi- and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thiosemicarbazones</w:t>
            </w:r>
            <w:proofErr w:type="spellEnd"/>
            <w:r w:rsidR="00965635" w:rsidRPr="00F34668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F34668">
              <w:rPr>
                <w:rFonts w:ascii="Times New Roman" w:hAnsi="Times New Roman"/>
                <w:sz w:val="16"/>
                <w:szCs w:val="16"/>
              </w:rPr>
              <w:instrText xml:space="preserve"> HYPERLINK "http://www.sciencedirect.com.proxy.kobson.nb.rs:2048/science/article/pii/S0277538714000680" </w:instrText>
            </w:r>
            <w:r w:rsidR="00965635" w:rsidRPr="00F34668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34668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 xml:space="preserve">Polyhedron 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101</w:t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(2015) 196.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34668">
              <w:rPr>
                <w:rFonts w:ascii="Times New Roman" w:hAnsi="Times New Roman"/>
                <w:sz w:val="16"/>
                <w:szCs w:val="16"/>
              </w:rPr>
              <w:t xml:space="preserve">M. G.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Jelić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D. G.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Georgiadou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M. M. </w:t>
            </w:r>
            <w:proofErr w:type="spellStart"/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N. Ž.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Romčević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K. P. Giannakopoulos, V. M.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L. F.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Nađ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34668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F34668">
              <w:rPr>
                <w:rFonts w:ascii="Times New Roman" w:hAnsi="Times New Roman"/>
                <w:sz w:val="16"/>
                <w:szCs w:val="16"/>
                <w:lang w:val="sr-Latn-CS"/>
              </w:rPr>
              <w:t>Efficient electron injecting layer for PLEDs based on (PLAGH)</w:t>
            </w:r>
            <w:r w:rsidRPr="00F34668">
              <w:rPr>
                <w:rFonts w:ascii="Times New Roman" w:hAnsi="Times New Roman"/>
                <w:sz w:val="16"/>
                <w:szCs w:val="16"/>
                <w:vertAlign w:val="subscript"/>
                <w:lang w:val="sr-Latn-CS"/>
              </w:rPr>
              <w:t>2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[ZnCl</w:t>
            </w:r>
            <w:r w:rsidRPr="00F34668">
              <w:rPr>
                <w:rFonts w:ascii="Times New Roman" w:hAnsi="Times New Roman"/>
                <w:sz w:val="16"/>
                <w:szCs w:val="16"/>
                <w:vertAlign w:val="subscript"/>
              </w:rPr>
              <w:t>4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]</w:t>
            </w:r>
            <w:hyperlink r:id="rId7" w:history="1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34668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 xml:space="preserve">Opt. Quant. Electron. 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48</w:t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(2016) 276.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12.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34668">
              <w:rPr>
                <w:rFonts w:ascii="Times New Roman" w:hAnsi="Times New Roman"/>
                <w:sz w:val="16"/>
                <w:szCs w:val="16"/>
              </w:rPr>
              <w:t xml:space="preserve">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>,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 M. M. </w:t>
            </w:r>
            <w:proofErr w:type="spellStart"/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 xml:space="preserve"> M. 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Živković-Radovanović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F34668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3466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34668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F34668">
              <w:rPr>
                <w:rFonts w:ascii="Times New Roman" w:hAnsi="Times New Roman"/>
                <w:sz w:val="16"/>
                <w:szCs w:val="16"/>
              </w:rPr>
              <w:t>Syntheses and characterization of 2-acetylpyridine-aminoguanidine and its copper(II) complexes: Crystallographic and antimicrobial study</w:t>
            </w:r>
            <w:hyperlink r:id="rId8" w:history="1"/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34668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 xml:space="preserve">Polyhedron </w:t>
            </w:r>
            <w:r w:rsidRPr="00F34668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117 </w:t>
            </w:r>
            <w:r w:rsidRPr="00F34668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(2016) 526.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M22</w:t>
            </w:r>
          </w:p>
        </w:tc>
      </w:tr>
      <w:tr w:rsidR="00604867" w:rsidRPr="00F34668" w:rsidTr="00F34668">
        <w:trPr>
          <w:trHeight w:val="227"/>
        </w:trPr>
        <w:tc>
          <w:tcPr>
            <w:tcW w:w="52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34668">
              <w:rPr>
                <w:sz w:val="16"/>
                <w:szCs w:val="16"/>
                <w:lang w:val="en-US"/>
              </w:rPr>
              <w:t>13.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F34668">
              <w:rPr>
                <w:sz w:val="16"/>
                <w:szCs w:val="16"/>
              </w:rPr>
              <w:t xml:space="preserve">Lj. S. Vojinović-Ješić, </w:t>
            </w:r>
            <w:r w:rsidRPr="00F34668">
              <w:rPr>
                <w:b/>
                <w:sz w:val="16"/>
                <w:szCs w:val="16"/>
              </w:rPr>
              <w:t>M. M. Radanović</w:t>
            </w:r>
            <w:r w:rsidRPr="00F34668">
              <w:rPr>
                <w:sz w:val="16"/>
                <w:szCs w:val="16"/>
              </w:rPr>
              <w:t xml:space="preserve">, </w:t>
            </w:r>
            <w:r w:rsidRPr="00F34668">
              <w:rPr>
                <w:i/>
                <w:sz w:val="16"/>
                <w:szCs w:val="16"/>
              </w:rPr>
              <w:t>Koordinaciona hemija aminogvanidina i njegovih Šifovih baza</w:t>
            </w:r>
            <w:r w:rsidRPr="00F34668">
              <w:rPr>
                <w:sz w:val="16"/>
                <w:szCs w:val="16"/>
              </w:rPr>
              <w:t>, Prirodno-matematički fakultet, Univerzitet u Novom Sadu, Novi Sad, 2017.</w:t>
            </w:r>
          </w:p>
        </w:tc>
        <w:tc>
          <w:tcPr>
            <w:tcW w:w="611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34668">
              <w:rPr>
                <w:sz w:val="16"/>
                <w:szCs w:val="16"/>
                <w:lang w:val="en-US"/>
              </w:rPr>
              <w:t>M</w:t>
            </w:r>
            <w:r w:rsidRPr="00F34668">
              <w:rPr>
                <w:sz w:val="16"/>
                <w:szCs w:val="16"/>
              </w:rPr>
              <w:t>42</w:t>
            </w:r>
          </w:p>
        </w:tc>
      </w:tr>
      <w:tr w:rsidR="00604867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604867" w:rsidRPr="00A22864" w:rsidRDefault="00604867" w:rsidP="0060486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04867" w:rsidRPr="00A22864" w:rsidTr="00F34668">
        <w:trPr>
          <w:trHeight w:val="227"/>
        </w:trPr>
        <w:tc>
          <w:tcPr>
            <w:tcW w:w="4929" w:type="dxa"/>
            <w:gridSpan w:val="5"/>
            <w:vAlign w:val="center"/>
          </w:tcPr>
          <w:p w:rsidR="00604867" w:rsidRPr="00A22864" w:rsidRDefault="00604867" w:rsidP="0060486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</w:pPr>
            <w:r>
              <w:t>13</w:t>
            </w:r>
          </w:p>
        </w:tc>
      </w:tr>
      <w:tr w:rsidR="00604867" w:rsidRPr="00A22864" w:rsidTr="00F34668">
        <w:trPr>
          <w:trHeight w:val="227"/>
        </w:trPr>
        <w:tc>
          <w:tcPr>
            <w:tcW w:w="4929" w:type="dxa"/>
            <w:gridSpan w:val="5"/>
            <w:vAlign w:val="center"/>
          </w:tcPr>
          <w:p w:rsidR="00604867" w:rsidRPr="00A22864" w:rsidRDefault="00604867" w:rsidP="0060486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</w:pPr>
            <w:r>
              <w:t>13</w:t>
            </w:r>
          </w:p>
        </w:tc>
      </w:tr>
      <w:tr w:rsidR="00604867" w:rsidRPr="00A22864" w:rsidTr="00F34668">
        <w:trPr>
          <w:trHeight w:val="227"/>
        </w:trPr>
        <w:tc>
          <w:tcPr>
            <w:tcW w:w="4929" w:type="dxa"/>
            <w:gridSpan w:val="5"/>
            <w:vAlign w:val="center"/>
          </w:tcPr>
          <w:p w:rsidR="00604867" w:rsidRPr="00A22864" w:rsidRDefault="00604867" w:rsidP="0060486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2165" w:type="dxa"/>
            <w:gridSpan w:val="3"/>
            <w:vAlign w:val="center"/>
          </w:tcPr>
          <w:p w:rsidR="00604867" w:rsidRPr="00F34668" w:rsidRDefault="00604867" w:rsidP="00604867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>
              <w:t xml:space="preserve"> 1</w:t>
            </w:r>
          </w:p>
        </w:tc>
      </w:tr>
      <w:tr w:rsidR="00604867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604867" w:rsidRPr="00A22864" w:rsidRDefault="00604867" w:rsidP="0060486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</w:rPr>
              <w:t>Од 2011. године је члан Маркетинг тима Департмана за хемију, биохемију и заштиту животне средине.</w:t>
            </w:r>
          </w:p>
        </w:tc>
      </w:tr>
    </w:tbl>
    <w:p w:rsidR="00F114D8" w:rsidRPr="00AE46B7" w:rsidRDefault="00F114D8" w:rsidP="00F114D8">
      <w:pPr>
        <w:tabs>
          <w:tab w:val="left" w:pos="567"/>
        </w:tabs>
        <w:spacing w:after="60"/>
        <w:jc w:val="both"/>
        <w:rPr>
          <w:b/>
          <w:u w:val="single"/>
        </w:rPr>
      </w:pPr>
    </w:p>
    <w:sectPr w:rsidR="00F114D8" w:rsidRPr="00AE46B7" w:rsidSect="00F3466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D78B5"/>
    <w:multiLevelType w:val="hybridMultilevel"/>
    <w:tmpl w:val="B1F8FC50"/>
    <w:lvl w:ilvl="0" w:tplc="5406E23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stylePaneSortMethod w:val="0000"/>
  <w:defaultTabStop w:val="708"/>
  <w:hyphenationZone w:val="425"/>
  <w:characterSpacingControl w:val="doNotCompress"/>
  <w:compat/>
  <w:rsids>
    <w:rsidRoot w:val="003B184E"/>
    <w:rsid w:val="000C6118"/>
    <w:rsid w:val="00225F78"/>
    <w:rsid w:val="002418C1"/>
    <w:rsid w:val="0035599E"/>
    <w:rsid w:val="00362012"/>
    <w:rsid w:val="003811D4"/>
    <w:rsid w:val="003B184E"/>
    <w:rsid w:val="00425332"/>
    <w:rsid w:val="0047093C"/>
    <w:rsid w:val="00581788"/>
    <w:rsid w:val="00597359"/>
    <w:rsid w:val="00604867"/>
    <w:rsid w:val="006635DD"/>
    <w:rsid w:val="008939BF"/>
    <w:rsid w:val="00965635"/>
    <w:rsid w:val="00AE46B7"/>
    <w:rsid w:val="00C316D3"/>
    <w:rsid w:val="00E449BB"/>
    <w:rsid w:val="00F114D8"/>
    <w:rsid w:val="00F3466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2418C1"/>
    <w:pPr>
      <w:ind w:left="720"/>
      <w:contextualSpacing/>
    </w:pPr>
  </w:style>
  <w:style w:type="paragraph" w:styleId="NoSpacing">
    <w:name w:val="No Spacing"/>
    <w:uiPriority w:val="1"/>
    <w:qFormat/>
    <w:rsid w:val="002418C1"/>
    <w:rPr>
      <w:rFonts w:ascii="Calibri" w:eastAsia="Calibri" w:hAnsi="Calibri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.proxy.kobson.nb.rs:2048/science/article/pii/S027753871400068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.proxy.kobson.nb.rs:2048/science/article/pii/S02775387140006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article/pii/S0277538714000680" TargetMode="External"/><Relationship Id="rId5" Type="http://schemas.openxmlformats.org/officeDocument/2006/relationships/hyperlink" Target="http://www.sciencedirect.com.proxy.kobson.nb.rs:2048/science/article/pii/S027753871400068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nemanja</cp:lastModifiedBy>
  <cp:revision>3</cp:revision>
  <dcterms:created xsi:type="dcterms:W3CDTF">2017-06-15T12:25:00Z</dcterms:created>
  <dcterms:modified xsi:type="dcterms:W3CDTF">2017-06-15T12:32:00Z</dcterms:modified>
</cp:coreProperties>
</file>