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5B" w:rsidRDefault="00C2195B" w:rsidP="00C2195B">
      <w:pPr>
        <w:tabs>
          <w:tab w:val="left" w:pos="567"/>
        </w:tabs>
        <w:spacing w:after="60"/>
        <w:jc w:val="both"/>
        <w:rPr>
          <w:sz w:val="22"/>
          <w:szCs w:val="22"/>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698"/>
        <w:gridCol w:w="845"/>
        <w:gridCol w:w="1262"/>
        <w:gridCol w:w="1202"/>
        <w:gridCol w:w="2404"/>
        <w:gridCol w:w="60"/>
        <w:gridCol w:w="2597"/>
        <w:gridCol w:w="630"/>
      </w:tblGrid>
      <w:tr w:rsidR="00561040" w:rsidRPr="00A22864" w:rsidTr="00561040">
        <w:trPr>
          <w:trHeight w:val="227"/>
        </w:trPr>
        <w:tc>
          <w:tcPr>
            <w:tcW w:w="3727" w:type="dxa"/>
            <w:gridSpan w:val="5"/>
            <w:vAlign w:val="center"/>
          </w:tcPr>
          <w:p w:rsidR="00561040" w:rsidRPr="00A22864" w:rsidRDefault="00561040" w:rsidP="00561040">
            <w:pPr>
              <w:tabs>
                <w:tab w:val="left" w:pos="567"/>
              </w:tabs>
              <w:spacing w:after="60"/>
              <w:rPr>
                <w:lang w:val="sr-Cyrl-CS"/>
              </w:rPr>
            </w:pPr>
            <w:r w:rsidRPr="00A22864">
              <w:rPr>
                <w:b/>
                <w:lang w:val="sr-Cyrl-CS"/>
              </w:rPr>
              <w:t>Име и презиме</w:t>
            </w:r>
          </w:p>
        </w:tc>
        <w:tc>
          <w:tcPr>
            <w:tcW w:w="6893" w:type="dxa"/>
            <w:gridSpan w:val="5"/>
            <w:vAlign w:val="center"/>
          </w:tcPr>
          <w:p w:rsidR="00561040" w:rsidRPr="005E671A" w:rsidRDefault="00561040" w:rsidP="00561040">
            <w:pPr>
              <w:tabs>
                <w:tab w:val="left" w:pos="567"/>
              </w:tabs>
              <w:spacing w:after="60"/>
              <w:rPr>
                <w:lang w:val="sr-Cyrl-CS"/>
              </w:rPr>
            </w:pPr>
            <w:r>
              <w:rPr>
                <w:lang w:val="sr-Cyrl-CS"/>
              </w:rPr>
              <w:t>Снежана Малетић</w:t>
            </w:r>
          </w:p>
        </w:tc>
      </w:tr>
      <w:tr w:rsidR="00561040" w:rsidRPr="00A22864" w:rsidTr="00561040">
        <w:trPr>
          <w:trHeight w:val="227"/>
        </w:trPr>
        <w:tc>
          <w:tcPr>
            <w:tcW w:w="3727" w:type="dxa"/>
            <w:gridSpan w:val="5"/>
            <w:vAlign w:val="center"/>
          </w:tcPr>
          <w:p w:rsidR="00561040" w:rsidRPr="00A22864" w:rsidRDefault="00561040" w:rsidP="00561040">
            <w:pPr>
              <w:tabs>
                <w:tab w:val="left" w:pos="567"/>
              </w:tabs>
              <w:spacing w:after="60"/>
              <w:rPr>
                <w:lang w:val="sr-Cyrl-CS"/>
              </w:rPr>
            </w:pPr>
            <w:r w:rsidRPr="00A22864">
              <w:rPr>
                <w:b/>
                <w:lang w:val="sr-Cyrl-CS"/>
              </w:rPr>
              <w:t>Звање</w:t>
            </w:r>
          </w:p>
        </w:tc>
        <w:tc>
          <w:tcPr>
            <w:tcW w:w="6893" w:type="dxa"/>
            <w:gridSpan w:val="5"/>
            <w:vAlign w:val="center"/>
          </w:tcPr>
          <w:p w:rsidR="00561040" w:rsidRPr="005E671A" w:rsidRDefault="00561040" w:rsidP="00561040">
            <w:pPr>
              <w:tabs>
                <w:tab w:val="left" w:pos="567"/>
              </w:tabs>
              <w:spacing w:after="60"/>
              <w:rPr>
                <w:lang w:val="sr-Cyrl-CS"/>
              </w:rPr>
            </w:pPr>
            <w:r>
              <w:rPr>
                <w:lang w:val="sr-Cyrl-CS"/>
              </w:rPr>
              <w:t>Ванредни професор</w:t>
            </w:r>
          </w:p>
        </w:tc>
      </w:tr>
      <w:tr w:rsidR="00561040" w:rsidRPr="00A22864" w:rsidTr="00561040">
        <w:trPr>
          <w:trHeight w:val="227"/>
        </w:trPr>
        <w:tc>
          <w:tcPr>
            <w:tcW w:w="3727" w:type="dxa"/>
            <w:gridSpan w:val="5"/>
            <w:vAlign w:val="center"/>
          </w:tcPr>
          <w:p w:rsidR="00561040" w:rsidRPr="00A22864" w:rsidRDefault="00561040" w:rsidP="00561040">
            <w:pPr>
              <w:tabs>
                <w:tab w:val="left" w:pos="567"/>
              </w:tabs>
              <w:spacing w:after="60"/>
              <w:rPr>
                <w:lang w:val="sr-Cyrl-CS"/>
              </w:rPr>
            </w:pPr>
            <w:r w:rsidRPr="00A22864">
              <w:rPr>
                <w:b/>
                <w:lang w:val="sr-Cyrl-CS"/>
              </w:rPr>
              <w:t>Ужа научна област</w:t>
            </w:r>
          </w:p>
        </w:tc>
        <w:tc>
          <w:tcPr>
            <w:tcW w:w="6893" w:type="dxa"/>
            <w:gridSpan w:val="5"/>
            <w:vAlign w:val="center"/>
          </w:tcPr>
          <w:p w:rsidR="00561040" w:rsidRPr="005E671A" w:rsidRDefault="00561040" w:rsidP="00561040">
            <w:pPr>
              <w:tabs>
                <w:tab w:val="left" w:pos="567"/>
              </w:tabs>
              <w:spacing w:after="60"/>
              <w:rPr>
                <w:lang w:val="sr-Cyrl-CS"/>
              </w:rPr>
            </w:pPr>
            <w:r>
              <w:rPr>
                <w:lang w:val="sr-Cyrl-CS"/>
              </w:rPr>
              <w:t>Заштита животне средине</w:t>
            </w:r>
          </w:p>
        </w:tc>
      </w:tr>
      <w:tr w:rsidR="00561040" w:rsidRPr="00A22864" w:rsidTr="00561040">
        <w:trPr>
          <w:trHeight w:val="227"/>
        </w:trPr>
        <w:tc>
          <w:tcPr>
            <w:tcW w:w="2465" w:type="dxa"/>
            <w:gridSpan w:val="4"/>
            <w:vAlign w:val="center"/>
          </w:tcPr>
          <w:p w:rsidR="00561040" w:rsidRPr="00A22864" w:rsidRDefault="00561040" w:rsidP="00561040">
            <w:pPr>
              <w:tabs>
                <w:tab w:val="left" w:pos="567"/>
              </w:tabs>
              <w:spacing w:after="60"/>
              <w:rPr>
                <w:lang w:val="sr-Cyrl-CS"/>
              </w:rPr>
            </w:pPr>
            <w:r w:rsidRPr="00A22864">
              <w:rPr>
                <w:b/>
                <w:lang w:val="sr-Cyrl-CS"/>
              </w:rPr>
              <w:t>Академска каријера</w:t>
            </w:r>
          </w:p>
        </w:tc>
        <w:tc>
          <w:tcPr>
            <w:tcW w:w="1262" w:type="dxa"/>
            <w:vAlign w:val="center"/>
          </w:tcPr>
          <w:p w:rsidR="00561040" w:rsidRPr="00A22864" w:rsidRDefault="00561040" w:rsidP="00561040">
            <w:pPr>
              <w:tabs>
                <w:tab w:val="left" w:pos="567"/>
              </w:tabs>
              <w:spacing w:after="60"/>
              <w:rPr>
                <w:lang w:val="sr-Cyrl-CS"/>
              </w:rPr>
            </w:pPr>
            <w:r w:rsidRPr="00A22864">
              <w:rPr>
                <w:lang w:val="sr-Cyrl-CS"/>
              </w:rPr>
              <w:t xml:space="preserve">Година </w:t>
            </w:r>
          </w:p>
        </w:tc>
        <w:tc>
          <w:tcPr>
            <w:tcW w:w="3666" w:type="dxa"/>
            <w:gridSpan w:val="3"/>
            <w:vAlign w:val="center"/>
          </w:tcPr>
          <w:p w:rsidR="00561040" w:rsidRPr="00A22864" w:rsidRDefault="00561040" w:rsidP="00561040">
            <w:pPr>
              <w:tabs>
                <w:tab w:val="left" w:pos="567"/>
              </w:tabs>
              <w:spacing w:after="60"/>
              <w:rPr>
                <w:lang w:val="sr-Cyrl-CS"/>
              </w:rPr>
            </w:pPr>
            <w:r w:rsidRPr="00A22864">
              <w:rPr>
                <w:lang w:val="sr-Cyrl-CS"/>
              </w:rPr>
              <w:t xml:space="preserve">Институција </w:t>
            </w:r>
          </w:p>
        </w:tc>
        <w:tc>
          <w:tcPr>
            <w:tcW w:w="3227" w:type="dxa"/>
            <w:gridSpan w:val="2"/>
            <w:vAlign w:val="center"/>
          </w:tcPr>
          <w:p w:rsidR="00561040" w:rsidRPr="00A22864" w:rsidRDefault="00561040" w:rsidP="00561040">
            <w:pPr>
              <w:tabs>
                <w:tab w:val="left" w:pos="567"/>
              </w:tabs>
              <w:spacing w:after="60"/>
              <w:rPr>
                <w:lang w:val="sr-Cyrl-CS"/>
              </w:rPr>
            </w:pPr>
            <w:r w:rsidRPr="00A22864">
              <w:rPr>
                <w:lang w:val="sr-Cyrl-CS"/>
              </w:rPr>
              <w:t xml:space="preserve">Област </w:t>
            </w:r>
          </w:p>
        </w:tc>
      </w:tr>
      <w:tr w:rsidR="00561040" w:rsidRPr="00A22864" w:rsidTr="00561040">
        <w:trPr>
          <w:trHeight w:val="227"/>
        </w:trPr>
        <w:tc>
          <w:tcPr>
            <w:tcW w:w="2465" w:type="dxa"/>
            <w:gridSpan w:val="4"/>
            <w:vAlign w:val="center"/>
          </w:tcPr>
          <w:p w:rsidR="00561040" w:rsidRPr="00A22864" w:rsidRDefault="00561040" w:rsidP="00561040">
            <w:pPr>
              <w:tabs>
                <w:tab w:val="left" w:pos="567"/>
              </w:tabs>
              <w:spacing w:after="60"/>
              <w:rPr>
                <w:lang w:val="sr-Cyrl-CS"/>
              </w:rPr>
            </w:pPr>
            <w:r w:rsidRPr="00A22864">
              <w:rPr>
                <w:lang w:val="sr-Cyrl-CS"/>
              </w:rPr>
              <w:t>Избор у звање</w:t>
            </w:r>
          </w:p>
        </w:tc>
        <w:tc>
          <w:tcPr>
            <w:tcW w:w="1262" w:type="dxa"/>
            <w:vAlign w:val="center"/>
          </w:tcPr>
          <w:p w:rsidR="00561040" w:rsidRPr="005E671A" w:rsidRDefault="00561040" w:rsidP="00561040">
            <w:pPr>
              <w:tabs>
                <w:tab w:val="left" w:pos="567"/>
              </w:tabs>
              <w:spacing w:after="60"/>
              <w:rPr>
                <w:lang w:val="sr-Cyrl-CS"/>
              </w:rPr>
            </w:pPr>
            <w:r>
              <w:rPr>
                <w:lang w:val="sr-Cyrl-CS"/>
              </w:rPr>
              <w:t>2016</w:t>
            </w:r>
          </w:p>
        </w:tc>
        <w:tc>
          <w:tcPr>
            <w:tcW w:w="3666" w:type="dxa"/>
            <w:gridSpan w:val="3"/>
            <w:vAlign w:val="center"/>
          </w:tcPr>
          <w:p w:rsidR="00561040" w:rsidRPr="005E671A" w:rsidRDefault="00561040" w:rsidP="00561040">
            <w:pPr>
              <w:tabs>
                <w:tab w:val="left" w:pos="567"/>
              </w:tabs>
              <w:spacing w:after="60"/>
              <w:rPr>
                <w:lang w:val="sr-Cyrl-CS"/>
              </w:rPr>
            </w:pPr>
            <w:r>
              <w:rPr>
                <w:lang w:val="sr-Cyrl-CS"/>
              </w:rPr>
              <w:t>Универзитет у Новом Саду, Природно маатематички-факултет</w:t>
            </w:r>
          </w:p>
        </w:tc>
        <w:tc>
          <w:tcPr>
            <w:tcW w:w="3227" w:type="dxa"/>
            <w:gridSpan w:val="2"/>
            <w:vAlign w:val="center"/>
          </w:tcPr>
          <w:p w:rsidR="00561040" w:rsidRPr="005E671A" w:rsidRDefault="00561040" w:rsidP="00561040">
            <w:pPr>
              <w:tabs>
                <w:tab w:val="left" w:pos="567"/>
              </w:tabs>
              <w:spacing w:after="60"/>
              <w:rPr>
                <w:lang w:val="sr-Cyrl-CS"/>
              </w:rPr>
            </w:pPr>
            <w:r>
              <w:rPr>
                <w:lang w:val="sr-Cyrl-CS"/>
              </w:rPr>
              <w:t>Заштита животне средине</w:t>
            </w:r>
          </w:p>
        </w:tc>
      </w:tr>
      <w:tr w:rsidR="00561040" w:rsidRPr="00A22864" w:rsidTr="00561040">
        <w:trPr>
          <w:trHeight w:val="227"/>
        </w:trPr>
        <w:tc>
          <w:tcPr>
            <w:tcW w:w="2465" w:type="dxa"/>
            <w:gridSpan w:val="4"/>
            <w:vAlign w:val="center"/>
          </w:tcPr>
          <w:p w:rsidR="00561040" w:rsidRPr="00A22864" w:rsidRDefault="00561040" w:rsidP="00561040">
            <w:pPr>
              <w:tabs>
                <w:tab w:val="left" w:pos="567"/>
              </w:tabs>
              <w:spacing w:after="60"/>
              <w:rPr>
                <w:lang w:val="sr-Cyrl-CS"/>
              </w:rPr>
            </w:pPr>
            <w:r w:rsidRPr="00A22864">
              <w:rPr>
                <w:lang w:val="sr-Cyrl-CS"/>
              </w:rPr>
              <w:t>Докторат</w:t>
            </w:r>
          </w:p>
        </w:tc>
        <w:tc>
          <w:tcPr>
            <w:tcW w:w="1262" w:type="dxa"/>
            <w:vAlign w:val="center"/>
          </w:tcPr>
          <w:p w:rsidR="00561040" w:rsidRPr="005E671A" w:rsidRDefault="00561040" w:rsidP="00561040">
            <w:pPr>
              <w:tabs>
                <w:tab w:val="left" w:pos="567"/>
              </w:tabs>
              <w:spacing w:after="60"/>
              <w:rPr>
                <w:lang w:val="sr-Cyrl-CS"/>
              </w:rPr>
            </w:pPr>
            <w:r>
              <w:rPr>
                <w:lang w:val="sr-Cyrl-CS"/>
              </w:rPr>
              <w:t>2010</w:t>
            </w:r>
          </w:p>
        </w:tc>
        <w:tc>
          <w:tcPr>
            <w:tcW w:w="3666" w:type="dxa"/>
            <w:gridSpan w:val="3"/>
            <w:vAlign w:val="center"/>
          </w:tcPr>
          <w:p w:rsidR="00561040" w:rsidRPr="005E671A" w:rsidRDefault="00561040" w:rsidP="00561040">
            <w:pPr>
              <w:tabs>
                <w:tab w:val="left" w:pos="567"/>
              </w:tabs>
              <w:spacing w:after="60"/>
              <w:rPr>
                <w:lang w:val="sr-Cyrl-CS"/>
              </w:rPr>
            </w:pPr>
            <w:r>
              <w:rPr>
                <w:lang w:val="sr-Cyrl-CS"/>
              </w:rPr>
              <w:t>Универзитет у Новом Саду, Природно маатематички-факултет</w:t>
            </w:r>
          </w:p>
        </w:tc>
        <w:tc>
          <w:tcPr>
            <w:tcW w:w="3227" w:type="dxa"/>
            <w:gridSpan w:val="2"/>
            <w:vAlign w:val="center"/>
          </w:tcPr>
          <w:p w:rsidR="00561040" w:rsidRPr="00F06946" w:rsidRDefault="00561040" w:rsidP="00561040">
            <w:pPr>
              <w:tabs>
                <w:tab w:val="left" w:pos="567"/>
              </w:tabs>
              <w:spacing w:after="60"/>
            </w:pPr>
            <w:r>
              <w:t>Хемија</w:t>
            </w:r>
          </w:p>
        </w:tc>
      </w:tr>
      <w:tr w:rsidR="00561040" w:rsidRPr="00A22864" w:rsidTr="00561040">
        <w:trPr>
          <w:trHeight w:val="227"/>
        </w:trPr>
        <w:tc>
          <w:tcPr>
            <w:tcW w:w="2465" w:type="dxa"/>
            <w:gridSpan w:val="4"/>
            <w:vAlign w:val="center"/>
          </w:tcPr>
          <w:p w:rsidR="00561040" w:rsidRPr="00A22864" w:rsidRDefault="00561040" w:rsidP="00561040">
            <w:pPr>
              <w:tabs>
                <w:tab w:val="left" w:pos="567"/>
              </w:tabs>
              <w:spacing w:after="60"/>
              <w:rPr>
                <w:lang w:val="sr-Cyrl-CS"/>
              </w:rPr>
            </w:pPr>
            <w:r w:rsidRPr="00A22864">
              <w:rPr>
                <w:lang w:val="sr-Cyrl-CS"/>
              </w:rPr>
              <w:t>Диплома</w:t>
            </w:r>
          </w:p>
        </w:tc>
        <w:tc>
          <w:tcPr>
            <w:tcW w:w="1262" w:type="dxa"/>
            <w:vAlign w:val="center"/>
          </w:tcPr>
          <w:p w:rsidR="00561040" w:rsidRPr="005E671A" w:rsidRDefault="00561040" w:rsidP="00561040">
            <w:pPr>
              <w:tabs>
                <w:tab w:val="left" w:pos="567"/>
              </w:tabs>
              <w:spacing w:after="60"/>
              <w:rPr>
                <w:lang w:val="sr-Cyrl-CS"/>
              </w:rPr>
            </w:pPr>
            <w:r>
              <w:rPr>
                <w:lang w:val="sr-Cyrl-CS"/>
              </w:rPr>
              <w:t>2003</w:t>
            </w:r>
          </w:p>
        </w:tc>
        <w:tc>
          <w:tcPr>
            <w:tcW w:w="3666" w:type="dxa"/>
            <w:gridSpan w:val="3"/>
            <w:vAlign w:val="center"/>
          </w:tcPr>
          <w:p w:rsidR="00561040" w:rsidRPr="005E671A" w:rsidRDefault="00561040" w:rsidP="00561040">
            <w:pPr>
              <w:tabs>
                <w:tab w:val="left" w:pos="567"/>
              </w:tabs>
              <w:spacing w:after="60"/>
              <w:rPr>
                <w:lang w:val="sr-Cyrl-CS"/>
              </w:rPr>
            </w:pPr>
            <w:r>
              <w:rPr>
                <w:lang w:val="sr-Cyrl-CS"/>
              </w:rPr>
              <w:t>Универзитет у Новом Саду, Природно маатематички-факултет</w:t>
            </w:r>
          </w:p>
        </w:tc>
        <w:tc>
          <w:tcPr>
            <w:tcW w:w="3227" w:type="dxa"/>
            <w:gridSpan w:val="2"/>
            <w:vAlign w:val="center"/>
          </w:tcPr>
          <w:p w:rsidR="00561040" w:rsidRPr="005E671A" w:rsidRDefault="00561040" w:rsidP="00561040">
            <w:pPr>
              <w:tabs>
                <w:tab w:val="left" w:pos="567"/>
              </w:tabs>
              <w:spacing w:after="60"/>
              <w:rPr>
                <w:lang w:val="sr-Cyrl-CS"/>
              </w:rPr>
            </w:pPr>
            <w:r>
              <w:rPr>
                <w:lang w:val="sr-Cyrl-CS"/>
              </w:rPr>
              <w:t>Хемија</w:t>
            </w:r>
          </w:p>
        </w:tc>
      </w:tr>
      <w:tr w:rsidR="00561040" w:rsidRPr="00A22864" w:rsidTr="00561040">
        <w:trPr>
          <w:trHeight w:val="227"/>
        </w:trPr>
        <w:tc>
          <w:tcPr>
            <w:tcW w:w="10620" w:type="dxa"/>
            <w:gridSpan w:val="10"/>
            <w:vAlign w:val="center"/>
          </w:tcPr>
          <w:p w:rsidR="00561040" w:rsidRPr="00A22864" w:rsidRDefault="00561040" w:rsidP="00561040">
            <w:pPr>
              <w:tabs>
                <w:tab w:val="left" w:pos="567"/>
              </w:tabs>
              <w:spacing w:after="60"/>
              <w:rPr>
                <w:lang w:val="sr-Cyrl-CS"/>
              </w:rPr>
            </w:pPr>
            <w:r w:rsidRPr="00A22864">
              <w:rPr>
                <w:b/>
                <w:lang w:val="sr-Cyrl-CS"/>
              </w:rPr>
              <w:t>Списак предмета које наставник држи у текућој школској години</w:t>
            </w:r>
          </w:p>
        </w:tc>
      </w:tr>
      <w:tr w:rsidR="00561040" w:rsidRPr="00A22864" w:rsidTr="00561040">
        <w:trPr>
          <w:trHeight w:val="227"/>
        </w:trPr>
        <w:tc>
          <w:tcPr>
            <w:tcW w:w="922" w:type="dxa"/>
            <w:gridSpan w:val="2"/>
            <w:vAlign w:val="center"/>
          </w:tcPr>
          <w:p w:rsidR="00561040" w:rsidRPr="00A22864" w:rsidRDefault="00561040" w:rsidP="00561040">
            <w:pPr>
              <w:tabs>
                <w:tab w:val="left" w:pos="567"/>
              </w:tabs>
              <w:spacing w:after="60"/>
              <w:rPr>
                <w:lang w:val="sr-Cyrl-CS"/>
              </w:rPr>
            </w:pPr>
            <w:r w:rsidRPr="00A22864">
              <w:rPr>
                <w:lang w:val="sr-Cyrl-CS"/>
              </w:rPr>
              <w:t>Р.Б.</w:t>
            </w:r>
          </w:p>
        </w:tc>
        <w:tc>
          <w:tcPr>
            <w:tcW w:w="6411" w:type="dxa"/>
            <w:gridSpan w:val="5"/>
            <w:vAlign w:val="center"/>
          </w:tcPr>
          <w:p w:rsidR="00561040" w:rsidRPr="00A22864" w:rsidRDefault="00561040" w:rsidP="00561040">
            <w:pPr>
              <w:tabs>
                <w:tab w:val="left" w:pos="567"/>
              </w:tabs>
              <w:spacing w:after="60"/>
              <w:rPr>
                <w:lang w:val="sr-Cyrl-CS"/>
              </w:rPr>
            </w:pPr>
            <w:r w:rsidRPr="00A22864">
              <w:rPr>
                <w:iCs/>
                <w:lang w:val="sr-Cyrl-CS"/>
              </w:rPr>
              <w:t>Назив предмета</w:t>
            </w:r>
          </w:p>
        </w:tc>
        <w:tc>
          <w:tcPr>
            <w:tcW w:w="3287" w:type="dxa"/>
            <w:gridSpan w:val="3"/>
            <w:vAlign w:val="center"/>
          </w:tcPr>
          <w:p w:rsidR="00561040" w:rsidRPr="00A22864" w:rsidRDefault="00561040" w:rsidP="00561040">
            <w:pPr>
              <w:tabs>
                <w:tab w:val="left" w:pos="567"/>
              </w:tabs>
              <w:spacing w:after="60"/>
              <w:rPr>
                <w:lang w:val="sr-Cyrl-CS"/>
              </w:rPr>
            </w:pPr>
            <w:r w:rsidRPr="00A22864">
              <w:rPr>
                <w:lang w:val="sr-Cyrl-CS"/>
              </w:rPr>
              <w:t>Врста студија</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sidRPr="005E671A">
              <w:rPr>
                <w:lang w:val="sr-Cyrl-CS"/>
              </w:rPr>
              <w:t>1.</w:t>
            </w:r>
          </w:p>
        </w:tc>
        <w:tc>
          <w:tcPr>
            <w:tcW w:w="6411" w:type="dxa"/>
            <w:gridSpan w:val="5"/>
            <w:vAlign w:val="center"/>
          </w:tcPr>
          <w:p w:rsidR="00B331F1" w:rsidRPr="005E671A" w:rsidRDefault="00B331F1" w:rsidP="002B6626">
            <w:pPr>
              <w:tabs>
                <w:tab w:val="left" w:pos="567"/>
              </w:tabs>
              <w:spacing w:after="40"/>
              <w:rPr>
                <w:lang w:val="sr-Cyrl-CS"/>
              </w:rPr>
            </w:pPr>
            <w:r>
              <w:rPr>
                <w:lang w:val="sr-Cyrl-CS"/>
              </w:rPr>
              <w:t>Заштита земљишта (</w:t>
            </w:r>
            <w:r>
              <w:t xml:space="preserve"> </w:t>
            </w:r>
            <m:oMath>
              <m:f>
                <m:fPr>
                  <m:ctrlPr>
                    <w:rPr>
                      <w:rFonts w:ascii="Cambria Math" w:hAnsi="Cambria Math"/>
                      <w:i/>
                    </w:rPr>
                  </m:ctrlPr>
                </m:fPr>
                <m:num>
                  <m:r>
                    <w:rPr>
                      <w:rFonts w:ascii="Cambria Math" w:hAnsi="Cambria Math"/>
                    </w:rPr>
                    <m:t>2</m:t>
                  </m:r>
                </m:num>
                <m:den>
                  <m:r>
                    <w:rPr>
                      <w:rFonts w:ascii="Cambria Math" w:hAnsi="Cambria Math"/>
                    </w:rPr>
                    <m:t>3</m:t>
                  </m:r>
                </m:den>
              </m:f>
            </m:oMath>
            <w:r>
              <w:t xml:space="preserve"> курса)</w:t>
            </w:r>
          </w:p>
        </w:tc>
        <w:tc>
          <w:tcPr>
            <w:tcW w:w="3287" w:type="dxa"/>
            <w:gridSpan w:val="3"/>
            <w:vAlign w:val="center"/>
          </w:tcPr>
          <w:p w:rsidR="00B331F1" w:rsidRPr="005E671A" w:rsidRDefault="00B331F1" w:rsidP="002B6626">
            <w:pPr>
              <w:tabs>
                <w:tab w:val="left" w:pos="567"/>
              </w:tabs>
              <w:spacing w:after="40"/>
              <w:rPr>
                <w:lang w:val="sr-Cyrl-CS"/>
              </w:rPr>
            </w:pPr>
            <w:r>
              <w:rPr>
                <w:lang w:val="sr-Cyrl-CS"/>
              </w:rPr>
              <w:t>Основне студије</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sidRPr="005E671A">
              <w:rPr>
                <w:lang w:val="sr-Cyrl-CS"/>
              </w:rPr>
              <w:t>2.</w:t>
            </w:r>
          </w:p>
        </w:tc>
        <w:tc>
          <w:tcPr>
            <w:tcW w:w="6411" w:type="dxa"/>
            <w:gridSpan w:val="5"/>
            <w:vAlign w:val="center"/>
          </w:tcPr>
          <w:p w:rsidR="00B331F1" w:rsidRPr="005A06F8" w:rsidRDefault="00B331F1" w:rsidP="002B6626">
            <w:pPr>
              <w:tabs>
                <w:tab w:val="left" w:pos="567"/>
              </w:tabs>
              <w:spacing w:after="40"/>
            </w:pPr>
            <w:r>
              <w:rPr>
                <w:lang w:val="sr-Cyrl-CS"/>
              </w:rPr>
              <w:t>Извори и контрола загађивања животне средине</w:t>
            </w:r>
            <w:r>
              <w:rPr>
                <w:lang w:val="en-US"/>
              </w:rPr>
              <w:t xml:space="preserve"> </w:t>
            </w:r>
            <w:r>
              <w:rPr>
                <w:lang w:val="sr-Cyrl-CS"/>
              </w:rPr>
              <w:t>(</w:t>
            </w:r>
            <w:r>
              <w:t xml:space="preserve">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курса)</w:t>
            </w:r>
          </w:p>
        </w:tc>
        <w:tc>
          <w:tcPr>
            <w:tcW w:w="3287" w:type="dxa"/>
            <w:gridSpan w:val="3"/>
            <w:vAlign w:val="center"/>
          </w:tcPr>
          <w:p w:rsidR="00B331F1" w:rsidRPr="005E671A" w:rsidRDefault="00B331F1" w:rsidP="002B6626">
            <w:pPr>
              <w:tabs>
                <w:tab w:val="left" w:pos="567"/>
              </w:tabs>
              <w:spacing w:after="40"/>
              <w:rPr>
                <w:lang w:val="sr-Cyrl-CS"/>
              </w:rPr>
            </w:pPr>
            <w:r>
              <w:rPr>
                <w:lang w:val="sr-Cyrl-CS"/>
              </w:rPr>
              <w:t>Основне студије</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sidRPr="005E671A">
              <w:rPr>
                <w:lang w:val="sr-Cyrl-CS"/>
              </w:rPr>
              <w:t>3.</w:t>
            </w:r>
          </w:p>
        </w:tc>
        <w:tc>
          <w:tcPr>
            <w:tcW w:w="6411" w:type="dxa"/>
            <w:gridSpan w:val="5"/>
            <w:vAlign w:val="center"/>
          </w:tcPr>
          <w:p w:rsidR="00B331F1" w:rsidRPr="005E671A" w:rsidRDefault="00B331F1" w:rsidP="002B6626">
            <w:pPr>
              <w:tabs>
                <w:tab w:val="left" w:pos="567"/>
              </w:tabs>
              <w:spacing w:after="40"/>
              <w:rPr>
                <w:lang w:val="sr-Cyrl-CS"/>
              </w:rPr>
            </w:pPr>
            <w:r>
              <w:rPr>
                <w:lang w:val="sr-Cyrl-CS"/>
              </w:rPr>
              <w:t xml:space="preserve">Примена ААС и ИЦП-МС у анализи животне средине </w:t>
            </w:r>
          </w:p>
        </w:tc>
        <w:tc>
          <w:tcPr>
            <w:tcW w:w="3287" w:type="dxa"/>
            <w:gridSpan w:val="3"/>
            <w:vAlign w:val="center"/>
          </w:tcPr>
          <w:p w:rsidR="00B331F1" w:rsidRPr="005E671A" w:rsidRDefault="00B331F1" w:rsidP="002B6626">
            <w:pPr>
              <w:tabs>
                <w:tab w:val="left" w:pos="567"/>
              </w:tabs>
              <w:spacing w:after="40"/>
              <w:rPr>
                <w:lang w:val="sr-Cyrl-CS"/>
              </w:rPr>
            </w:pPr>
            <w:r>
              <w:rPr>
                <w:lang w:val="sr-Cyrl-CS"/>
              </w:rPr>
              <w:t>Основне студије</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Pr>
                <w:lang w:val="sr-Cyrl-CS"/>
              </w:rPr>
              <w:t>4.</w:t>
            </w:r>
          </w:p>
        </w:tc>
        <w:tc>
          <w:tcPr>
            <w:tcW w:w="6411" w:type="dxa"/>
            <w:gridSpan w:val="5"/>
            <w:vAlign w:val="center"/>
          </w:tcPr>
          <w:p w:rsidR="00B331F1" w:rsidRPr="005E671A" w:rsidRDefault="00B331F1" w:rsidP="002B6626">
            <w:pPr>
              <w:tabs>
                <w:tab w:val="left" w:pos="567"/>
              </w:tabs>
              <w:spacing w:after="60"/>
              <w:rPr>
                <w:lang w:val="sr-Cyrl-CS"/>
              </w:rPr>
            </w:pPr>
            <w:r>
              <w:rPr>
                <w:lang w:val="sr-Cyrl-CS"/>
              </w:rPr>
              <w:t>Чврст отпад (</w:t>
            </w:r>
            <w:r>
              <w:t xml:space="preserve"> </w:t>
            </w:r>
            <m:oMath>
              <m:f>
                <m:fPr>
                  <m:ctrlPr>
                    <w:rPr>
                      <w:rFonts w:ascii="Cambria Math" w:hAnsi="Cambria Math"/>
                      <w:i/>
                    </w:rPr>
                  </m:ctrlPr>
                </m:fPr>
                <m:num>
                  <m:r>
                    <w:rPr>
                      <w:rFonts w:ascii="Cambria Math" w:hAnsi="Cambria Math"/>
                    </w:rPr>
                    <m:t>2</m:t>
                  </m:r>
                </m:num>
                <m:den>
                  <m:r>
                    <w:rPr>
                      <w:rFonts w:ascii="Cambria Math" w:hAnsi="Cambria Math"/>
                    </w:rPr>
                    <m:t>3</m:t>
                  </m:r>
                </m:den>
              </m:f>
            </m:oMath>
            <w:r>
              <w:t xml:space="preserve"> курса)</w:t>
            </w:r>
          </w:p>
        </w:tc>
        <w:tc>
          <w:tcPr>
            <w:tcW w:w="3287" w:type="dxa"/>
            <w:gridSpan w:val="3"/>
            <w:vAlign w:val="center"/>
          </w:tcPr>
          <w:p w:rsidR="00B331F1" w:rsidRPr="005E671A" w:rsidRDefault="00B331F1" w:rsidP="002B6626">
            <w:pPr>
              <w:tabs>
                <w:tab w:val="left" w:pos="567"/>
              </w:tabs>
              <w:spacing w:after="60"/>
              <w:rPr>
                <w:lang w:val="sr-Cyrl-CS"/>
              </w:rPr>
            </w:pPr>
            <w:r>
              <w:rPr>
                <w:lang w:val="sr-Cyrl-CS"/>
              </w:rPr>
              <w:t>Основне студије</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Pr>
                <w:lang w:val="sr-Cyrl-CS"/>
              </w:rPr>
              <w:t>5.</w:t>
            </w:r>
          </w:p>
        </w:tc>
        <w:tc>
          <w:tcPr>
            <w:tcW w:w="6411" w:type="dxa"/>
            <w:gridSpan w:val="5"/>
            <w:vAlign w:val="center"/>
          </w:tcPr>
          <w:p w:rsidR="00B331F1" w:rsidRDefault="00B331F1" w:rsidP="002B6626">
            <w:pPr>
              <w:tabs>
                <w:tab w:val="left" w:pos="567"/>
              </w:tabs>
              <w:spacing w:after="40"/>
              <w:rPr>
                <w:lang w:val="sr-Cyrl-CS"/>
              </w:rPr>
            </w:pPr>
            <w:r>
              <w:rPr>
                <w:lang w:val="sr-Cyrl-CS"/>
              </w:rPr>
              <w:t>Опасан отпад</w:t>
            </w:r>
          </w:p>
        </w:tc>
        <w:tc>
          <w:tcPr>
            <w:tcW w:w="3287" w:type="dxa"/>
            <w:gridSpan w:val="3"/>
            <w:vAlign w:val="center"/>
          </w:tcPr>
          <w:p w:rsidR="00B331F1" w:rsidRDefault="00B331F1" w:rsidP="002B6626">
            <w:pPr>
              <w:tabs>
                <w:tab w:val="left" w:pos="567"/>
              </w:tabs>
              <w:spacing w:after="40"/>
              <w:rPr>
                <w:lang w:val="sr-Cyrl-CS"/>
              </w:rPr>
            </w:pPr>
            <w:r>
              <w:rPr>
                <w:lang w:val="sr-Cyrl-CS"/>
              </w:rPr>
              <w:t>Мастер студије</w:t>
            </w:r>
          </w:p>
        </w:tc>
      </w:tr>
      <w:tr w:rsidR="00B331F1" w:rsidRPr="00A22864" w:rsidTr="00561040">
        <w:trPr>
          <w:trHeight w:val="227"/>
        </w:trPr>
        <w:tc>
          <w:tcPr>
            <w:tcW w:w="922" w:type="dxa"/>
            <w:gridSpan w:val="2"/>
            <w:vAlign w:val="center"/>
          </w:tcPr>
          <w:p w:rsidR="00B331F1" w:rsidRPr="005E671A" w:rsidRDefault="00B331F1" w:rsidP="00561040">
            <w:pPr>
              <w:tabs>
                <w:tab w:val="left" w:pos="567"/>
              </w:tabs>
              <w:spacing w:after="60"/>
              <w:rPr>
                <w:lang w:val="sr-Cyrl-CS"/>
              </w:rPr>
            </w:pPr>
            <w:r>
              <w:rPr>
                <w:lang w:val="sr-Cyrl-CS"/>
              </w:rPr>
              <w:t>6.</w:t>
            </w:r>
          </w:p>
        </w:tc>
        <w:tc>
          <w:tcPr>
            <w:tcW w:w="6411" w:type="dxa"/>
            <w:gridSpan w:val="5"/>
            <w:vAlign w:val="center"/>
          </w:tcPr>
          <w:p w:rsidR="00B331F1" w:rsidRPr="00916E00" w:rsidRDefault="00B331F1" w:rsidP="002B6626">
            <w:pPr>
              <w:tabs>
                <w:tab w:val="left" w:pos="567"/>
              </w:tabs>
              <w:spacing w:after="40"/>
            </w:pPr>
            <w:r>
              <w:rPr>
                <w:lang w:val="sr-Cyrl-CS"/>
              </w:rPr>
              <w:t>Опасан отпад (виши курс) (</w:t>
            </w:r>
            <w:r>
              <w:t xml:space="preserve"> </w:t>
            </w:r>
            <m:oMath>
              <m:f>
                <m:fPr>
                  <m:ctrlPr>
                    <w:rPr>
                      <w:rFonts w:ascii="Cambria Math" w:hAnsi="Cambria Math"/>
                      <w:i/>
                    </w:rPr>
                  </m:ctrlPr>
                </m:fPr>
                <m:num>
                  <m:r>
                    <w:rPr>
                      <w:rFonts w:ascii="Cambria Math" w:hAnsi="Cambria Math"/>
                    </w:rPr>
                    <m:t>1</m:t>
                  </m:r>
                </m:num>
                <m:den>
                  <m:r>
                    <w:rPr>
                      <w:rFonts w:ascii="Cambria Math" w:hAnsi="Cambria Math"/>
                    </w:rPr>
                    <m:t>2</m:t>
                  </m:r>
                </m:den>
              </m:f>
            </m:oMath>
            <w:r>
              <w:t xml:space="preserve"> курса)</w:t>
            </w:r>
          </w:p>
        </w:tc>
        <w:tc>
          <w:tcPr>
            <w:tcW w:w="3287" w:type="dxa"/>
            <w:gridSpan w:val="3"/>
            <w:vAlign w:val="center"/>
          </w:tcPr>
          <w:p w:rsidR="00B331F1" w:rsidRDefault="00B331F1" w:rsidP="002B6626">
            <w:pPr>
              <w:tabs>
                <w:tab w:val="left" w:pos="567"/>
              </w:tabs>
              <w:spacing w:after="40"/>
              <w:rPr>
                <w:lang w:val="sr-Cyrl-CS"/>
              </w:rPr>
            </w:pPr>
            <w:r>
              <w:rPr>
                <w:lang w:val="sr-Cyrl-CS"/>
              </w:rPr>
              <w:t>Докторске студије</w:t>
            </w:r>
          </w:p>
        </w:tc>
      </w:tr>
      <w:tr w:rsidR="00561040" w:rsidRPr="00A22864" w:rsidTr="00561040">
        <w:trPr>
          <w:trHeight w:val="227"/>
        </w:trPr>
        <w:tc>
          <w:tcPr>
            <w:tcW w:w="10620" w:type="dxa"/>
            <w:gridSpan w:val="10"/>
            <w:vAlign w:val="center"/>
          </w:tcPr>
          <w:p w:rsidR="00561040" w:rsidRPr="00A22864" w:rsidRDefault="00561040" w:rsidP="00561040">
            <w:pPr>
              <w:tabs>
                <w:tab w:val="left" w:pos="567"/>
              </w:tabs>
              <w:spacing w:after="60"/>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(минимално 10 не више од 20)</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r w:rsidRPr="0052162B">
              <w:rPr>
                <w:sz w:val="16"/>
                <w:szCs w:val="16"/>
              </w:rPr>
              <w:t>Čučak, D.,</w:t>
            </w:r>
            <w:r w:rsidRPr="0052162B">
              <w:rPr>
                <w:b/>
                <w:sz w:val="16"/>
                <w:szCs w:val="16"/>
              </w:rPr>
              <w:t xml:space="preserve"> </w:t>
            </w:r>
            <w:r w:rsidRPr="0052162B">
              <w:rPr>
                <w:sz w:val="16"/>
                <w:szCs w:val="16"/>
              </w:rPr>
              <w:t>Spasojević, J.M., Babić, O.B., Maletić, S.P., Simeunović, J.B., Rončević, S.D., Dalmacija, B.D., Tamaš, I., Radnović, D. V., 2017. A chemical and microbiological characterization and toxicity assessment of the Pančevo industrial complex wastewater canal sediments, Serbia</w:t>
            </w:r>
            <w:r w:rsidRPr="0052162B">
              <w:rPr>
                <w:i/>
                <w:sz w:val="16"/>
                <w:szCs w:val="16"/>
              </w:rPr>
              <w:t xml:space="preserve">. Environ. Sci. Pollut. Res. </w:t>
            </w:r>
            <w:r w:rsidRPr="0052162B">
              <w:rPr>
                <w:sz w:val="16"/>
                <w:szCs w:val="16"/>
              </w:rPr>
              <w:t xml:space="preserve">doi:10.1007/s11356-017-8513-8 </w:t>
            </w:r>
            <w:r w:rsidRPr="0052162B">
              <w:rPr>
                <w:i/>
                <w:sz w:val="16"/>
                <w:szCs w:val="16"/>
              </w:rPr>
              <w:t>(in press)</w:t>
            </w:r>
          </w:p>
        </w:tc>
        <w:tc>
          <w:tcPr>
            <w:tcW w:w="630" w:type="dxa"/>
            <w:vAlign w:val="center"/>
          </w:tcPr>
          <w:p w:rsidR="00561040" w:rsidRPr="00A22864" w:rsidRDefault="00561040" w:rsidP="00561040">
            <w:pPr>
              <w:tabs>
                <w:tab w:val="left" w:pos="567"/>
              </w:tabs>
              <w:spacing w:after="60"/>
              <w:rPr>
                <w:lang w:val="sr-Cyrl-CS"/>
              </w:rPr>
            </w:pPr>
            <w:r>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410280" w:rsidRDefault="00561040" w:rsidP="00561040">
            <w:pPr>
              <w:tabs>
                <w:tab w:val="left" w:pos="567"/>
              </w:tabs>
              <w:spacing w:after="60"/>
              <w:rPr>
                <w:sz w:val="16"/>
                <w:szCs w:val="16"/>
              </w:rPr>
            </w:pPr>
            <w:r w:rsidRPr="00410280">
              <w:rPr>
                <w:bCs/>
                <w:sz w:val="16"/>
                <w:szCs w:val="16"/>
                <w:lang w:val="hr-HR"/>
              </w:rPr>
              <w:t>Grba N., Krčmar D., Maletić S., Bečelic Tomin M., Grgić M., Pucar G., Dalmacija B. (2016) Organic and inorganic priority substances in sediments of Ludaš Lake, a cross-border natural resource on the Ramsar list (Article). Environmental Science and Pollution Research</w:t>
            </w:r>
            <w:r>
              <w:rPr>
                <w:bCs/>
                <w:sz w:val="16"/>
                <w:szCs w:val="16"/>
              </w:rPr>
              <w:t xml:space="preserve">, </w:t>
            </w:r>
            <w:r w:rsidRPr="0052162B">
              <w:rPr>
                <w:i/>
                <w:sz w:val="16"/>
                <w:szCs w:val="16"/>
              </w:rPr>
              <w:t>(in press)</w:t>
            </w:r>
          </w:p>
        </w:tc>
        <w:tc>
          <w:tcPr>
            <w:tcW w:w="630" w:type="dxa"/>
            <w:vAlign w:val="center"/>
          </w:tcPr>
          <w:p w:rsidR="00561040" w:rsidRDefault="00561040" w:rsidP="00561040">
            <w:pPr>
              <w:tabs>
                <w:tab w:val="left" w:pos="567"/>
              </w:tabs>
              <w:spacing w:after="60"/>
              <w:rPr>
                <w:lang w:val="sr-Cyrl-CS"/>
              </w:rPr>
            </w:pPr>
            <w:r>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r w:rsidRPr="0052162B">
              <w:rPr>
                <w:sz w:val="16"/>
                <w:szCs w:val="16"/>
              </w:rPr>
              <w:t xml:space="preserve">Rončević S., Spasojević J., Maletić S., Molnar Jazić J., Kragulj Isakovski M., Agbaba J., Grgić M., Dalmacija B. (2016) Assessment of the bioavailability and phytotoxicity of sediment spiked with polycyclic aromatic hydrocarbons, </w:t>
            </w:r>
            <w:r w:rsidRPr="0052162B">
              <w:rPr>
                <w:i/>
                <w:sz w:val="16"/>
                <w:szCs w:val="16"/>
              </w:rPr>
              <w:t>Environmental Science and Pollution Research</w:t>
            </w:r>
            <w:r w:rsidRPr="0052162B">
              <w:rPr>
                <w:sz w:val="16"/>
                <w:szCs w:val="16"/>
              </w:rPr>
              <w:t>, 23(4), 3239-3246.</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pStyle w:val="ListParagraph"/>
              <w:ind w:left="0"/>
              <w:rPr>
                <w:bCs/>
                <w:sz w:val="16"/>
                <w:szCs w:val="16"/>
                <w:lang w:val="hr-HR"/>
              </w:rPr>
            </w:pPr>
            <w:proofErr w:type="spellStart"/>
            <w:r w:rsidRPr="0052162B">
              <w:rPr>
                <w:sz w:val="16"/>
                <w:szCs w:val="16"/>
              </w:rPr>
              <w:t>Grba</w:t>
            </w:r>
            <w:proofErr w:type="spellEnd"/>
            <w:r w:rsidRPr="0052162B">
              <w:rPr>
                <w:sz w:val="16"/>
                <w:szCs w:val="16"/>
              </w:rPr>
              <w:t xml:space="preserve"> N., </w:t>
            </w:r>
            <w:proofErr w:type="spellStart"/>
            <w:r w:rsidRPr="0052162B">
              <w:rPr>
                <w:sz w:val="16"/>
                <w:szCs w:val="16"/>
              </w:rPr>
              <w:t>Krčmar</w:t>
            </w:r>
            <w:proofErr w:type="spellEnd"/>
            <w:r w:rsidRPr="0052162B">
              <w:rPr>
                <w:sz w:val="16"/>
                <w:szCs w:val="16"/>
              </w:rPr>
              <w:t xml:space="preserve"> D., </w:t>
            </w:r>
            <w:proofErr w:type="spellStart"/>
            <w:r w:rsidRPr="0052162B">
              <w:rPr>
                <w:sz w:val="16"/>
                <w:szCs w:val="16"/>
              </w:rPr>
              <w:t>Kragulj</w:t>
            </w:r>
            <w:proofErr w:type="spellEnd"/>
            <w:r w:rsidRPr="0052162B">
              <w:rPr>
                <w:sz w:val="16"/>
                <w:szCs w:val="16"/>
              </w:rPr>
              <w:t xml:space="preserve"> </w:t>
            </w:r>
            <w:proofErr w:type="spellStart"/>
            <w:r w:rsidRPr="0052162B">
              <w:rPr>
                <w:sz w:val="16"/>
                <w:szCs w:val="16"/>
              </w:rPr>
              <w:t>Isakovski</w:t>
            </w:r>
            <w:proofErr w:type="spellEnd"/>
            <w:r w:rsidRPr="0052162B">
              <w:rPr>
                <w:sz w:val="16"/>
                <w:szCs w:val="16"/>
              </w:rPr>
              <w:t xml:space="preserve"> M., Molnar </w:t>
            </w:r>
            <w:proofErr w:type="spellStart"/>
            <w:r w:rsidRPr="0052162B">
              <w:rPr>
                <w:sz w:val="16"/>
                <w:szCs w:val="16"/>
              </w:rPr>
              <w:t>Jazić</w:t>
            </w:r>
            <w:proofErr w:type="spellEnd"/>
            <w:r w:rsidRPr="0052162B">
              <w:rPr>
                <w:sz w:val="16"/>
                <w:szCs w:val="16"/>
              </w:rPr>
              <w:t xml:space="preserve"> J., </w:t>
            </w:r>
            <w:proofErr w:type="spellStart"/>
            <w:r w:rsidRPr="0052162B">
              <w:rPr>
                <w:sz w:val="16"/>
                <w:szCs w:val="16"/>
              </w:rPr>
              <w:t>Maletić</w:t>
            </w:r>
            <w:proofErr w:type="spellEnd"/>
            <w:r w:rsidRPr="0052162B">
              <w:rPr>
                <w:sz w:val="16"/>
                <w:szCs w:val="16"/>
              </w:rPr>
              <w:t xml:space="preserve"> S., </w:t>
            </w:r>
            <w:proofErr w:type="spellStart"/>
            <w:r w:rsidRPr="0052162B">
              <w:rPr>
                <w:sz w:val="16"/>
                <w:szCs w:val="16"/>
              </w:rPr>
              <w:t>Pešić</w:t>
            </w:r>
            <w:proofErr w:type="spellEnd"/>
            <w:r w:rsidRPr="0052162B">
              <w:rPr>
                <w:sz w:val="16"/>
                <w:szCs w:val="16"/>
              </w:rPr>
              <w:t xml:space="preserve"> V., </w:t>
            </w:r>
            <w:proofErr w:type="spellStart"/>
            <w:r w:rsidRPr="0052162B">
              <w:rPr>
                <w:sz w:val="16"/>
                <w:szCs w:val="16"/>
              </w:rPr>
              <w:t>Dalmacija</w:t>
            </w:r>
            <w:proofErr w:type="spellEnd"/>
            <w:r w:rsidRPr="0052162B">
              <w:rPr>
                <w:sz w:val="16"/>
                <w:szCs w:val="16"/>
              </w:rPr>
              <w:t xml:space="preserve"> B. (2016) </w:t>
            </w:r>
            <w:r w:rsidRPr="0052162B">
              <w:rPr>
                <w:sz w:val="16"/>
                <w:szCs w:val="16"/>
                <w:lang w:val="en-US"/>
              </w:rPr>
              <w:t>Priority substances in sediments of the “</w:t>
            </w:r>
            <w:proofErr w:type="spellStart"/>
            <w:r w:rsidRPr="0052162B">
              <w:rPr>
                <w:sz w:val="16"/>
                <w:szCs w:val="16"/>
                <w:lang w:val="en-US"/>
              </w:rPr>
              <w:t>Carska</w:t>
            </w:r>
            <w:proofErr w:type="spellEnd"/>
            <w:r w:rsidRPr="0052162B">
              <w:rPr>
                <w:sz w:val="16"/>
                <w:szCs w:val="16"/>
                <w:lang w:val="en-US"/>
              </w:rPr>
              <w:t xml:space="preserve"> Bara” special nature reserve, a natural scientific research area on the UNESCO list, Journal of Environmental Management 182, 149-159.</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r w:rsidRPr="0052162B">
              <w:rPr>
                <w:sz w:val="16"/>
                <w:szCs w:val="16"/>
              </w:rPr>
              <w:t>Watson М.А., Tubić А., Agbaba Ј., Nikić Ј., Maletić S., Molnar Jazić Ј., Dalmacija B. (2016) Response surface methodology investigation into the interactions between arsenic and humic acid in water during the coagulation process, Journal of Hazardous Materials, 312,150-158. doi 10.1016/j.jhazmat.2016.03.002.</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r w:rsidRPr="0052162B">
              <w:rPr>
                <w:bCs/>
                <w:sz w:val="16"/>
                <w:szCs w:val="16"/>
              </w:rPr>
              <w:t xml:space="preserve">Agbaba J., Molnar Jazić J., Tubić A., Watson M., Maletić S., Kragulj Isakovski M., Dalmacija B. (2016) </w:t>
            </w:r>
            <w:r w:rsidRPr="0052162B">
              <w:rPr>
                <w:bCs/>
                <w:sz w:val="16"/>
                <w:szCs w:val="16"/>
                <w:lang w:val="en-US"/>
              </w:rPr>
              <w:t xml:space="preserve">Oxidation of natural organic matter with processes involving O3, H2O2 and UV light: formation of oxidation and disinfection by-products, </w:t>
            </w:r>
            <w:r w:rsidRPr="0052162B">
              <w:rPr>
                <w:bCs/>
                <w:i/>
                <w:sz w:val="16"/>
                <w:szCs w:val="16"/>
                <w:lang w:val="en-US"/>
              </w:rPr>
              <w:t>RSC Advances</w:t>
            </w:r>
            <w:r w:rsidRPr="0052162B">
              <w:rPr>
                <w:bCs/>
                <w:sz w:val="16"/>
                <w:szCs w:val="16"/>
                <w:lang w:val="en-US"/>
              </w:rPr>
              <w:t>, 6, 86212-86219.</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r w:rsidRPr="0052162B">
              <w:rPr>
                <w:sz w:val="16"/>
                <w:szCs w:val="16"/>
              </w:rPr>
              <w:t>Poguberović S., Krčmar D., Maletić S., Kónya Z., Tomašević Pilipović D., Kerkez Đ., Rončević S. (2016) Removal of As(III) and Cr(VI) from aqueous solutions using "green" zero-valent iron nanoparticles produced by oak, mulberry and cherry leaf extracts. Ecological Engineering, 90, 42-49.</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52162B" w:rsidRDefault="00561040" w:rsidP="00561040">
            <w:pPr>
              <w:tabs>
                <w:tab w:val="left" w:pos="567"/>
              </w:tabs>
              <w:spacing w:after="60"/>
              <w:rPr>
                <w:sz w:val="16"/>
                <w:szCs w:val="16"/>
                <w:lang w:val="sr-Cyrl-CS"/>
              </w:rPr>
            </w:pPr>
            <w:proofErr w:type="spellStart"/>
            <w:r w:rsidRPr="0052162B">
              <w:rPr>
                <w:sz w:val="16"/>
                <w:szCs w:val="16"/>
                <w:lang w:val="en-GB"/>
              </w:rPr>
              <w:t>Tričković</w:t>
            </w:r>
            <w:proofErr w:type="spellEnd"/>
            <w:r w:rsidRPr="0052162B">
              <w:rPr>
                <w:sz w:val="16"/>
                <w:szCs w:val="16"/>
                <w:lang w:val="en-GB"/>
              </w:rPr>
              <w:t xml:space="preserve"> J., </w:t>
            </w:r>
            <w:proofErr w:type="spellStart"/>
            <w:r w:rsidRPr="0052162B">
              <w:rPr>
                <w:sz w:val="16"/>
                <w:szCs w:val="16"/>
                <w:lang w:val="en-GB"/>
              </w:rPr>
              <w:t>Kragulj</w:t>
            </w:r>
            <w:proofErr w:type="spellEnd"/>
            <w:r w:rsidRPr="0052162B">
              <w:rPr>
                <w:sz w:val="16"/>
                <w:szCs w:val="16"/>
                <w:lang w:val="en-GB"/>
              </w:rPr>
              <w:t xml:space="preserve"> </w:t>
            </w:r>
            <w:proofErr w:type="spellStart"/>
            <w:r w:rsidRPr="0052162B">
              <w:rPr>
                <w:sz w:val="16"/>
                <w:szCs w:val="16"/>
                <w:lang w:val="en-GB"/>
              </w:rPr>
              <w:t>Isakovski</w:t>
            </w:r>
            <w:proofErr w:type="spellEnd"/>
            <w:r w:rsidRPr="0052162B">
              <w:rPr>
                <w:sz w:val="16"/>
                <w:szCs w:val="16"/>
                <w:lang w:val="en-GB"/>
              </w:rPr>
              <w:t xml:space="preserve"> M., Watson M., </w:t>
            </w:r>
            <w:proofErr w:type="spellStart"/>
            <w:r w:rsidRPr="0052162B">
              <w:rPr>
                <w:sz w:val="16"/>
                <w:szCs w:val="16"/>
                <w:lang w:val="en-GB"/>
              </w:rPr>
              <w:t>Maletić</w:t>
            </w:r>
            <w:proofErr w:type="spellEnd"/>
            <w:r w:rsidRPr="0052162B">
              <w:rPr>
                <w:sz w:val="16"/>
                <w:szCs w:val="16"/>
                <w:lang w:val="en-GB"/>
              </w:rPr>
              <w:t xml:space="preserve"> S., </w:t>
            </w:r>
            <w:proofErr w:type="spellStart"/>
            <w:r w:rsidRPr="0052162B">
              <w:rPr>
                <w:sz w:val="16"/>
                <w:szCs w:val="16"/>
                <w:lang w:val="en-GB"/>
              </w:rPr>
              <w:t>Rončević</w:t>
            </w:r>
            <w:proofErr w:type="spellEnd"/>
            <w:r w:rsidRPr="0052162B">
              <w:rPr>
                <w:sz w:val="16"/>
                <w:szCs w:val="16"/>
                <w:lang w:val="en-GB"/>
              </w:rPr>
              <w:t xml:space="preserve"> S., </w:t>
            </w:r>
            <w:proofErr w:type="spellStart"/>
            <w:r w:rsidRPr="0052162B">
              <w:rPr>
                <w:sz w:val="16"/>
                <w:szCs w:val="16"/>
                <w:lang w:val="en-GB"/>
              </w:rPr>
              <w:t>Dalmacija</w:t>
            </w:r>
            <w:proofErr w:type="spellEnd"/>
            <w:r w:rsidRPr="0052162B">
              <w:rPr>
                <w:sz w:val="16"/>
                <w:szCs w:val="16"/>
                <w:lang w:val="en-GB"/>
              </w:rPr>
              <w:t xml:space="preserve"> B., </w:t>
            </w:r>
            <w:proofErr w:type="spellStart"/>
            <w:r w:rsidRPr="0052162B">
              <w:rPr>
                <w:sz w:val="16"/>
                <w:szCs w:val="16"/>
                <w:lang w:val="en-GB"/>
              </w:rPr>
              <w:t>Kónya</w:t>
            </w:r>
            <w:proofErr w:type="spellEnd"/>
            <w:r w:rsidRPr="0052162B">
              <w:rPr>
                <w:sz w:val="16"/>
                <w:szCs w:val="16"/>
                <w:lang w:val="en-GB"/>
              </w:rPr>
              <w:t xml:space="preserve"> Z., </w:t>
            </w:r>
            <w:proofErr w:type="spellStart"/>
            <w:r w:rsidRPr="0052162B">
              <w:rPr>
                <w:sz w:val="16"/>
                <w:szCs w:val="16"/>
                <w:lang w:val="en-GB"/>
              </w:rPr>
              <w:t>Kukovecz</w:t>
            </w:r>
            <w:proofErr w:type="spellEnd"/>
            <w:r w:rsidRPr="0052162B">
              <w:rPr>
                <w:sz w:val="16"/>
                <w:szCs w:val="16"/>
                <w:lang w:val="en-GB"/>
              </w:rPr>
              <w:t xml:space="preserve"> Á. (2016) Sorption Behaviour of </w:t>
            </w:r>
            <w:proofErr w:type="spellStart"/>
            <w:r w:rsidRPr="0052162B">
              <w:rPr>
                <w:sz w:val="16"/>
                <w:szCs w:val="16"/>
                <w:lang w:val="en-GB"/>
              </w:rPr>
              <w:t>Trichlorobenzenes</w:t>
            </w:r>
            <w:proofErr w:type="spellEnd"/>
            <w:r w:rsidRPr="0052162B">
              <w:rPr>
                <w:sz w:val="16"/>
                <w:szCs w:val="16"/>
                <w:lang w:val="en-GB"/>
              </w:rPr>
              <w:t xml:space="preserve"> and Polycyclic Aromatic Hydrocarbons in the Absence or Presence of Carbon </w:t>
            </w:r>
            <w:proofErr w:type="spellStart"/>
            <w:r w:rsidRPr="0052162B">
              <w:rPr>
                <w:sz w:val="16"/>
                <w:szCs w:val="16"/>
                <w:lang w:val="en-GB"/>
              </w:rPr>
              <w:t>Nanotubes</w:t>
            </w:r>
            <w:proofErr w:type="spellEnd"/>
            <w:r w:rsidRPr="0052162B">
              <w:rPr>
                <w:sz w:val="16"/>
                <w:szCs w:val="16"/>
                <w:lang w:val="en-GB"/>
              </w:rPr>
              <w:t xml:space="preserve"> in the Aquatic Environment, </w:t>
            </w:r>
            <w:r w:rsidRPr="0052162B">
              <w:rPr>
                <w:i/>
                <w:sz w:val="16"/>
                <w:szCs w:val="16"/>
                <w:lang w:val="en-GB"/>
              </w:rPr>
              <w:t xml:space="preserve">Water Air Soil </w:t>
            </w:r>
            <w:proofErr w:type="spellStart"/>
            <w:r w:rsidRPr="0052162B">
              <w:rPr>
                <w:i/>
                <w:sz w:val="16"/>
                <w:szCs w:val="16"/>
                <w:lang w:val="en-GB"/>
              </w:rPr>
              <w:t>Pollut</w:t>
            </w:r>
            <w:proofErr w:type="spellEnd"/>
            <w:r w:rsidRPr="0052162B">
              <w:rPr>
                <w:sz w:val="16"/>
                <w:szCs w:val="16"/>
                <w:lang w:val="en-GB"/>
              </w:rPr>
              <w:t xml:space="preserve"> (2016) 227:374.</w:t>
            </w:r>
            <w:r w:rsidRPr="0052162B">
              <w:rPr>
                <w:sz w:val="16"/>
                <w:szCs w:val="16"/>
                <w:lang w:val="hr-HR"/>
              </w:rPr>
              <w:t xml:space="preserve"> </w:t>
            </w:r>
          </w:p>
        </w:tc>
        <w:tc>
          <w:tcPr>
            <w:tcW w:w="630" w:type="dxa"/>
            <w:vAlign w:val="center"/>
          </w:tcPr>
          <w:p w:rsidR="00561040" w:rsidRDefault="00561040" w:rsidP="00561040">
            <w:pPr>
              <w:jc w:val="center"/>
            </w:pPr>
            <w:r w:rsidRPr="00BE2B22">
              <w:rPr>
                <w:lang w:val="sr-Cyrl-CS"/>
              </w:rPr>
              <w:t>М2</w:t>
            </w:r>
            <w:r>
              <w:rPr>
                <w:lang w:val="sr-Cyrl-CS"/>
              </w:rPr>
              <w:t>2</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A22864" w:rsidRDefault="00561040" w:rsidP="00561040">
            <w:pPr>
              <w:tabs>
                <w:tab w:val="left" w:pos="567"/>
              </w:tabs>
              <w:spacing w:after="60"/>
              <w:rPr>
                <w:lang w:val="sr-Cyrl-CS"/>
              </w:rPr>
            </w:pPr>
            <w:r w:rsidRPr="0052162B">
              <w:rPr>
                <w:sz w:val="16"/>
                <w:szCs w:val="16"/>
              </w:rPr>
              <w:t xml:space="preserve">Spasojević, J., Maletić, S., Rončević, S., Radnović, D., Čučak, D., Tričković, J., Dalmacija, B. (2015) Using chemical desorption of PAHs from sediment to model biodegradation during bioavailability assessment, </w:t>
            </w:r>
            <w:r w:rsidRPr="0052162B">
              <w:rPr>
                <w:i/>
                <w:sz w:val="16"/>
                <w:szCs w:val="16"/>
              </w:rPr>
              <w:t>Journal of Hazardous Materials</w:t>
            </w:r>
            <w:r w:rsidRPr="0052162B">
              <w:rPr>
                <w:sz w:val="16"/>
                <w:szCs w:val="16"/>
              </w:rPr>
              <w:t>. 283, 60-69.</w:t>
            </w:r>
          </w:p>
        </w:tc>
        <w:tc>
          <w:tcPr>
            <w:tcW w:w="630" w:type="dxa"/>
            <w:vAlign w:val="center"/>
          </w:tcPr>
          <w:p w:rsidR="00561040" w:rsidRDefault="00561040" w:rsidP="00561040">
            <w:pPr>
              <w:jc w:val="center"/>
            </w:pPr>
            <w:r w:rsidRPr="00BE2B22">
              <w:rPr>
                <w:lang w:val="sr-Cyrl-CS"/>
              </w:rPr>
              <w:t>М21</w:t>
            </w:r>
          </w:p>
        </w:tc>
      </w:tr>
      <w:tr w:rsidR="00561040" w:rsidRPr="00A22864" w:rsidTr="00561040">
        <w:trPr>
          <w:trHeight w:val="227"/>
        </w:trPr>
        <w:tc>
          <w:tcPr>
            <w:tcW w:w="521" w:type="dxa"/>
            <w:vAlign w:val="center"/>
          </w:tcPr>
          <w:p w:rsidR="00561040" w:rsidRPr="005E671A" w:rsidRDefault="00561040" w:rsidP="00561040">
            <w:pPr>
              <w:widowControl/>
              <w:numPr>
                <w:ilvl w:val="0"/>
                <w:numId w:val="1"/>
              </w:numPr>
              <w:tabs>
                <w:tab w:val="left" w:pos="252"/>
              </w:tabs>
              <w:autoSpaceDE/>
              <w:autoSpaceDN/>
              <w:adjustRightInd/>
              <w:spacing w:after="60"/>
              <w:ind w:left="432" w:hanging="432"/>
              <w:rPr>
                <w:lang w:val="sr-Cyrl-CS"/>
              </w:rPr>
            </w:pPr>
          </w:p>
        </w:tc>
        <w:tc>
          <w:tcPr>
            <w:tcW w:w="9469" w:type="dxa"/>
            <w:gridSpan w:val="8"/>
            <w:shd w:val="clear" w:color="auto" w:fill="auto"/>
            <w:vAlign w:val="center"/>
          </w:tcPr>
          <w:p w:rsidR="00561040" w:rsidRPr="00E77E33" w:rsidRDefault="00561040" w:rsidP="00561040">
            <w:pPr>
              <w:widowControl/>
              <w:autoSpaceDE/>
              <w:autoSpaceDN/>
              <w:adjustRightInd/>
              <w:ind w:left="-10"/>
              <w:jc w:val="both"/>
              <w:rPr>
                <w:sz w:val="16"/>
                <w:szCs w:val="16"/>
              </w:rPr>
            </w:pPr>
            <w:r w:rsidRPr="00E77E33">
              <w:rPr>
                <w:sz w:val="16"/>
                <w:szCs w:val="16"/>
                <w:lang w:val="hr-HR"/>
              </w:rPr>
              <w:t xml:space="preserve">Maletić S., Watson M., Dehlawi S., Diplock E., Mardlin D., Paton G. (2015) Deployment of Microbial Biosensors to Assess the Performance of Ameliorants in Metal-Contaminated Soils, Water Air Soil Pollut (2015) 226:85. DOI 10.1007/s11270-015-2358-x. </w:t>
            </w:r>
          </w:p>
        </w:tc>
        <w:tc>
          <w:tcPr>
            <w:tcW w:w="630" w:type="dxa"/>
            <w:vAlign w:val="center"/>
          </w:tcPr>
          <w:p w:rsidR="00561040" w:rsidRDefault="00561040" w:rsidP="00561040">
            <w:pPr>
              <w:jc w:val="center"/>
            </w:pPr>
            <w:r w:rsidRPr="00BE2B22">
              <w:rPr>
                <w:lang w:val="sr-Cyrl-CS"/>
              </w:rPr>
              <w:t>М2</w:t>
            </w:r>
            <w:r>
              <w:rPr>
                <w:lang w:val="sr-Cyrl-CS"/>
              </w:rPr>
              <w:t>2</w:t>
            </w:r>
          </w:p>
        </w:tc>
      </w:tr>
      <w:tr w:rsidR="00561040" w:rsidRPr="00A22864" w:rsidTr="00561040">
        <w:trPr>
          <w:trHeight w:val="227"/>
        </w:trPr>
        <w:tc>
          <w:tcPr>
            <w:tcW w:w="10620" w:type="dxa"/>
            <w:gridSpan w:val="10"/>
            <w:vAlign w:val="center"/>
          </w:tcPr>
          <w:p w:rsidR="00561040" w:rsidRPr="00A22864" w:rsidRDefault="00561040" w:rsidP="00561040">
            <w:pPr>
              <w:tabs>
                <w:tab w:val="left" w:pos="567"/>
              </w:tabs>
              <w:spacing w:after="60"/>
              <w:rPr>
                <w:lang w:val="sr-Cyrl-CS"/>
              </w:rPr>
            </w:pPr>
            <w:r w:rsidRPr="00A22864">
              <w:rPr>
                <w:b/>
                <w:lang w:val="sr-Cyrl-CS"/>
              </w:rPr>
              <w:t>Збирни подаци научне активност наставника</w:t>
            </w:r>
          </w:p>
        </w:tc>
      </w:tr>
      <w:tr w:rsidR="00561040" w:rsidRPr="00A22864" w:rsidTr="00561040">
        <w:trPr>
          <w:trHeight w:val="227"/>
        </w:trPr>
        <w:tc>
          <w:tcPr>
            <w:tcW w:w="4929" w:type="dxa"/>
            <w:gridSpan w:val="6"/>
            <w:vAlign w:val="center"/>
          </w:tcPr>
          <w:p w:rsidR="00561040" w:rsidRPr="00A22864" w:rsidRDefault="00561040" w:rsidP="00561040">
            <w:pPr>
              <w:tabs>
                <w:tab w:val="left" w:pos="567"/>
              </w:tabs>
              <w:spacing w:after="60"/>
              <w:rPr>
                <w:lang w:val="sr-Cyrl-CS"/>
              </w:rPr>
            </w:pPr>
            <w:r w:rsidRPr="00A22864">
              <w:rPr>
                <w:lang w:val="sr-Cyrl-CS"/>
              </w:rPr>
              <w:t>Укупан број цитата, без аутоцитата</w:t>
            </w:r>
          </w:p>
        </w:tc>
        <w:tc>
          <w:tcPr>
            <w:tcW w:w="5691" w:type="dxa"/>
            <w:gridSpan w:val="4"/>
            <w:vAlign w:val="center"/>
          </w:tcPr>
          <w:p w:rsidR="00561040" w:rsidRPr="00561040" w:rsidRDefault="00561040" w:rsidP="00561040">
            <w:pPr>
              <w:tabs>
                <w:tab w:val="left" w:pos="567"/>
              </w:tabs>
              <w:spacing w:after="60"/>
            </w:pPr>
            <w:r>
              <w:t>88</w:t>
            </w:r>
          </w:p>
        </w:tc>
      </w:tr>
      <w:tr w:rsidR="00561040" w:rsidRPr="00A22864" w:rsidTr="00561040">
        <w:trPr>
          <w:trHeight w:val="227"/>
        </w:trPr>
        <w:tc>
          <w:tcPr>
            <w:tcW w:w="4929" w:type="dxa"/>
            <w:gridSpan w:val="6"/>
            <w:vAlign w:val="center"/>
          </w:tcPr>
          <w:p w:rsidR="00561040" w:rsidRPr="00A22864" w:rsidRDefault="00561040" w:rsidP="00561040">
            <w:pPr>
              <w:tabs>
                <w:tab w:val="left" w:pos="567"/>
              </w:tabs>
              <w:spacing w:after="60"/>
              <w:rPr>
                <w:lang w:val="sr-Cyrl-CS"/>
              </w:rPr>
            </w:pPr>
            <w:r w:rsidRPr="00A22864">
              <w:rPr>
                <w:lang w:val="sr-Cyrl-CS"/>
              </w:rPr>
              <w:t>Укупан број радова са SCI (или SSCI) листе</w:t>
            </w:r>
          </w:p>
        </w:tc>
        <w:tc>
          <w:tcPr>
            <w:tcW w:w="5691" w:type="dxa"/>
            <w:gridSpan w:val="4"/>
            <w:vAlign w:val="center"/>
          </w:tcPr>
          <w:p w:rsidR="00561040" w:rsidRPr="00561040" w:rsidRDefault="00561040" w:rsidP="00561040">
            <w:pPr>
              <w:tabs>
                <w:tab w:val="left" w:pos="567"/>
              </w:tabs>
              <w:spacing w:after="60"/>
            </w:pPr>
            <w:r>
              <w:t>25</w:t>
            </w:r>
          </w:p>
        </w:tc>
      </w:tr>
      <w:tr w:rsidR="00561040" w:rsidRPr="00A22864" w:rsidTr="00561040">
        <w:trPr>
          <w:trHeight w:val="227"/>
        </w:trPr>
        <w:tc>
          <w:tcPr>
            <w:tcW w:w="4929" w:type="dxa"/>
            <w:gridSpan w:val="6"/>
            <w:vAlign w:val="center"/>
          </w:tcPr>
          <w:p w:rsidR="00561040" w:rsidRPr="00A22864" w:rsidRDefault="00561040" w:rsidP="00561040">
            <w:pPr>
              <w:tabs>
                <w:tab w:val="left" w:pos="567"/>
              </w:tabs>
              <w:spacing w:after="60"/>
              <w:rPr>
                <w:lang w:val="sr-Cyrl-CS"/>
              </w:rPr>
            </w:pPr>
            <w:r w:rsidRPr="00A22864">
              <w:rPr>
                <w:lang w:val="sr-Cyrl-CS"/>
              </w:rPr>
              <w:t>Тренутно учешће на пројектима</w:t>
            </w:r>
          </w:p>
        </w:tc>
        <w:tc>
          <w:tcPr>
            <w:tcW w:w="2404" w:type="dxa"/>
            <w:vAlign w:val="center"/>
          </w:tcPr>
          <w:p w:rsidR="00561040" w:rsidRPr="00561040" w:rsidRDefault="00561040" w:rsidP="00561040">
            <w:pPr>
              <w:tabs>
                <w:tab w:val="left" w:pos="567"/>
              </w:tabs>
              <w:spacing w:after="60"/>
            </w:pPr>
            <w:r w:rsidRPr="00A22864">
              <w:rPr>
                <w:lang w:val="sr-Cyrl-CS"/>
              </w:rPr>
              <w:t>Домаћи</w:t>
            </w:r>
            <w:r>
              <w:t xml:space="preserve"> 4</w:t>
            </w:r>
          </w:p>
        </w:tc>
        <w:tc>
          <w:tcPr>
            <w:tcW w:w="3287" w:type="dxa"/>
            <w:gridSpan w:val="3"/>
            <w:vAlign w:val="center"/>
          </w:tcPr>
          <w:p w:rsidR="00561040" w:rsidRPr="00561040" w:rsidRDefault="00561040" w:rsidP="00561040">
            <w:pPr>
              <w:tabs>
                <w:tab w:val="left" w:pos="567"/>
              </w:tabs>
              <w:spacing w:after="60"/>
            </w:pPr>
            <w:r w:rsidRPr="00A22864">
              <w:rPr>
                <w:lang w:val="sr-Cyrl-CS"/>
              </w:rPr>
              <w:t>Међународни</w:t>
            </w:r>
            <w:r>
              <w:t xml:space="preserve"> 1</w:t>
            </w:r>
          </w:p>
        </w:tc>
      </w:tr>
      <w:tr w:rsidR="00561040" w:rsidRPr="00A22864" w:rsidTr="00561040">
        <w:trPr>
          <w:trHeight w:val="227"/>
        </w:trPr>
        <w:tc>
          <w:tcPr>
            <w:tcW w:w="1620" w:type="dxa"/>
            <w:gridSpan w:val="3"/>
            <w:vAlign w:val="center"/>
          </w:tcPr>
          <w:p w:rsidR="00561040" w:rsidRPr="00A22864" w:rsidRDefault="00561040" w:rsidP="00561040">
            <w:pPr>
              <w:tabs>
                <w:tab w:val="left" w:pos="567"/>
              </w:tabs>
              <w:spacing w:after="60"/>
              <w:rPr>
                <w:lang w:val="sr-Cyrl-CS"/>
              </w:rPr>
            </w:pPr>
            <w:r w:rsidRPr="00A22864">
              <w:rPr>
                <w:lang w:val="sr-Cyrl-CS"/>
              </w:rPr>
              <w:t xml:space="preserve">Усавршавања </w:t>
            </w:r>
          </w:p>
        </w:tc>
        <w:tc>
          <w:tcPr>
            <w:tcW w:w="9000" w:type="dxa"/>
            <w:gridSpan w:val="7"/>
            <w:vAlign w:val="center"/>
          </w:tcPr>
          <w:p w:rsidR="00561040" w:rsidRPr="00A22864" w:rsidRDefault="00561040" w:rsidP="00561040">
            <w:pPr>
              <w:tabs>
                <w:tab w:val="left" w:pos="567"/>
              </w:tabs>
              <w:spacing w:after="60"/>
              <w:rPr>
                <w:lang w:val="sr-Cyrl-CS"/>
              </w:rPr>
            </w:pPr>
            <w:r w:rsidRPr="00C768C4">
              <w:rPr>
                <w:sz w:val="18"/>
                <w:szCs w:val="18"/>
              </w:rPr>
              <w:t>Двомесечно усавршавање на Универзитету у Абердину, Шкотска на Институту за науку о земљишту</w:t>
            </w:r>
            <w:r>
              <w:rPr>
                <w:sz w:val="18"/>
                <w:szCs w:val="18"/>
              </w:rPr>
              <w:t>, од 11.2009.-12.2009. године</w:t>
            </w:r>
          </w:p>
        </w:tc>
      </w:tr>
      <w:tr w:rsidR="00561040" w:rsidRPr="00A22864" w:rsidTr="00561040">
        <w:trPr>
          <w:trHeight w:val="227"/>
        </w:trPr>
        <w:tc>
          <w:tcPr>
            <w:tcW w:w="10620" w:type="dxa"/>
            <w:gridSpan w:val="10"/>
            <w:vAlign w:val="center"/>
          </w:tcPr>
          <w:p w:rsidR="00561040" w:rsidRPr="00561040" w:rsidRDefault="00561040" w:rsidP="00561040">
            <w:pPr>
              <w:tabs>
                <w:tab w:val="left" w:pos="567"/>
              </w:tabs>
              <w:spacing w:after="60"/>
            </w:pPr>
            <w:r w:rsidRPr="00A22864">
              <w:rPr>
                <w:lang w:val="sr-Cyrl-CS"/>
              </w:rPr>
              <w:t>Други подаци које сматрате релевантним</w:t>
            </w:r>
            <w:r>
              <w:t xml:space="preserve">: </w:t>
            </w:r>
            <w:proofErr w:type="spellStart"/>
            <w:r w:rsidRPr="00F02CC8">
              <w:rPr>
                <w:lang w:val="en-US"/>
              </w:rPr>
              <w:t>Шеф</w:t>
            </w:r>
            <w:proofErr w:type="spellEnd"/>
            <w:r w:rsidRPr="00F02CC8">
              <w:rPr>
                <w:lang w:val="en-US"/>
              </w:rPr>
              <w:t xml:space="preserve"> </w:t>
            </w:r>
            <w:proofErr w:type="spellStart"/>
            <w:r w:rsidRPr="00F02CC8">
              <w:rPr>
                <w:lang w:val="en-US"/>
              </w:rPr>
              <w:t>акредитоване</w:t>
            </w:r>
            <w:proofErr w:type="spellEnd"/>
            <w:r w:rsidRPr="00F02CC8">
              <w:rPr>
                <w:lang w:val="en-US"/>
              </w:rPr>
              <w:t xml:space="preserve"> </w:t>
            </w:r>
            <w:proofErr w:type="spellStart"/>
            <w:r w:rsidRPr="00F02CC8">
              <w:rPr>
                <w:lang w:val="en-US"/>
              </w:rPr>
              <w:t>Лабораторије</w:t>
            </w:r>
            <w:proofErr w:type="spellEnd"/>
            <w:r w:rsidRPr="00F02CC8">
              <w:rPr>
                <w:lang w:val="en-US"/>
              </w:rPr>
              <w:t xml:space="preserve"> </w:t>
            </w:r>
            <w:proofErr w:type="spellStart"/>
            <w:r w:rsidRPr="00F02CC8">
              <w:rPr>
                <w:lang w:val="en-US"/>
              </w:rPr>
              <w:t>за</w:t>
            </w:r>
            <w:proofErr w:type="spellEnd"/>
            <w:r w:rsidRPr="00F02CC8">
              <w:rPr>
                <w:lang w:val="en-US"/>
              </w:rPr>
              <w:t xml:space="preserve"> </w:t>
            </w:r>
            <w:proofErr w:type="spellStart"/>
            <w:r w:rsidRPr="00F02CC8">
              <w:rPr>
                <w:lang w:val="en-US"/>
              </w:rPr>
              <w:t>хемијска</w:t>
            </w:r>
            <w:proofErr w:type="spellEnd"/>
            <w:r w:rsidRPr="00F02CC8">
              <w:rPr>
                <w:lang w:val="en-US"/>
              </w:rPr>
              <w:t xml:space="preserve"> </w:t>
            </w:r>
            <w:proofErr w:type="spellStart"/>
            <w:r w:rsidRPr="00F02CC8">
              <w:rPr>
                <w:lang w:val="en-US"/>
              </w:rPr>
              <w:t>испитивања</w:t>
            </w:r>
            <w:proofErr w:type="spellEnd"/>
            <w:r w:rsidRPr="00F02CC8">
              <w:rPr>
                <w:lang w:val="en-US"/>
              </w:rPr>
              <w:t xml:space="preserve"> </w:t>
            </w:r>
            <w:proofErr w:type="spellStart"/>
            <w:r w:rsidRPr="00F02CC8">
              <w:rPr>
                <w:lang w:val="en-US"/>
              </w:rPr>
              <w:t>животне</w:t>
            </w:r>
            <w:proofErr w:type="spellEnd"/>
            <w:r w:rsidRPr="00F02CC8">
              <w:rPr>
                <w:lang w:val="en-US"/>
              </w:rPr>
              <w:t xml:space="preserve"> </w:t>
            </w:r>
            <w:proofErr w:type="spellStart"/>
            <w:r w:rsidRPr="00F02CC8">
              <w:rPr>
                <w:lang w:val="en-US"/>
              </w:rPr>
              <w:t>средине</w:t>
            </w:r>
            <w:proofErr w:type="spellEnd"/>
            <w:r w:rsidRPr="00F02CC8">
              <w:rPr>
                <w:lang w:val="en-US"/>
              </w:rPr>
              <w:t xml:space="preserve"> “</w:t>
            </w:r>
            <w:r w:rsidRPr="00F02CC8">
              <w:t>др Милена Далмција“ од 2012. године</w:t>
            </w:r>
          </w:p>
        </w:tc>
      </w:tr>
    </w:tbl>
    <w:p w:rsidR="00B331F1" w:rsidRDefault="00B331F1" w:rsidP="00C2195B">
      <w:pPr>
        <w:tabs>
          <w:tab w:val="left" w:pos="567"/>
        </w:tabs>
        <w:spacing w:after="60"/>
        <w:jc w:val="both"/>
        <w:rPr>
          <w:b/>
          <w:iCs/>
          <w:sz w:val="22"/>
          <w:szCs w:val="22"/>
        </w:rPr>
      </w:pPr>
    </w:p>
    <w:p w:rsidR="00C76C46" w:rsidRDefault="00C76C46" w:rsidP="00C2195B">
      <w:pPr>
        <w:tabs>
          <w:tab w:val="left" w:pos="567"/>
        </w:tabs>
        <w:spacing w:after="60"/>
        <w:jc w:val="both"/>
        <w:rPr>
          <w:b/>
          <w:iCs/>
          <w:sz w:val="22"/>
          <w:szCs w:val="22"/>
        </w:rPr>
      </w:pPr>
    </w:p>
    <w:sectPr w:rsidR="00C76C46" w:rsidSect="00F02CC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04FC"/>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50B2575"/>
    <w:multiLevelType w:val="hybridMultilevel"/>
    <w:tmpl w:val="74D6CCA2"/>
    <w:lvl w:ilvl="0" w:tplc="0409000F">
      <w:start w:val="1"/>
      <w:numFmt w:val="decimal"/>
      <w:lvlText w:val="%1."/>
      <w:lvlJc w:val="left"/>
      <w:pPr>
        <w:tabs>
          <w:tab w:val="num" w:pos="630"/>
        </w:tabs>
        <w:ind w:left="630" w:hanging="360"/>
      </w:p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645F4B1C"/>
    <w:multiLevelType w:val="multilevel"/>
    <w:tmpl w:val="B724544C"/>
    <w:lvl w:ilvl="0">
      <w:start w:val="1"/>
      <w:numFmt w:val="decimal"/>
      <w:lvlText w:val="%1."/>
      <w:legacy w:legacy="1" w:legacySpace="0" w:legacyIndent="360"/>
      <w:lvlJc w:val="left"/>
      <w:pPr>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7E571510"/>
    <w:multiLevelType w:val="hybridMultilevel"/>
    <w:tmpl w:val="7CC2AFE4"/>
    <w:lvl w:ilvl="0" w:tplc="65E81426">
      <w:start w:val="1"/>
      <w:numFmt w:val="decimal"/>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compat/>
  <w:rsids>
    <w:rsidRoot w:val="00C2195B"/>
    <w:rsid w:val="001542F3"/>
    <w:rsid w:val="002B18A9"/>
    <w:rsid w:val="00312F9B"/>
    <w:rsid w:val="00410280"/>
    <w:rsid w:val="00493646"/>
    <w:rsid w:val="0052162B"/>
    <w:rsid w:val="00561040"/>
    <w:rsid w:val="006F1A02"/>
    <w:rsid w:val="006F3619"/>
    <w:rsid w:val="00B331F1"/>
    <w:rsid w:val="00B4055F"/>
    <w:rsid w:val="00C2195B"/>
    <w:rsid w:val="00C76C46"/>
    <w:rsid w:val="00F02CC8"/>
    <w:rsid w:val="00F22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95B"/>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2CC8"/>
    <w:pPr>
      <w:widowControl/>
      <w:autoSpaceDE/>
      <w:autoSpaceDN/>
      <w:adjustRightInd/>
      <w:ind w:left="720"/>
      <w:contextualSpacing/>
    </w:pPr>
    <w:rPr>
      <w:sz w:val="24"/>
      <w:szCs w:val="24"/>
      <w:lang w:val="en-GB" w:eastAsia="en-US"/>
    </w:rPr>
  </w:style>
  <w:style w:type="paragraph" w:styleId="BalloonText">
    <w:name w:val="Balloon Text"/>
    <w:basedOn w:val="Normal"/>
    <w:link w:val="BalloonTextChar"/>
    <w:uiPriority w:val="99"/>
    <w:semiHidden/>
    <w:unhideWhenUsed/>
    <w:rsid w:val="00B331F1"/>
    <w:rPr>
      <w:rFonts w:ascii="Tahoma" w:hAnsi="Tahoma" w:cs="Tahoma"/>
      <w:sz w:val="16"/>
      <w:szCs w:val="16"/>
    </w:rPr>
  </w:style>
  <w:style w:type="character" w:customStyle="1" w:styleId="BalloonTextChar">
    <w:name w:val="Balloon Text Char"/>
    <w:basedOn w:val="DefaultParagraphFont"/>
    <w:link w:val="BalloonText"/>
    <w:uiPriority w:val="99"/>
    <w:semiHidden/>
    <w:rsid w:val="00B331F1"/>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29B21-7539-421E-8BF5-99AB84F9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657</Words>
  <Characters>3747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4</cp:revision>
  <dcterms:created xsi:type="dcterms:W3CDTF">2017-02-24T11:57:00Z</dcterms:created>
  <dcterms:modified xsi:type="dcterms:W3CDTF">2017-06-04T17:11:00Z</dcterms:modified>
</cp:coreProperties>
</file>