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D53" w:rsidRPr="00637D53" w:rsidRDefault="00637D53" w:rsidP="00637D53">
      <w:pPr>
        <w:tabs>
          <w:tab w:val="left" w:pos="567"/>
        </w:tabs>
        <w:spacing w:after="60"/>
        <w:jc w:val="both"/>
        <w:rPr>
          <w:iCs/>
          <w:sz w:val="22"/>
          <w:szCs w:val="22"/>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01"/>
        <w:gridCol w:w="1543"/>
        <w:gridCol w:w="1262"/>
        <w:gridCol w:w="1202"/>
        <w:gridCol w:w="2404"/>
        <w:gridCol w:w="60"/>
        <w:gridCol w:w="1538"/>
        <w:gridCol w:w="567"/>
      </w:tblGrid>
      <w:tr w:rsidR="000D6FB1" w:rsidRPr="00A22864" w:rsidTr="00475EDE">
        <w:trPr>
          <w:trHeight w:val="227"/>
        </w:trPr>
        <w:tc>
          <w:tcPr>
            <w:tcW w:w="3727" w:type="dxa"/>
            <w:gridSpan w:val="4"/>
            <w:vAlign w:val="center"/>
          </w:tcPr>
          <w:p w:rsidR="000D6FB1" w:rsidRPr="00A22864" w:rsidRDefault="000D6FB1" w:rsidP="00475EDE">
            <w:pPr>
              <w:tabs>
                <w:tab w:val="left" w:pos="567"/>
              </w:tabs>
              <w:spacing w:after="60"/>
              <w:rPr>
                <w:lang w:val="sr-Cyrl-CS"/>
              </w:rPr>
            </w:pPr>
            <w:r w:rsidRPr="00A22864">
              <w:rPr>
                <w:b/>
                <w:lang w:val="sr-Cyrl-CS"/>
              </w:rPr>
              <w:t>Име и презиме</w:t>
            </w:r>
          </w:p>
        </w:tc>
        <w:tc>
          <w:tcPr>
            <w:tcW w:w="5771" w:type="dxa"/>
            <w:gridSpan w:val="5"/>
            <w:vAlign w:val="center"/>
          </w:tcPr>
          <w:p w:rsidR="000D6FB1" w:rsidRPr="00FD705E" w:rsidRDefault="000D6FB1" w:rsidP="00E51D1E">
            <w:pPr>
              <w:tabs>
                <w:tab w:val="left" w:pos="567"/>
              </w:tabs>
              <w:spacing w:after="60"/>
            </w:pPr>
            <w:r>
              <w:t>Милан Вранеш</w:t>
            </w:r>
          </w:p>
        </w:tc>
      </w:tr>
      <w:tr w:rsidR="000D6FB1" w:rsidRPr="00A22864" w:rsidTr="00475EDE">
        <w:trPr>
          <w:trHeight w:val="227"/>
        </w:trPr>
        <w:tc>
          <w:tcPr>
            <w:tcW w:w="3727" w:type="dxa"/>
            <w:gridSpan w:val="4"/>
            <w:vAlign w:val="center"/>
          </w:tcPr>
          <w:p w:rsidR="000D6FB1" w:rsidRPr="00A22864" w:rsidRDefault="000D6FB1" w:rsidP="00475EDE">
            <w:pPr>
              <w:tabs>
                <w:tab w:val="left" w:pos="567"/>
              </w:tabs>
              <w:spacing w:after="60"/>
              <w:rPr>
                <w:lang w:val="sr-Cyrl-CS"/>
              </w:rPr>
            </w:pPr>
            <w:r w:rsidRPr="00A22864">
              <w:rPr>
                <w:b/>
                <w:lang w:val="sr-Cyrl-CS"/>
              </w:rPr>
              <w:t>Звање</w:t>
            </w:r>
          </w:p>
        </w:tc>
        <w:tc>
          <w:tcPr>
            <w:tcW w:w="5771" w:type="dxa"/>
            <w:gridSpan w:val="5"/>
            <w:vAlign w:val="center"/>
          </w:tcPr>
          <w:p w:rsidR="000D6FB1" w:rsidRPr="005E671A" w:rsidRDefault="007D07D2" w:rsidP="00E51D1E">
            <w:pPr>
              <w:tabs>
                <w:tab w:val="left" w:pos="567"/>
              </w:tabs>
              <w:spacing w:after="60"/>
              <w:rPr>
                <w:lang w:val="sr-Cyrl-CS"/>
              </w:rPr>
            </w:pPr>
            <w:r>
              <w:rPr>
                <w:lang w:val="sr-Cyrl-CS"/>
              </w:rPr>
              <w:t>Ванредни професор</w:t>
            </w:r>
          </w:p>
        </w:tc>
      </w:tr>
      <w:tr w:rsidR="00637D53" w:rsidRPr="00A22864" w:rsidTr="00475EDE">
        <w:trPr>
          <w:trHeight w:val="227"/>
        </w:trPr>
        <w:tc>
          <w:tcPr>
            <w:tcW w:w="3727" w:type="dxa"/>
            <w:gridSpan w:val="4"/>
            <w:vAlign w:val="center"/>
          </w:tcPr>
          <w:p w:rsidR="00637D53" w:rsidRPr="00A22864" w:rsidRDefault="00637D53" w:rsidP="00475EDE">
            <w:pPr>
              <w:tabs>
                <w:tab w:val="left" w:pos="567"/>
              </w:tabs>
              <w:spacing w:after="60"/>
              <w:rPr>
                <w:lang w:val="sr-Cyrl-CS"/>
              </w:rPr>
            </w:pPr>
            <w:r w:rsidRPr="00A22864">
              <w:rPr>
                <w:b/>
                <w:lang w:val="sr-Cyrl-CS"/>
              </w:rPr>
              <w:t>Ужа научна област</w:t>
            </w:r>
          </w:p>
        </w:tc>
        <w:tc>
          <w:tcPr>
            <w:tcW w:w="5771" w:type="dxa"/>
            <w:gridSpan w:val="5"/>
            <w:vAlign w:val="center"/>
          </w:tcPr>
          <w:p w:rsidR="00637D53" w:rsidRPr="000D6FB1" w:rsidRDefault="000D6FB1" w:rsidP="00475EDE">
            <w:pPr>
              <w:tabs>
                <w:tab w:val="left" w:pos="567"/>
              </w:tabs>
              <w:spacing w:after="60"/>
            </w:pPr>
            <w:r>
              <w:t>Аналитичка хемија</w:t>
            </w:r>
          </w:p>
        </w:tc>
      </w:tr>
      <w:tr w:rsidR="00637D53" w:rsidRPr="00A22864" w:rsidTr="00475EDE">
        <w:trPr>
          <w:trHeight w:val="227"/>
        </w:trPr>
        <w:tc>
          <w:tcPr>
            <w:tcW w:w="2465" w:type="dxa"/>
            <w:gridSpan w:val="3"/>
            <w:vAlign w:val="center"/>
          </w:tcPr>
          <w:p w:rsidR="00637D53" w:rsidRPr="00A22864" w:rsidRDefault="00637D53" w:rsidP="00475EDE">
            <w:pPr>
              <w:tabs>
                <w:tab w:val="left" w:pos="567"/>
              </w:tabs>
              <w:spacing w:after="60"/>
              <w:rPr>
                <w:lang w:val="sr-Cyrl-CS"/>
              </w:rPr>
            </w:pPr>
            <w:r w:rsidRPr="00A22864">
              <w:rPr>
                <w:b/>
                <w:lang w:val="sr-Cyrl-CS"/>
              </w:rPr>
              <w:t>Академска каријера</w:t>
            </w:r>
          </w:p>
        </w:tc>
        <w:tc>
          <w:tcPr>
            <w:tcW w:w="1262" w:type="dxa"/>
            <w:vAlign w:val="center"/>
          </w:tcPr>
          <w:p w:rsidR="00637D53" w:rsidRPr="00A22864" w:rsidRDefault="00637D53" w:rsidP="00475EDE">
            <w:pPr>
              <w:tabs>
                <w:tab w:val="left" w:pos="567"/>
              </w:tabs>
              <w:spacing w:after="60"/>
              <w:rPr>
                <w:lang w:val="sr-Cyrl-CS"/>
              </w:rPr>
            </w:pPr>
            <w:r w:rsidRPr="00A22864">
              <w:rPr>
                <w:lang w:val="sr-Cyrl-CS"/>
              </w:rPr>
              <w:t xml:space="preserve">Година </w:t>
            </w:r>
          </w:p>
        </w:tc>
        <w:tc>
          <w:tcPr>
            <w:tcW w:w="3666" w:type="dxa"/>
            <w:gridSpan w:val="3"/>
            <w:vAlign w:val="center"/>
          </w:tcPr>
          <w:p w:rsidR="00637D53" w:rsidRPr="00A22864" w:rsidRDefault="00637D53" w:rsidP="00475EDE">
            <w:pPr>
              <w:tabs>
                <w:tab w:val="left" w:pos="567"/>
              </w:tabs>
              <w:spacing w:after="60"/>
              <w:rPr>
                <w:lang w:val="sr-Cyrl-CS"/>
              </w:rPr>
            </w:pPr>
            <w:r w:rsidRPr="00A22864">
              <w:rPr>
                <w:lang w:val="sr-Cyrl-CS"/>
              </w:rPr>
              <w:t xml:space="preserve">Институција </w:t>
            </w:r>
          </w:p>
        </w:tc>
        <w:tc>
          <w:tcPr>
            <w:tcW w:w="2105" w:type="dxa"/>
            <w:gridSpan w:val="2"/>
            <w:vAlign w:val="center"/>
          </w:tcPr>
          <w:p w:rsidR="00637D53" w:rsidRPr="00A22864" w:rsidRDefault="00637D53" w:rsidP="00475EDE">
            <w:pPr>
              <w:tabs>
                <w:tab w:val="left" w:pos="567"/>
              </w:tabs>
              <w:spacing w:after="60"/>
              <w:rPr>
                <w:lang w:val="sr-Cyrl-CS"/>
              </w:rPr>
            </w:pPr>
            <w:r w:rsidRPr="00A22864">
              <w:rPr>
                <w:lang w:val="sr-Cyrl-CS"/>
              </w:rPr>
              <w:t xml:space="preserve">Област </w:t>
            </w:r>
          </w:p>
        </w:tc>
      </w:tr>
      <w:tr w:rsidR="000D6FB1" w:rsidRPr="00A22864" w:rsidTr="00475EDE">
        <w:trPr>
          <w:trHeight w:val="227"/>
        </w:trPr>
        <w:tc>
          <w:tcPr>
            <w:tcW w:w="2465" w:type="dxa"/>
            <w:gridSpan w:val="3"/>
            <w:vAlign w:val="center"/>
          </w:tcPr>
          <w:p w:rsidR="000D6FB1" w:rsidRPr="00A22864" w:rsidRDefault="000D6FB1" w:rsidP="00475EDE">
            <w:pPr>
              <w:tabs>
                <w:tab w:val="left" w:pos="567"/>
              </w:tabs>
              <w:spacing w:after="60"/>
              <w:rPr>
                <w:lang w:val="sr-Cyrl-CS"/>
              </w:rPr>
            </w:pPr>
            <w:r w:rsidRPr="00A22864">
              <w:rPr>
                <w:lang w:val="sr-Cyrl-CS"/>
              </w:rPr>
              <w:t>Избор у звање</w:t>
            </w:r>
          </w:p>
        </w:tc>
        <w:tc>
          <w:tcPr>
            <w:tcW w:w="1262" w:type="dxa"/>
            <w:vAlign w:val="center"/>
          </w:tcPr>
          <w:p w:rsidR="000D6FB1" w:rsidRPr="005E671A" w:rsidRDefault="007D07D2" w:rsidP="00E51D1E">
            <w:pPr>
              <w:tabs>
                <w:tab w:val="left" w:pos="567"/>
              </w:tabs>
              <w:spacing w:after="60"/>
              <w:rPr>
                <w:lang w:val="sr-Cyrl-CS"/>
              </w:rPr>
            </w:pPr>
            <w:r>
              <w:rPr>
                <w:lang w:val="sr-Cyrl-CS"/>
              </w:rPr>
              <w:t>2017</w:t>
            </w:r>
            <w:r w:rsidR="000D6FB1">
              <w:rPr>
                <w:lang w:val="sr-Cyrl-CS"/>
              </w:rPr>
              <w:t>.</w:t>
            </w:r>
          </w:p>
        </w:tc>
        <w:tc>
          <w:tcPr>
            <w:tcW w:w="3666" w:type="dxa"/>
            <w:gridSpan w:val="3"/>
            <w:vAlign w:val="center"/>
          </w:tcPr>
          <w:p w:rsidR="000D6FB1" w:rsidRPr="005E671A" w:rsidRDefault="000D6FB1" w:rsidP="00E51D1E">
            <w:pPr>
              <w:tabs>
                <w:tab w:val="left" w:pos="567"/>
              </w:tabs>
              <w:spacing w:after="60"/>
              <w:rPr>
                <w:lang w:val="sr-Cyrl-CS"/>
              </w:rPr>
            </w:pPr>
            <w:r>
              <w:rPr>
                <w:lang w:val="sr-Cyrl-CS"/>
              </w:rPr>
              <w:t>Природно-математички факултет</w:t>
            </w:r>
          </w:p>
        </w:tc>
        <w:tc>
          <w:tcPr>
            <w:tcW w:w="2105" w:type="dxa"/>
            <w:gridSpan w:val="2"/>
            <w:vAlign w:val="center"/>
          </w:tcPr>
          <w:p w:rsidR="000D6FB1" w:rsidRPr="005E671A" w:rsidRDefault="000D6FB1" w:rsidP="00E51D1E">
            <w:pPr>
              <w:tabs>
                <w:tab w:val="left" w:pos="567"/>
              </w:tabs>
              <w:spacing w:after="60"/>
              <w:rPr>
                <w:lang w:val="sr-Cyrl-CS"/>
              </w:rPr>
            </w:pPr>
            <w:r>
              <w:rPr>
                <w:lang w:val="sr-Cyrl-CS"/>
              </w:rPr>
              <w:t>Аналитичка хемија</w:t>
            </w:r>
          </w:p>
        </w:tc>
      </w:tr>
      <w:tr w:rsidR="000D6FB1" w:rsidRPr="00A22864" w:rsidTr="00475EDE">
        <w:trPr>
          <w:trHeight w:val="227"/>
        </w:trPr>
        <w:tc>
          <w:tcPr>
            <w:tcW w:w="2465" w:type="dxa"/>
            <w:gridSpan w:val="3"/>
            <w:vAlign w:val="center"/>
          </w:tcPr>
          <w:p w:rsidR="000D6FB1" w:rsidRPr="00A22864" w:rsidRDefault="000D6FB1" w:rsidP="00475EDE">
            <w:pPr>
              <w:tabs>
                <w:tab w:val="left" w:pos="567"/>
              </w:tabs>
              <w:spacing w:after="60"/>
              <w:rPr>
                <w:lang w:val="sr-Cyrl-CS"/>
              </w:rPr>
            </w:pPr>
            <w:r w:rsidRPr="00A22864">
              <w:rPr>
                <w:lang w:val="sr-Cyrl-CS"/>
              </w:rPr>
              <w:t>Докторат</w:t>
            </w:r>
          </w:p>
        </w:tc>
        <w:tc>
          <w:tcPr>
            <w:tcW w:w="1262" w:type="dxa"/>
            <w:vAlign w:val="center"/>
          </w:tcPr>
          <w:p w:rsidR="000D6FB1" w:rsidRPr="005E671A" w:rsidRDefault="000D6FB1" w:rsidP="00E51D1E">
            <w:pPr>
              <w:tabs>
                <w:tab w:val="left" w:pos="567"/>
              </w:tabs>
              <w:spacing w:after="60"/>
              <w:rPr>
                <w:lang w:val="sr-Cyrl-CS"/>
              </w:rPr>
            </w:pPr>
            <w:r>
              <w:rPr>
                <w:lang w:val="sr-Cyrl-CS"/>
              </w:rPr>
              <w:t>2009.</w:t>
            </w:r>
          </w:p>
        </w:tc>
        <w:tc>
          <w:tcPr>
            <w:tcW w:w="3666" w:type="dxa"/>
            <w:gridSpan w:val="3"/>
            <w:vAlign w:val="center"/>
          </w:tcPr>
          <w:p w:rsidR="000D6FB1" w:rsidRPr="005E671A" w:rsidRDefault="000D6FB1" w:rsidP="00E51D1E">
            <w:pPr>
              <w:tabs>
                <w:tab w:val="left" w:pos="567"/>
              </w:tabs>
              <w:spacing w:after="60"/>
              <w:rPr>
                <w:lang w:val="sr-Cyrl-CS"/>
              </w:rPr>
            </w:pPr>
            <w:r>
              <w:rPr>
                <w:lang w:val="sr-Cyrl-CS"/>
              </w:rPr>
              <w:t>Природно-математички факултет</w:t>
            </w:r>
          </w:p>
        </w:tc>
        <w:tc>
          <w:tcPr>
            <w:tcW w:w="2105" w:type="dxa"/>
            <w:gridSpan w:val="2"/>
            <w:vAlign w:val="center"/>
          </w:tcPr>
          <w:p w:rsidR="000D6FB1" w:rsidRPr="005E671A" w:rsidRDefault="000D6FB1" w:rsidP="00E51D1E">
            <w:pPr>
              <w:tabs>
                <w:tab w:val="left" w:pos="567"/>
              </w:tabs>
              <w:spacing w:after="60"/>
              <w:rPr>
                <w:lang w:val="sr-Cyrl-CS"/>
              </w:rPr>
            </w:pPr>
            <w:r>
              <w:rPr>
                <w:lang w:val="sr-Cyrl-CS"/>
              </w:rPr>
              <w:t>Аналитичка хемија</w:t>
            </w:r>
          </w:p>
        </w:tc>
      </w:tr>
      <w:tr w:rsidR="000D6FB1" w:rsidRPr="00A22864" w:rsidTr="00475EDE">
        <w:trPr>
          <w:trHeight w:val="227"/>
        </w:trPr>
        <w:tc>
          <w:tcPr>
            <w:tcW w:w="2465" w:type="dxa"/>
            <w:gridSpan w:val="3"/>
            <w:vAlign w:val="center"/>
          </w:tcPr>
          <w:p w:rsidR="000D6FB1" w:rsidRPr="00A22864" w:rsidRDefault="000D6FB1" w:rsidP="00475EDE">
            <w:pPr>
              <w:tabs>
                <w:tab w:val="left" w:pos="567"/>
              </w:tabs>
              <w:spacing w:after="60"/>
              <w:rPr>
                <w:lang w:val="sr-Cyrl-CS"/>
              </w:rPr>
            </w:pPr>
            <w:r w:rsidRPr="00A22864">
              <w:rPr>
                <w:lang w:val="sr-Cyrl-CS"/>
              </w:rPr>
              <w:t>Диплома</w:t>
            </w:r>
          </w:p>
        </w:tc>
        <w:tc>
          <w:tcPr>
            <w:tcW w:w="1262" w:type="dxa"/>
            <w:vAlign w:val="center"/>
          </w:tcPr>
          <w:p w:rsidR="000D6FB1" w:rsidRPr="005E671A" w:rsidRDefault="000D6FB1" w:rsidP="00E51D1E">
            <w:pPr>
              <w:tabs>
                <w:tab w:val="left" w:pos="567"/>
              </w:tabs>
              <w:spacing w:after="60"/>
              <w:rPr>
                <w:lang w:val="sr-Cyrl-CS"/>
              </w:rPr>
            </w:pPr>
            <w:r>
              <w:rPr>
                <w:lang w:val="sr-Cyrl-CS"/>
              </w:rPr>
              <w:t>2004.</w:t>
            </w:r>
          </w:p>
        </w:tc>
        <w:tc>
          <w:tcPr>
            <w:tcW w:w="3666" w:type="dxa"/>
            <w:gridSpan w:val="3"/>
            <w:vAlign w:val="center"/>
          </w:tcPr>
          <w:p w:rsidR="000D6FB1" w:rsidRPr="005E671A" w:rsidRDefault="000D6FB1" w:rsidP="00E51D1E">
            <w:pPr>
              <w:tabs>
                <w:tab w:val="left" w:pos="567"/>
              </w:tabs>
              <w:spacing w:after="60"/>
              <w:rPr>
                <w:lang w:val="sr-Cyrl-CS"/>
              </w:rPr>
            </w:pPr>
            <w:r>
              <w:rPr>
                <w:lang w:val="sr-Cyrl-CS"/>
              </w:rPr>
              <w:t>Природно-математички факултет</w:t>
            </w:r>
          </w:p>
        </w:tc>
        <w:tc>
          <w:tcPr>
            <w:tcW w:w="2105" w:type="dxa"/>
            <w:gridSpan w:val="2"/>
            <w:vAlign w:val="center"/>
          </w:tcPr>
          <w:p w:rsidR="000D6FB1" w:rsidRPr="005E671A" w:rsidRDefault="000D6FB1" w:rsidP="00E51D1E">
            <w:pPr>
              <w:tabs>
                <w:tab w:val="left" w:pos="567"/>
              </w:tabs>
              <w:spacing w:after="60"/>
              <w:rPr>
                <w:lang w:val="sr-Cyrl-CS"/>
              </w:rPr>
            </w:pPr>
            <w:r>
              <w:rPr>
                <w:lang w:val="sr-Cyrl-CS"/>
              </w:rPr>
              <w:t>Аналитичка хемија</w:t>
            </w:r>
          </w:p>
        </w:tc>
      </w:tr>
      <w:tr w:rsidR="00637D53" w:rsidRPr="00A22864" w:rsidTr="00475EDE">
        <w:trPr>
          <w:trHeight w:val="227"/>
        </w:trPr>
        <w:tc>
          <w:tcPr>
            <w:tcW w:w="9498" w:type="dxa"/>
            <w:gridSpan w:val="9"/>
            <w:vAlign w:val="center"/>
          </w:tcPr>
          <w:p w:rsidR="00637D53" w:rsidRPr="00A22864" w:rsidRDefault="00637D53" w:rsidP="00475EDE">
            <w:pPr>
              <w:tabs>
                <w:tab w:val="left" w:pos="567"/>
              </w:tabs>
              <w:spacing w:after="60"/>
              <w:rPr>
                <w:lang w:val="sr-Cyrl-CS"/>
              </w:rPr>
            </w:pPr>
            <w:r w:rsidRPr="00A22864">
              <w:rPr>
                <w:b/>
                <w:lang w:val="sr-Cyrl-CS"/>
              </w:rPr>
              <w:t>Списак предмета које наставник држи у текућој школској години</w:t>
            </w:r>
          </w:p>
        </w:tc>
      </w:tr>
      <w:tr w:rsidR="00637D53" w:rsidRPr="00A22864" w:rsidTr="00475EDE">
        <w:trPr>
          <w:trHeight w:val="227"/>
        </w:trPr>
        <w:tc>
          <w:tcPr>
            <w:tcW w:w="922" w:type="dxa"/>
            <w:gridSpan w:val="2"/>
            <w:vAlign w:val="center"/>
          </w:tcPr>
          <w:p w:rsidR="00637D53" w:rsidRPr="00A22864" w:rsidRDefault="00637D53" w:rsidP="00475EDE">
            <w:pPr>
              <w:tabs>
                <w:tab w:val="left" w:pos="567"/>
              </w:tabs>
              <w:spacing w:after="60"/>
              <w:rPr>
                <w:lang w:val="sr-Cyrl-CS"/>
              </w:rPr>
            </w:pPr>
            <w:r w:rsidRPr="00A22864">
              <w:rPr>
                <w:lang w:val="sr-Cyrl-CS"/>
              </w:rPr>
              <w:t>Р.Б.</w:t>
            </w:r>
          </w:p>
        </w:tc>
        <w:tc>
          <w:tcPr>
            <w:tcW w:w="6411" w:type="dxa"/>
            <w:gridSpan w:val="4"/>
            <w:vAlign w:val="center"/>
          </w:tcPr>
          <w:p w:rsidR="00637D53" w:rsidRPr="00A22864" w:rsidRDefault="00637D53" w:rsidP="00475EDE">
            <w:pPr>
              <w:tabs>
                <w:tab w:val="left" w:pos="567"/>
              </w:tabs>
              <w:spacing w:after="60"/>
              <w:rPr>
                <w:lang w:val="sr-Cyrl-CS"/>
              </w:rPr>
            </w:pPr>
            <w:r w:rsidRPr="00A22864">
              <w:rPr>
                <w:iCs/>
                <w:lang w:val="sr-Cyrl-CS"/>
              </w:rPr>
              <w:t>Назив предмета</w:t>
            </w:r>
          </w:p>
        </w:tc>
        <w:tc>
          <w:tcPr>
            <w:tcW w:w="2165" w:type="dxa"/>
            <w:gridSpan w:val="3"/>
            <w:vAlign w:val="center"/>
          </w:tcPr>
          <w:p w:rsidR="00637D53" w:rsidRPr="00A22864" w:rsidRDefault="00637D53" w:rsidP="00475EDE">
            <w:pPr>
              <w:tabs>
                <w:tab w:val="left" w:pos="567"/>
              </w:tabs>
              <w:spacing w:after="60"/>
              <w:rPr>
                <w:lang w:val="sr-Cyrl-CS"/>
              </w:rPr>
            </w:pPr>
            <w:r w:rsidRPr="00A22864">
              <w:rPr>
                <w:lang w:val="sr-Cyrl-CS"/>
              </w:rPr>
              <w:t>Врста студија</w:t>
            </w:r>
          </w:p>
        </w:tc>
      </w:tr>
      <w:tr w:rsidR="000D6FB1" w:rsidRPr="00A22864" w:rsidTr="00475EDE">
        <w:trPr>
          <w:trHeight w:val="227"/>
        </w:trPr>
        <w:tc>
          <w:tcPr>
            <w:tcW w:w="922" w:type="dxa"/>
            <w:gridSpan w:val="2"/>
            <w:vAlign w:val="center"/>
          </w:tcPr>
          <w:p w:rsidR="000D6FB1" w:rsidRPr="005E671A" w:rsidRDefault="000D6FB1" w:rsidP="00E51D1E">
            <w:pPr>
              <w:tabs>
                <w:tab w:val="left" w:pos="567"/>
              </w:tabs>
              <w:spacing w:after="60"/>
              <w:rPr>
                <w:lang w:val="sr-Cyrl-CS"/>
              </w:rPr>
            </w:pPr>
            <w:r w:rsidRPr="005E671A">
              <w:rPr>
                <w:lang w:val="sr-Cyrl-CS"/>
              </w:rPr>
              <w:t>1.</w:t>
            </w:r>
          </w:p>
        </w:tc>
        <w:tc>
          <w:tcPr>
            <w:tcW w:w="6411" w:type="dxa"/>
            <w:gridSpan w:val="4"/>
            <w:vAlign w:val="center"/>
          </w:tcPr>
          <w:p w:rsidR="000D6FB1" w:rsidRPr="005E671A" w:rsidRDefault="000D6FB1" w:rsidP="00E51D1E">
            <w:pPr>
              <w:tabs>
                <w:tab w:val="left" w:pos="567"/>
              </w:tabs>
              <w:spacing w:after="60"/>
              <w:rPr>
                <w:lang w:val="sr-Cyrl-CS"/>
              </w:rPr>
            </w:pPr>
            <w:r>
              <w:rPr>
                <w:lang w:val="sr-Cyrl-CS"/>
              </w:rPr>
              <w:t>Примена рачунара у хемији</w:t>
            </w:r>
          </w:p>
        </w:tc>
        <w:tc>
          <w:tcPr>
            <w:tcW w:w="2165" w:type="dxa"/>
            <w:gridSpan w:val="3"/>
            <w:vAlign w:val="center"/>
          </w:tcPr>
          <w:p w:rsidR="000D6FB1" w:rsidRPr="005E671A" w:rsidRDefault="000D6FB1" w:rsidP="00E51D1E">
            <w:pPr>
              <w:tabs>
                <w:tab w:val="left" w:pos="567"/>
              </w:tabs>
              <w:spacing w:after="60"/>
              <w:rPr>
                <w:lang w:val="sr-Cyrl-CS"/>
              </w:rPr>
            </w:pPr>
            <w:r>
              <w:rPr>
                <w:lang w:val="sr-Cyrl-CS"/>
              </w:rPr>
              <w:t>Основне</w:t>
            </w:r>
          </w:p>
        </w:tc>
      </w:tr>
      <w:tr w:rsidR="000D6FB1" w:rsidRPr="00A22864" w:rsidTr="00475EDE">
        <w:trPr>
          <w:trHeight w:val="227"/>
        </w:trPr>
        <w:tc>
          <w:tcPr>
            <w:tcW w:w="922" w:type="dxa"/>
            <w:gridSpan w:val="2"/>
            <w:vAlign w:val="center"/>
          </w:tcPr>
          <w:p w:rsidR="000D6FB1" w:rsidRPr="005E671A" w:rsidRDefault="000D6FB1" w:rsidP="00E51D1E">
            <w:pPr>
              <w:tabs>
                <w:tab w:val="left" w:pos="567"/>
              </w:tabs>
              <w:spacing w:after="60"/>
              <w:rPr>
                <w:lang w:val="sr-Cyrl-CS"/>
              </w:rPr>
            </w:pPr>
            <w:r w:rsidRPr="005E671A">
              <w:rPr>
                <w:lang w:val="sr-Cyrl-CS"/>
              </w:rPr>
              <w:t>2.</w:t>
            </w:r>
          </w:p>
        </w:tc>
        <w:tc>
          <w:tcPr>
            <w:tcW w:w="6411" w:type="dxa"/>
            <w:gridSpan w:val="4"/>
            <w:vAlign w:val="center"/>
          </w:tcPr>
          <w:p w:rsidR="000D6FB1" w:rsidRPr="005E671A" w:rsidRDefault="000D6FB1" w:rsidP="00E51D1E">
            <w:pPr>
              <w:tabs>
                <w:tab w:val="left" w:pos="567"/>
              </w:tabs>
              <w:spacing w:after="60"/>
              <w:rPr>
                <w:lang w:val="sr-Cyrl-CS"/>
              </w:rPr>
            </w:pPr>
            <w:r>
              <w:rPr>
                <w:lang w:val="sr-Cyrl-CS"/>
              </w:rPr>
              <w:t>Аналитика спортских суплемената</w:t>
            </w:r>
          </w:p>
        </w:tc>
        <w:tc>
          <w:tcPr>
            <w:tcW w:w="2165" w:type="dxa"/>
            <w:gridSpan w:val="3"/>
            <w:vAlign w:val="center"/>
          </w:tcPr>
          <w:p w:rsidR="000D6FB1" w:rsidRPr="005E671A" w:rsidRDefault="000D6FB1" w:rsidP="00E51D1E">
            <w:pPr>
              <w:tabs>
                <w:tab w:val="left" w:pos="567"/>
              </w:tabs>
              <w:spacing w:after="60"/>
              <w:rPr>
                <w:lang w:val="sr-Cyrl-CS"/>
              </w:rPr>
            </w:pPr>
            <w:r>
              <w:rPr>
                <w:lang w:val="sr-Cyrl-CS"/>
              </w:rPr>
              <w:t>Основне</w:t>
            </w:r>
          </w:p>
        </w:tc>
      </w:tr>
      <w:tr w:rsidR="000D6FB1" w:rsidRPr="00A22864" w:rsidTr="00475EDE">
        <w:trPr>
          <w:trHeight w:val="227"/>
        </w:trPr>
        <w:tc>
          <w:tcPr>
            <w:tcW w:w="922" w:type="dxa"/>
            <w:gridSpan w:val="2"/>
            <w:vAlign w:val="center"/>
          </w:tcPr>
          <w:p w:rsidR="000D6FB1" w:rsidRPr="005E671A" w:rsidRDefault="000D6FB1" w:rsidP="00E51D1E">
            <w:pPr>
              <w:tabs>
                <w:tab w:val="left" w:pos="567"/>
              </w:tabs>
              <w:spacing w:after="60"/>
              <w:rPr>
                <w:lang w:val="sr-Cyrl-CS"/>
              </w:rPr>
            </w:pPr>
            <w:r w:rsidRPr="005E671A">
              <w:rPr>
                <w:lang w:val="sr-Cyrl-CS"/>
              </w:rPr>
              <w:t>3.</w:t>
            </w:r>
          </w:p>
        </w:tc>
        <w:tc>
          <w:tcPr>
            <w:tcW w:w="6411" w:type="dxa"/>
            <w:gridSpan w:val="4"/>
            <w:vAlign w:val="center"/>
          </w:tcPr>
          <w:p w:rsidR="000D6FB1" w:rsidRPr="005E671A" w:rsidRDefault="000D6FB1" w:rsidP="00E51D1E">
            <w:pPr>
              <w:tabs>
                <w:tab w:val="left" w:pos="567"/>
              </w:tabs>
              <w:spacing w:after="60"/>
              <w:rPr>
                <w:lang w:val="sr-Cyrl-CS"/>
              </w:rPr>
            </w:pPr>
            <w:r>
              <w:rPr>
                <w:lang w:val="sr-Cyrl-CS"/>
              </w:rPr>
              <w:t>Комплекси у аналитичкој хемији</w:t>
            </w:r>
          </w:p>
        </w:tc>
        <w:tc>
          <w:tcPr>
            <w:tcW w:w="2165" w:type="dxa"/>
            <w:gridSpan w:val="3"/>
            <w:vAlign w:val="center"/>
          </w:tcPr>
          <w:p w:rsidR="000D6FB1" w:rsidRPr="005E671A" w:rsidRDefault="000D6FB1" w:rsidP="00E51D1E">
            <w:pPr>
              <w:tabs>
                <w:tab w:val="left" w:pos="567"/>
              </w:tabs>
              <w:spacing w:after="60"/>
              <w:rPr>
                <w:lang w:val="sr-Cyrl-CS"/>
              </w:rPr>
            </w:pPr>
            <w:r>
              <w:rPr>
                <w:lang w:val="sr-Cyrl-CS"/>
              </w:rPr>
              <w:t>Основни</w:t>
            </w:r>
          </w:p>
        </w:tc>
      </w:tr>
      <w:tr w:rsidR="000D6FB1" w:rsidRPr="00A22864" w:rsidTr="00475EDE">
        <w:trPr>
          <w:trHeight w:val="227"/>
        </w:trPr>
        <w:tc>
          <w:tcPr>
            <w:tcW w:w="922" w:type="dxa"/>
            <w:gridSpan w:val="2"/>
            <w:vAlign w:val="center"/>
          </w:tcPr>
          <w:p w:rsidR="000D6FB1" w:rsidRPr="005E671A" w:rsidRDefault="000D6FB1" w:rsidP="00E51D1E">
            <w:pPr>
              <w:tabs>
                <w:tab w:val="left" w:pos="567"/>
              </w:tabs>
              <w:spacing w:after="60"/>
              <w:rPr>
                <w:lang w:val="sr-Cyrl-CS"/>
              </w:rPr>
            </w:pPr>
            <w:r>
              <w:rPr>
                <w:lang w:val="sr-Cyrl-CS"/>
              </w:rPr>
              <w:t>4.</w:t>
            </w:r>
          </w:p>
        </w:tc>
        <w:tc>
          <w:tcPr>
            <w:tcW w:w="6411" w:type="dxa"/>
            <w:gridSpan w:val="4"/>
            <w:vAlign w:val="center"/>
          </w:tcPr>
          <w:p w:rsidR="000D6FB1" w:rsidRPr="005E671A" w:rsidRDefault="000D6FB1" w:rsidP="00E51D1E">
            <w:pPr>
              <w:tabs>
                <w:tab w:val="left" w:pos="567"/>
              </w:tabs>
              <w:spacing w:after="60"/>
              <w:rPr>
                <w:lang w:val="sr-Cyrl-CS"/>
              </w:rPr>
            </w:pPr>
            <w:r>
              <w:rPr>
                <w:lang w:val="sr-Cyrl-CS"/>
              </w:rPr>
              <w:t>Виши курс аналитичке хемије</w:t>
            </w:r>
          </w:p>
        </w:tc>
        <w:tc>
          <w:tcPr>
            <w:tcW w:w="2165" w:type="dxa"/>
            <w:gridSpan w:val="3"/>
            <w:vAlign w:val="center"/>
          </w:tcPr>
          <w:p w:rsidR="000D6FB1" w:rsidRPr="005E671A" w:rsidRDefault="000D6FB1" w:rsidP="00E51D1E">
            <w:pPr>
              <w:tabs>
                <w:tab w:val="left" w:pos="567"/>
              </w:tabs>
              <w:spacing w:after="60"/>
              <w:rPr>
                <w:lang w:val="sr-Cyrl-CS"/>
              </w:rPr>
            </w:pPr>
            <w:r>
              <w:rPr>
                <w:lang w:val="sr-Cyrl-CS"/>
              </w:rPr>
              <w:t>Мастер</w:t>
            </w:r>
          </w:p>
        </w:tc>
      </w:tr>
      <w:tr w:rsidR="000D6FB1" w:rsidRPr="00A22864" w:rsidTr="00475EDE">
        <w:trPr>
          <w:trHeight w:val="227"/>
        </w:trPr>
        <w:tc>
          <w:tcPr>
            <w:tcW w:w="922" w:type="dxa"/>
            <w:gridSpan w:val="2"/>
            <w:vAlign w:val="center"/>
          </w:tcPr>
          <w:p w:rsidR="000D6FB1" w:rsidRPr="005E671A" w:rsidRDefault="000D6FB1" w:rsidP="00E51D1E">
            <w:pPr>
              <w:tabs>
                <w:tab w:val="left" w:pos="567"/>
              </w:tabs>
              <w:spacing w:after="60"/>
              <w:rPr>
                <w:lang w:val="sr-Cyrl-CS"/>
              </w:rPr>
            </w:pPr>
            <w:r>
              <w:rPr>
                <w:lang w:val="sr-Cyrl-CS"/>
              </w:rPr>
              <w:t>5.</w:t>
            </w:r>
          </w:p>
        </w:tc>
        <w:tc>
          <w:tcPr>
            <w:tcW w:w="6411" w:type="dxa"/>
            <w:gridSpan w:val="4"/>
            <w:vAlign w:val="center"/>
          </w:tcPr>
          <w:p w:rsidR="000D6FB1" w:rsidRPr="005E671A" w:rsidRDefault="000D6FB1" w:rsidP="00E51D1E">
            <w:pPr>
              <w:tabs>
                <w:tab w:val="left" w:pos="567"/>
              </w:tabs>
              <w:spacing w:after="60"/>
              <w:rPr>
                <w:lang w:val="sr-Cyrl-CS"/>
              </w:rPr>
            </w:pPr>
            <w:r>
              <w:rPr>
                <w:lang w:val="sr-Cyrl-CS"/>
              </w:rPr>
              <w:t>Хемија комплексних равнотежа (1/2 курса)</w:t>
            </w:r>
          </w:p>
        </w:tc>
        <w:tc>
          <w:tcPr>
            <w:tcW w:w="2165" w:type="dxa"/>
            <w:gridSpan w:val="3"/>
            <w:vAlign w:val="center"/>
          </w:tcPr>
          <w:p w:rsidR="000D6FB1" w:rsidRPr="005E671A" w:rsidRDefault="000D6FB1" w:rsidP="00E51D1E">
            <w:pPr>
              <w:tabs>
                <w:tab w:val="left" w:pos="567"/>
              </w:tabs>
              <w:spacing w:after="60"/>
              <w:rPr>
                <w:lang w:val="sr-Cyrl-CS"/>
              </w:rPr>
            </w:pPr>
            <w:r>
              <w:rPr>
                <w:lang w:val="sr-Cyrl-CS"/>
              </w:rPr>
              <w:t xml:space="preserve">Докторске </w:t>
            </w:r>
          </w:p>
        </w:tc>
      </w:tr>
      <w:tr w:rsidR="000D6FB1" w:rsidRPr="00A22864" w:rsidTr="00475EDE">
        <w:trPr>
          <w:trHeight w:val="227"/>
        </w:trPr>
        <w:tc>
          <w:tcPr>
            <w:tcW w:w="922" w:type="dxa"/>
            <w:gridSpan w:val="2"/>
            <w:vAlign w:val="center"/>
          </w:tcPr>
          <w:p w:rsidR="000D6FB1" w:rsidRDefault="000D6FB1" w:rsidP="00E51D1E">
            <w:pPr>
              <w:tabs>
                <w:tab w:val="left" w:pos="567"/>
              </w:tabs>
              <w:spacing w:after="60"/>
              <w:rPr>
                <w:lang w:val="sr-Cyrl-CS"/>
              </w:rPr>
            </w:pPr>
            <w:r>
              <w:rPr>
                <w:lang w:val="sr-Cyrl-CS"/>
              </w:rPr>
              <w:t>6.</w:t>
            </w:r>
          </w:p>
        </w:tc>
        <w:tc>
          <w:tcPr>
            <w:tcW w:w="6411" w:type="dxa"/>
            <w:gridSpan w:val="4"/>
            <w:vAlign w:val="center"/>
          </w:tcPr>
          <w:p w:rsidR="000D6FB1" w:rsidRDefault="000D6FB1" w:rsidP="00E51D1E">
            <w:pPr>
              <w:tabs>
                <w:tab w:val="left" w:pos="567"/>
              </w:tabs>
              <w:spacing w:after="60"/>
              <w:rPr>
                <w:lang w:val="sr-Cyrl-CS"/>
              </w:rPr>
            </w:pPr>
            <w:r>
              <w:rPr>
                <w:lang w:val="sr-Cyrl-CS"/>
              </w:rPr>
              <w:t>Аналитичка хемија (Виши курс) (1/3 курса)</w:t>
            </w:r>
          </w:p>
        </w:tc>
        <w:tc>
          <w:tcPr>
            <w:tcW w:w="2165" w:type="dxa"/>
            <w:gridSpan w:val="3"/>
            <w:vAlign w:val="center"/>
          </w:tcPr>
          <w:p w:rsidR="000D6FB1" w:rsidRDefault="000D6FB1" w:rsidP="00E51D1E">
            <w:pPr>
              <w:tabs>
                <w:tab w:val="left" w:pos="567"/>
              </w:tabs>
              <w:spacing w:after="60"/>
              <w:rPr>
                <w:lang w:val="sr-Cyrl-CS"/>
              </w:rPr>
            </w:pPr>
            <w:r>
              <w:rPr>
                <w:lang w:val="sr-Cyrl-CS"/>
              </w:rPr>
              <w:t xml:space="preserve">Докторске </w:t>
            </w:r>
          </w:p>
        </w:tc>
      </w:tr>
      <w:tr w:rsidR="000D6FB1" w:rsidRPr="00A22864" w:rsidTr="00475EDE">
        <w:trPr>
          <w:trHeight w:val="227"/>
        </w:trPr>
        <w:tc>
          <w:tcPr>
            <w:tcW w:w="922" w:type="dxa"/>
            <w:gridSpan w:val="2"/>
            <w:vAlign w:val="center"/>
          </w:tcPr>
          <w:p w:rsidR="000D6FB1" w:rsidRDefault="000D6FB1" w:rsidP="00E51D1E">
            <w:pPr>
              <w:tabs>
                <w:tab w:val="left" w:pos="567"/>
              </w:tabs>
              <w:spacing w:after="60"/>
              <w:rPr>
                <w:lang w:val="sr-Cyrl-CS"/>
              </w:rPr>
            </w:pPr>
            <w:r>
              <w:rPr>
                <w:lang w:val="sr-Cyrl-CS"/>
              </w:rPr>
              <w:t>7.</w:t>
            </w:r>
          </w:p>
        </w:tc>
        <w:tc>
          <w:tcPr>
            <w:tcW w:w="6411" w:type="dxa"/>
            <w:gridSpan w:val="4"/>
            <w:vAlign w:val="center"/>
          </w:tcPr>
          <w:p w:rsidR="000D6FB1" w:rsidRPr="00FD705E" w:rsidRDefault="000D6FB1" w:rsidP="00E51D1E">
            <w:pPr>
              <w:tabs>
                <w:tab w:val="left" w:pos="567"/>
              </w:tabs>
              <w:spacing w:after="60"/>
            </w:pPr>
            <w:r>
              <w:t>Киселинско-базне равнотеже и методе одређивања равнотежних константи</w:t>
            </w:r>
          </w:p>
        </w:tc>
        <w:tc>
          <w:tcPr>
            <w:tcW w:w="2165" w:type="dxa"/>
            <w:gridSpan w:val="3"/>
            <w:vAlign w:val="center"/>
          </w:tcPr>
          <w:p w:rsidR="000D6FB1" w:rsidRDefault="000D6FB1" w:rsidP="00E51D1E">
            <w:pPr>
              <w:tabs>
                <w:tab w:val="left" w:pos="567"/>
              </w:tabs>
              <w:spacing w:after="60"/>
              <w:rPr>
                <w:lang w:val="sr-Cyrl-CS"/>
              </w:rPr>
            </w:pPr>
            <w:r>
              <w:rPr>
                <w:lang w:val="sr-Cyrl-CS"/>
              </w:rPr>
              <w:t>Докторске</w:t>
            </w:r>
          </w:p>
        </w:tc>
      </w:tr>
      <w:tr w:rsidR="00637D53" w:rsidRPr="00A22864" w:rsidTr="00475EDE">
        <w:trPr>
          <w:trHeight w:val="227"/>
        </w:trPr>
        <w:tc>
          <w:tcPr>
            <w:tcW w:w="9498" w:type="dxa"/>
            <w:gridSpan w:val="9"/>
            <w:vAlign w:val="center"/>
          </w:tcPr>
          <w:p w:rsidR="00637D53" w:rsidRPr="00A22864" w:rsidRDefault="00637D53" w:rsidP="00F3443D">
            <w:pPr>
              <w:tabs>
                <w:tab w:val="left" w:pos="567"/>
              </w:tabs>
              <w:spacing w:after="60"/>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rPr>
                <w:b/>
                <w:sz w:val="16"/>
                <w:szCs w:val="16"/>
              </w:rPr>
            </w:pPr>
            <w:r w:rsidRPr="000D6FB1">
              <w:rPr>
                <w:rStyle w:val="EuropassTextBold"/>
                <w:rFonts w:ascii="Times New Roman" w:hAnsi="Times New Roman"/>
                <w:b w:val="0"/>
                <w:sz w:val="16"/>
                <w:szCs w:val="16"/>
              </w:rPr>
              <w:t>Milan Vraneš</w:t>
            </w:r>
            <w:r w:rsidRPr="000D6FB1">
              <w:rPr>
                <w:b/>
                <w:sz w:val="16"/>
                <w:szCs w:val="16"/>
              </w:rPr>
              <w:t xml:space="preserve">, </w:t>
            </w:r>
            <w:r w:rsidRPr="000D6FB1">
              <w:rPr>
                <w:sz w:val="16"/>
                <w:szCs w:val="16"/>
              </w:rPr>
              <w:t>Ivana Borišev, Aleksandar Tot, Stevan Armaković, Sanja Armaković, Danica Jović, Slobodan Gadžurić, Aleksandar Đorđević</w:t>
            </w:r>
            <w:r w:rsidRPr="000D6FB1">
              <w:rPr>
                <w:i/>
                <w:sz w:val="16"/>
                <w:szCs w:val="16"/>
              </w:rPr>
              <w:t xml:space="preserve">, </w:t>
            </w:r>
            <w:r w:rsidRPr="000D6FB1">
              <w:rPr>
                <w:rStyle w:val="EuropassTextItalics"/>
                <w:rFonts w:ascii="Times New Roman" w:hAnsi="Times New Roman"/>
                <w:i w:val="0"/>
                <w:sz w:val="16"/>
                <w:szCs w:val="16"/>
              </w:rPr>
              <w:t>Self-assembling, reactivity and molecular dynamics of fullerenol nanoparticles</w:t>
            </w:r>
            <w:r w:rsidRPr="000D6FB1">
              <w:rPr>
                <w:i/>
                <w:sz w:val="16"/>
                <w:szCs w:val="16"/>
              </w:rPr>
              <w:t>,</w:t>
            </w:r>
            <w:r w:rsidRPr="000D6FB1">
              <w:rPr>
                <w:sz w:val="16"/>
                <w:szCs w:val="16"/>
              </w:rPr>
              <w:t xml:space="preserve"> Phys. Chem. Chem. Phys, 19(1), 135-144, (2017).</w:t>
            </w:r>
            <w:r w:rsidRPr="000D6FB1">
              <w:rPr>
                <w:b/>
                <w:sz w:val="16"/>
                <w:szCs w:val="16"/>
              </w:rPr>
              <w:t xml:space="preserve"> </w:t>
            </w:r>
          </w:p>
        </w:tc>
        <w:tc>
          <w:tcPr>
            <w:tcW w:w="567" w:type="dxa"/>
            <w:vAlign w:val="center"/>
          </w:tcPr>
          <w:p w:rsidR="000D6FB1" w:rsidRPr="000D6FB1" w:rsidRDefault="000D6FB1" w:rsidP="00475EDE">
            <w:pPr>
              <w:tabs>
                <w:tab w:val="left" w:pos="567"/>
              </w:tabs>
              <w:spacing w:after="60"/>
              <w:rPr>
                <w:sz w:val="16"/>
                <w:lang w:val="sr-Cyrl-CS"/>
              </w:rPr>
            </w:pPr>
            <w:r w:rsidRPr="000D6FB1">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tabs>
                <w:tab w:val="left" w:pos="567"/>
              </w:tabs>
              <w:spacing w:after="60"/>
              <w:rPr>
                <w:sz w:val="16"/>
                <w:szCs w:val="16"/>
                <w:lang w:val="sr-Cyrl-CS"/>
              </w:rPr>
            </w:pPr>
            <w:r w:rsidRPr="000D6FB1">
              <w:rPr>
                <w:sz w:val="16"/>
                <w:szCs w:val="16"/>
                <w:lang w:val="sr-Cyrl-CS"/>
              </w:rPr>
              <w:t>Aleksandra Dimitrijević, Nebojša Zec, Nikola Zdolšek, Sanja Dožić, Aleksandar Tot, Slobodan Gadžurić, Milan Vraneš, Tatjana Trtić-Petrović, Aqueous biphasic system formation using 1-alkyl-3-ethylimidazolium bromide ionic liquids as new extractants, J. Ind. Eng. Chem, 40, 152-160, (2016).</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tabs>
                <w:tab w:val="left" w:pos="567"/>
              </w:tabs>
              <w:spacing w:after="60"/>
            </w:pPr>
            <w:r w:rsidRPr="000D6FB1">
              <w:rPr>
                <w:sz w:val="16"/>
                <w:lang w:val="en-GB"/>
              </w:rPr>
              <w:t xml:space="preserve">Milan </w:t>
            </w:r>
            <w:proofErr w:type="spellStart"/>
            <w:r w:rsidRPr="000D6FB1">
              <w:rPr>
                <w:sz w:val="16"/>
                <w:lang w:val="en-GB"/>
              </w:rPr>
              <w:t>Vraneš</w:t>
            </w:r>
            <w:proofErr w:type="spellEnd"/>
            <w:r w:rsidRPr="000D6FB1">
              <w:rPr>
                <w:sz w:val="16"/>
                <w:lang w:val="en-GB"/>
              </w:rPr>
              <w:t xml:space="preserve">, </w:t>
            </w:r>
            <w:proofErr w:type="spellStart"/>
            <w:r w:rsidRPr="000D6FB1">
              <w:rPr>
                <w:sz w:val="16"/>
                <w:lang w:val="en-GB"/>
              </w:rPr>
              <w:t>Aleksandar</w:t>
            </w:r>
            <w:proofErr w:type="spellEnd"/>
            <w:r w:rsidRPr="000D6FB1">
              <w:rPr>
                <w:sz w:val="16"/>
                <w:lang w:val="en-GB"/>
              </w:rPr>
              <w:t xml:space="preserve"> Tot, </w:t>
            </w:r>
            <w:proofErr w:type="spellStart"/>
            <w:r w:rsidRPr="000D6FB1">
              <w:rPr>
                <w:sz w:val="16"/>
                <w:lang w:val="en-GB"/>
              </w:rPr>
              <w:t>Suzana</w:t>
            </w:r>
            <w:proofErr w:type="spellEnd"/>
            <w:r w:rsidRPr="000D6FB1">
              <w:rPr>
                <w:sz w:val="16"/>
                <w:lang w:val="en-GB"/>
              </w:rPr>
              <w:t xml:space="preserve"> </w:t>
            </w:r>
            <w:proofErr w:type="spellStart"/>
            <w:r w:rsidRPr="000D6FB1">
              <w:rPr>
                <w:sz w:val="16"/>
                <w:lang w:val="en-GB"/>
              </w:rPr>
              <w:t>Jovanović-Šanta</w:t>
            </w:r>
            <w:proofErr w:type="spellEnd"/>
            <w:r w:rsidRPr="000D6FB1">
              <w:rPr>
                <w:sz w:val="16"/>
                <w:lang w:val="en-GB"/>
              </w:rPr>
              <w:t xml:space="preserve">, </w:t>
            </w:r>
            <w:proofErr w:type="spellStart"/>
            <w:r w:rsidRPr="000D6FB1">
              <w:rPr>
                <w:sz w:val="16"/>
                <w:lang w:val="en-GB"/>
              </w:rPr>
              <w:t>Maja</w:t>
            </w:r>
            <w:proofErr w:type="spellEnd"/>
            <w:r w:rsidRPr="000D6FB1">
              <w:rPr>
                <w:sz w:val="16"/>
                <w:lang w:val="en-GB"/>
              </w:rPr>
              <w:t xml:space="preserve"> </w:t>
            </w:r>
            <w:proofErr w:type="spellStart"/>
            <w:r w:rsidRPr="000D6FB1">
              <w:rPr>
                <w:sz w:val="16"/>
                <w:lang w:val="en-GB"/>
              </w:rPr>
              <w:t>Karaman</w:t>
            </w:r>
            <w:proofErr w:type="spellEnd"/>
            <w:r w:rsidRPr="000D6FB1">
              <w:rPr>
                <w:sz w:val="16"/>
                <w:lang w:val="en-GB"/>
              </w:rPr>
              <w:t xml:space="preserve">, </w:t>
            </w:r>
            <w:proofErr w:type="spellStart"/>
            <w:r w:rsidRPr="000D6FB1">
              <w:rPr>
                <w:sz w:val="16"/>
                <w:lang w:val="en-GB"/>
              </w:rPr>
              <w:t>Sanja</w:t>
            </w:r>
            <w:proofErr w:type="spellEnd"/>
            <w:r w:rsidRPr="000D6FB1">
              <w:rPr>
                <w:sz w:val="16"/>
                <w:lang w:val="en-GB"/>
              </w:rPr>
              <w:t xml:space="preserve"> </w:t>
            </w:r>
            <w:proofErr w:type="spellStart"/>
            <w:r w:rsidRPr="000D6FB1">
              <w:rPr>
                <w:sz w:val="16"/>
                <w:lang w:val="en-GB"/>
              </w:rPr>
              <w:t>Dožić</w:t>
            </w:r>
            <w:proofErr w:type="spellEnd"/>
            <w:r w:rsidRPr="000D6FB1">
              <w:rPr>
                <w:sz w:val="16"/>
                <w:lang w:val="en-GB"/>
              </w:rPr>
              <w:t xml:space="preserve">, Kristina </w:t>
            </w:r>
            <w:proofErr w:type="spellStart"/>
            <w:r w:rsidRPr="000D6FB1">
              <w:rPr>
                <w:sz w:val="16"/>
                <w:lang w:val="en-GB"/>
              </w:rPr>
              <w:t>Tešanović</w:t>
            </w:r>
            <w:proofErr w:type="spellEnd"/>
            <w:r w:rsidRPr="000D6FB1">
              <w:rPr>
                <w:sz w:val="16"/>
                <w:lang w:val="en-GB"/>
              </w:rPr>
              <w:t xml:space="preserve">, </w:t>
            </w:r>
            <w:proofErr w:type="spellStart"/>
            <w:r w:rsidRPr="000D6FB1">
              <w:rPr>
                <w:sz w:val="16"/>
                <w:lang w:val="en-GB"/>
              </w:rPr>
              <w:t>Vesna</w:t>
            </w:r>
            <w:proofErr w:type="spellEnd"/>
            <w:r w:rsidRPr="000D6FB1">
              <w:rPr>
                <w:sz w:val="16"/>
                <w:lang w:val="en-GB"/>
              </w:rPr>
              <w:t xml:space="preserve"> </w:t>
            </w:r>
            <w:proofErr w:type="spellStart"/>
            <w:r w:rsidRPr="000D6FB1">
              <w:rPr>
                <w:sz w:val="16"/>
                <w:lang w:val="en-GB"/>
              </w:rPr>
              <w:t>Kojić</w:t>
            </w:r>
            <w:proofErr w:type="spellEnd"/>
            <w:r w:rsidRPr="000D6FB1">
              <w:rPr>
                <w:sz w:val="16"/>
                <w:lang w:val="en-GB"/>
              </w:rPr>
              <w:t xml:space="preserve">, Slobodan </w:t>
            </w:r>
            <w:proofErr w:type="spellStart"/>
            <w:r w:rsidRPr="000D6FB1">
              <w:rPr>
                <w:sz w:val="16"/>
                <w:lang w:val="en-GB"/>
              </w:rPr>
              <w:t>Gadžurić</w:t>
            </w:r>
            <w:proofErr w:type="spellEnd"/>
            <w:r w:rsidRPr="000D6FB1">
              <w:rPr>
                <w:sz w:val="16"/>
                <w:lang w:val="en-GB"/>
              </w:rPr>
              <w:t xml:space="preserve">, Toxicity reduction of </w:t>
            </w:r>
            <w:proofErr w:type="spellStart"/>
            <w:r w:rsidRPr="000D6FB1">
              <w:rPr>
                <w:sz w:val="16"/>
                <w:lang w:val="en-GB"/>
              </w:rPr>
              <w:t>imidazolium</w:t>
            </w:r>
            <w:proofErr w:type="spellEnd"/>
            <w:r w:rsidRPr="000D6FB1">
              <w:rPr>
                <w:sz w:val="16"/>
                <w:lang w:val="en-GB"/>
              </w:rPr>
              <w:t xml:space="preserve">-based ionic liquids by the oxygenation of the alkyl substituent, RSC Advances, 6, 96289-96295, (2016). </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rPr>
                <w:sz w:val="16"/>
                <w:szCs w:val="16"/>
              </w:rPr>
            </w:pPr>
            <w:r w:rsidRPr="000D6FB1">
              <w:rPr>
                <w:sz w:val="16"/>
                <w:szCs w:val="16"/>
              </w:rPr>
              <w:t>Slobodan Gadžurić</w:t>
            </w:r>
            <w:r w:rsidRPr="000D6FB1">
              <w:rPr>
                <w:b/>
                <w:sz w:val="16"/>
                <w:szCs w:val="16"/>
              </w:rPr>
              <w:t xml:space="preserve">, </w:t>
            </w:r>
            <w:r w:rsidRPr="000D6FB1">
              <w:rPr>
                <w:rStyle w:val="EuropassTextBold"/>
                <w:rFonts w:ascii="Times New Roman" w:hAnsi="Times New Roman"/>
                <w:b w:val="0"/>
                <w:sz w:val="16"/>
                <w:szCs w:val="16"/>
              </w:rPr>
              <w:t>Milan Vraneš</w:t>
            </w:r>
            <w:r w:rsidRPr="000D6FB1">
              <w:rPr>
                <w:b/>
                <w:sz w:val="16"/>
                <w:szCs w:val="16"/>
              </w:rPr>
              <w:t>,</w:t>
            </w:r>
            <w:r w:rsidRPr="000D6FB1">
              <w:rPr>
                <w:sz w:val="16"/>
                <w:szCs w:val="16"/>
              </w:rPr>
              <w:t xml:space="preserve"> Sanja Dožić</w:t>
            </w:r>
            <w:r w:rsidRPr="000D6FB1">
              <w:rPr>
                <w:i/>
                <w:sz w:val="16"/>
                <w:szCs w:val="16"/>
              </w:rPr>
              <w:t xml:space="preserve">, </w:t>
            </w:r>
            <w:r w:rsidRPr="000D6FB1">
              <w:rPr>
                <w:rStyle w:val="EuropassTextItalics"/>
                <w:rFonts w:ascii="Times New Roman" w:hAnsi="Times New Roman"/>
                <w:i w:val="0"/>
                <w:sz w:val="16"/>
                <w:szCs w:val="16"/>
              </w:rPr>
              <w:t>Thermochromic cobalt(II) chloro complexes in different media: possible application for auto-regulated solar protection</w:t>
            </w:r>
            <w:r w:rsidRPr="000D6FB1">
              <w:rPr>
                <w:i/>
                <w:sz w:val="16"/>
                <w:szCs w:val="16"/>
              </w:rPr>
              <w:t xml:space="preserve">, </w:t>
            </w:r>
            <w:r w:rsidRPr="000D6FB1">
              <w:rPr>
                <w:sz w:val="16"/>
                <w:szCs w:val="16"/>
              </w:rPr>
              <w:t xml:space="preserve">Sol. Energ. Mat. Sol. C, </w:t>
            </w:r>
            <w:r w:rsidRPr="000D6FB1">
              <w:rPr>
                <w:rStyle w:val="EuropassTextBold"/>
                <w:rFonts w:ascii="Times New Roman" w:hAnsi="Times New Roman"/>
                <w:sz w:val="16"/>
                <w:szCs w:val="16"/>
              </w:rPr>
              <w:t>105</w:t>
            </w:r>
            <w:r w:rsidRPr="000D6FB1">
              <w:rPr>
                <w:sz w:val="16"/>
                <w:szCs w:val="16"/>
              </w:rPr>
              <w:t>, 309-316 (2012).</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rPr>
                <w:sz w:val="16"/>
                <w:szCs w:val="16"/>
              </w:rPr>
            </w:pPr>
            <w:r w:rsidRPr="000D6FB1">
              <w:rPr>
                <w:sz w:val="16"/>
                <w:szCs w:val="16"/>
              </w:rPr>
              <w:t>Sergej Ostojić, Jelena Ostojić, Patrik Drid</w:t>
            </w:r>
            <w:r w:rsidRPr="000D6FB1">
              <w:rPr>
                <w:b/>
                <w:sz w:val="16"/>
                <w:szCs w:val="16"/>
              </w:rPr>
              <w:t xml:space="preserve">, </w:t>
            </w:r>
            <w:r w:rsidRPr="000D6FB1">
              <w:rPr>
                <w:rStyle w:val="EuropassTextBold"/>
                <w:rFonts w:ascii="Times New Roman" w:hAnsi="Times New Roman"/>
                <w:b w:val="0"/>
                <w:sz w:val="16"/>
                <w:szCs w:val="16"/>
              </w:rPr>
              <w:t>Milan Vraneš</w:t>
            </w:r>
            <w:r w:rsidRPr="000D6FB1">
              <w:rPr>
                <w:b/>
                <w:sz w:val="16"/>
                <w:szCs w:val="16"/>
              </w:rPr>
              <w:t>,</w:t>
            </w:r>
            <w:r w:rsidRPr="000D6FB1">
              <w:rPr>
                <w:sz w:val="16"/>
                <w:szCs w:val="16"/>
              </w:rPr>
              <w:t xml:space="preserve"> Pavle Jovanov</w:t>
            </w:r>
            <w:r w:rsidRPr="000D6FB1">
              <w:rPr>
                <w:i/>
                <w:sz w:val="16"/>
                <w:szCs w:val="16"/>
              </w:rPr>
              <w:t xml:space="preserve">, </w:t>
            </w:r>
            <w:r w:rsidRPr="000D6FB1">
              <w:rPr>
                <w:rStyle w:val="EuropassTextItalics"/>
                <w:rFonts w:ascii="Times New Roman" w:hAnsi="Times New Roman"/>
                <w:i w:val="0"/>
                <w:sz w:val="16"/>
                <w:szCs w:val="16"/>
              </w:rPr>
              <w:t>Dietary guanidinoacetic acid increases brain creatine levels in healthy men</w:t>
            </w:r>
            <w:r w:rsidRPr="000D6FB1">
              <w:rPr>
                <w:i/>
                <w:sz w:val="16"/>
                <w:szCs w:val="16"/>
              </w:rPr>
              <w:t xml:space="preserve">, </w:t>
            </w:r>
            <w:r w:rsidRPr="000D6FB1">
              <w:rPr>
                <w:sz w:val="16"/>
                <w:szCs w:val="16"/>
              </w:rPr>
              <w:t xml:space="preserve">Nutrition, 33, 149-156, (2016). </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М22</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tabs>
                <w:tab w:val="left" w:pos="567"/>
              </w:tabs>
              <w:spacing w:after="60"/>
              <w:rPr>
                <w:sz w:val="16"/>
                <w:szCs w:val="16"/>
                <w:lang w:val="sr-Cyrl-CS"/>
              </w:rPr>
            </w:pPr>
            <w:r w:rsidRPr="000D6FB1">
              <w:rPr>
                <w:sz w:val="16"/>
                <w:szCs w:val="16"/>
                <w:lang w:val="sr-Cyrl-CS"/>
              </w:rPr>
              <w:t xml:space="preserve">Nemanja Banić, Biljana Abramović, Filip Šibul, Dejan Orčić, Malcolm Watson, Milan Vraneš, Slobodan Gadžurić, Аdvanced oxidation processes for the removal of [bmim][Sal] third generation ionic liquid: Effect of water matrices and intermediates identification, RSC Advances, 6,52826-52837, (2016). </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tabs>
                <w:tab w:val="left" w:pos="567"/>
              </w:tabs>
              <w:spacing w:after="60"/>
              <w:rPr>
                <w:lang w:val="sr-Cyrl-CS"/>
              </w:rPr>
            </w:pPr>
            <w:r w:rsidRPr="000D6FB1">
              <w:rPr>
                <w:sz w:val="16"/>
                <w:lang w:val="sr-Cyrl-CS"/>
              </w:rPr>
              <w:t>Milan Vraneš, Sanja Dožić, Vesna Đerić, Slobodan Gadžurić, Physicochemical Characterization of 1-Butyl-3-methylimidazolium and 1-Butyl-1-methylpyrrolidinium Bis(trifluoromethylsulfonyl)imide,J. Chem. Eng. Data, 57, 1072-1077 (2012).</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3385C" w:rsidRDefault="0003385C" w:rsidP="0003385C">
            <w:pPr>
              <w:widowControl/>
              <w:autoSpaceDE/>
              <w:autoSpaceDN/>
              <w:adjustRightInd/>
              <w:jc w:val="both"/>
              <w:rPr>
                <w:sz w:val="16"/>
              </w:rPr>
            </w:pPr>
            <w:r w:rsidRPr="0003385C">
              <w:rPr>
                <w:sz w:val="16"/>
              </w:rPr>
              <w:t xml:space="preserve">Snežana Papović, Slobodan Gadžurić, Marija Bešter-Rogač, Milan Vraneš, Effect of the alkyl chain length on the electrical conductivity of six (imidazolium-based ionic liquids + γ-butyrolactone) binary mixtures, J. Chem. Thermodynamics, 102, 367-377, (2016). </w:t>
            </w:r>
          </w:p>
        </w:tc>
        <w:tc>
          <w:tcPr>
            <w:tcW w:w="567" w:type="dxa"/>
            <w:vAlign w:val="center"/>
          </w:tcPr>
          <w:p w:rsidR="000D6FB1" w:rsidRPr="000D6FB1" w:rsidRDefault="0003385C" w:rsidP="00475EDE">
            <w:pPr>
              <w:tabs>
                <w:tab w:val="left" w:pos="567"/>
              </w:tabs>
              <w:spacing w:after="60"/>
              <w:rPr>
                <w:sz w:val="16"/>
                <w:lang w:val="sr-Cyrl-CS"/>
              </w:rPr>
            </w:pPr>
            <w:r>
              <w:rPr>
                <w:sz w:val="16"/>
                <w:lang w:val="sr-Cyrl-CS"/>
              </w:rPr>
              <w:t>М21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tabs>
                <w:tab w:val="left" w:pos="567"/>
              </w:tabs>
              <w:spacing w:after="60"/>
              <w:rPr>
                <w:lang w:val="sr-Cyrl-CS"/>
              </w:rPr>
            </w:pPr>
            <w:r w:rsidRPr="000D6FB1">
              <w:rPr>
                <w:sz w:val="16"/>
                <w:lang w:val="sr-Cyrl-CS"/>
              </w:rPr>
              <w:t>Valdemar Štajer, Tatjana Trivić, Patrik Drid, Milan Vraneš, Sergej Ostojić, A single session of exhaustive exercise markedly decreases circulating levels of guanidinoacetic acid in healthy men and women, Appl Physiol Nutr Me, 41(10), 1100-1103, (2016).</w:t>
            </w:r>
          </w:p>
        </w:tc>
        <w:tc>
          <w:tcPr>
            <w:tcW w:w="567" w:type="dxa"/>
            <w:vAlign w:val="center"/>
          </w:tcPr>
          <w:p w:rsidR="000D6FB1" w:rsidRPr="000D6FB1" w:rsidRDefault="000D6FB1" w:rsidP="0003385C">
            <w:pPr>
              <w:tabs>
                <w:tab w:val="left" w:pos="567"/>
              </w:tabs>
              <w:spacing w:after="60"/>
              <w:rPr>
                <w:sz w:val="16"/>
                <w:lang w:val="sr-Cyrl-CS"/>
              </w:rPr>
            </w:pPr>
            <w:r>
              <w:rPr>
                <w:sz w:val="16"/>
                <w:lang w:val="sr-Cyrl-CS"/>
              </w:rPr>
              <w:t>М2</w:t>
            </w:r>
            <w:r w:rsidR="0003385C">
              <w:rPr>
                <w:sz w:val="16"/>
                <w:lang w:val="sr-Cyrl-CS"/>
              </w:rPr>
              <w:t>1</w:t>
            </w:r>
          </w:p>
        </w:tc>
      </w:tr>
      <w:tr w:rsidR="000D6FB1" w:rsidRPr="00A22864" w:rsidTr="00475EDE">
        <w:trPr>
          <w:trHeight w:val="227"/>
        </w:trPr>
        <w:tc>
          <w:tcPr>
            <w:tcW w:w="521" w:type="dxa"/>
            <w:vAlign w:val="center"/>
          </w:tcPr>
          <w:p w:rsidR="000D6FB1" w:rsidRPr="00F3443D" w:rsidRDefault="000D6FB1" w:rsidP="000D6FB1">
            <w:pPr>
              <w:widowControl/>
              <w:numPr>
                <w:ilvl w:val="0"/>
                <w:numId w:val="1"/>
              </w:numPr>
              <w:tabs>
                <w:tab w:val="left" w:pos="567"/>
              </w:tabs>
              <w:autoSpaceDE/>
              <w:autoSpaceDN/>
              <w:adjustRightInd/>
              <w:spacing w:after="60"/>
              <w:ind w:left="414" w:hanging="357"/>
              <w:rPr>
                <w:lang w:val="sr-Cyrl-CS"/>
              </w:rPr>
            </w:pPr>
          </w:p>
        </w:tc>
        <w:tc>
          <w:tcPr>
            <w:tcW w:w="8410" w:type="dxa"/>
            <w:gridSpan w:val="7"/>
            <w:shd w:val="clear" w:color="auto" w:fill="auto"/>
            <w:vAlign w:val="center"/>
          </w:tcPr>
          <w:p w:rsidR="000D6FB1" w:rsidRPr="000D6FB1" w:rsidRDefault="000D6FB1" w:rsidP="00E51D1E">
            <w:pPr>
              <w:tabs>
                <w:tab w:val="left" w:pos="567"/>
              </w:tabs>
              <w:spacing w:after="60"/>
              <w:rPr>
                <w:lang w:val="sr-Cyrl-CS"/>
              </w:rPr>
            </w:pPr>
            <w:r w:rsidRPr="000D6FB1">
              <w:rPr>
                <w:sz w:val="16"/>
                <w:lang w:val="sr-Cyrl-CS"/>
              </w:rPr>
              <w:t>Milan Vraneš, Stevan Armaković, Aleksandar Tot, Snežana Papović, Nebojša Zec, Sanja Armaković, Nemanja Banić, Biljana Abramović, Slobodan Gadžurić, Structuring of water in the new generation ionic liquid – Comparative experimental and theoretical study, J. Chem. Thermodynamics, 93, 164-171, (2016).</w:t>
            </w:r>
          </w:p>
        </w:tc>
        <w:tc>
          <w:tcPr>
            <w:tcW w:w="567" w:type="dxa"/>
            <w:vAlign w:val="center"/>
          </w:tcPr>
          <w:p w:rsidR="000D6FB1" w:rsidRPr="000D6FB1" w:rsidRDefault="000D6FB1" w:rsidP="00475EDE">
            <w:pPr>
              <w:tabs>
                <w:tab w:val="left" w:pos="567"/>
              </w:tabs>
              <w:spacing w:after="60"/>
              <w:rPr>
                <w:sz w:val="16"/>
                <w:lang w:val="sr-Cyrl-CS"/>
              </w:rPr>
            </w:pPr>
            <w:r>
              <w:rPr>
                <w:sz w:val="16"/>
                <w:lang w:val="sr-Cyrl-CS"/>
              </w:rPr>
              <w:t>М21</w:t>
            </w:r>
          </w:p>
        </w:tc>
      </w:tr>
      <w:tr w:rsidR="00637D53" w:rsidRPr="00A22864" w:rsidTr="0003385C">
        <w:trPr>
          <w:trHeight w:val="545"/>
        </w:trPr>
        <w:tc>
          <w:tcPr>
            <w:tcW w:w="521" w:type="dxa"/>
            <w:vAlign w:val="center"/>
          </w:tcPr>
          <w:p w:rsidR="00637D53" w:rsidRPr="00F3443D" w:rsidRDefault="00637D53" w:rsidP="006B597E">
            <w:pPr>
              <w:pStyle w:val="ListParagraph"/>
              <w:numPr>
                <w:ilvl w:val="0"/>
                <w:numId w:val="1"/>
              </w:numPr>
              <w:tabs>
                <w:tab w:val="left" w:pos="567"/>
              </w:tabs>
              <w:spacing w:after="60"/>
              <w:ind w:left="414" w:hanging="357"/>
              <w:rPr>
                <w:lang w:val="sr-Cyrl-CS"/>
              </w:rPr>
            </w:pPr>
          </w:p>
        </w:tc>
        <w:tc>
          <w:tcPr>
            <w:tcW w:w="8410" w:type="dxa"/>
            <w:gridSpan w:val="7"/>
            <w:shd w:val="clear" w:color="auto" w:fill="auto"/>
            <w:vAlign w:val="center"/>
          </w:tcPr>
          <w:p w:rsidR="00637D53" w:rsidRPr="0003385C" w:rsidRDefault="0003385C" w:rsidP="0003385C">
            <w:pPr>
              <w:pStyle w:val="Heading1"/>
              <w:shd w:val="clear" w:color="auto" w:fill="FFFFFF"/>
              <w:spacing w:before="0" w:beforeAutospacing="0" w:after="0" w:afterAutospacing="0"/>
              <w:jc w:val="both"/>
              <w:rPr>
                <w:b w:val="0"/>
                <w:sz w:val="16"/>
                <w:szCs w:val="16"/>
              </w:rPr>
            </w:pPr>
            <w:r w:rsidRPr="0003385C">
              <w:rPr>
                <w:b w:val="0"/>
                <w:sz w:val="16"/>
                <w:szCs w:val="16"/>
              </w:rPr>
              <w:t xml:space="preserve">Aleksandar Tot, Stevan Armaković, Sanja Armaković, Slobodan Gadžurić,  Milan Vraneš, Kosmotropism of newly synthesized 1-butyl-3-methylimidazolium taurate ionic liquid: Experimental and computational study, J. Chem. Thermodynamics, 94, 85-95, (2016). </w:t>
            </w:r>
          </w:p>
        </w:tc>
        <w:tc>
          <w:tcPr>
            <w:tcW w:w="567" w:type="dxa"/>
            <w:vAlign w:val="center"/>
          </w:tcPr>
          <w:p w:rsidR="00637D53" w:rsidRPr="0003385C" w:rsidRDefault="0003385C" w:rsidP="00475EDE">
            <w:pPr>
              <w:tabs>
                <w:tab w:val="left" w:pos="567"/>
              </w:tabs>
              <w:spacing w:after="60"/>
              <w:rPr>
                <w:sz w:val="16"/>
                <w:szCs w:val="16"/>
                <w:lang w:val="sr-Cyrl-CS"/>
              </w:rPr>
            </w:pPr>
            <w:r w:rsidRPr="0003385C">
              <w:rPr>
                <w:sz w:val="16"/>
                <w:szCs w:val="16"/>
                <w:lang w:val="sr-Cyrl-CS"/>
              </w:rPr>
              <w:t>М21</w:t>
            </w:r>
          </w:p>
        </w:tc>
      </w:tr>
      <w:tr w:rsidR="00637D53" w:rsidRPr="00A22864" w:rsidTr="00475EDE">
        <w:trPr>
          <w:trHeight w:val="227"/>
        </w:trPr>
        <w:tc>
          <w:tcPr>
            <w:tcW w:w="521" w:type="dxa"/>
            <w:vAlign w:val="center"/>
          </w:tcPr>
          <w:p w:rsidR="00637D53" w:rsidRPr="00F3443D" w:rsidRDefault="00637D53" w:rsidP="006B597E">
            <w:pPr>
              <w:pStyle w:val="ListParagraph"/>
              <w:numPr>
                <w:ilvl w:val="0"/>
                <w:numId w:val="1"/>
              </w:numPr>
              <w:tabs>
                <w:tab w:val="left" w:pos="567"/>
              </w:tabs>
              <w:spacing w:after="60"/>
              <w:ind w:left="414" w:hanging="357"/>
              <w:rPr>
                <w:lang w:val="sr-Cyrl-CS"/>
              </w:rPr>
            </w:pPr>
          </w:p>
        </w:tc>
        <w:tc>
          <w:tcPr>
            <w:tcW w:w="8410" w:type="dxa"/>
            <w:gridSpan w:val="7"/>
            <w:shd w:val="clear" w:color="auto" w:fill="auto"/>
            <w:vAlign w:val="center"/>
          </w:tcPr>
          <w:p w:rsidR="00637D53" w:rsidRPr="006B597E" w:rsidRDefault="0003385C" w:rsidP="0003385C">
            <w:pPr>
              <w:widowControl/>
              <w:autoSpaceDE/>
              <w:autoSpaceDN/>
              <w:adjustRightInd/>
              <w:jc w:val="both"/>
              <w:rPr>
                <w:sz w:val="16"/>
              </w:rPr>
            </w:pPr>
            <w:r w:rsidRPr="006B597E">
              <w:rPr>
                <w:sz w:val="16"/>
                <w:lang w:val="sl-SI"/>
              </w:rPr>
              <w:t xml:space="preserve">Sergej Ostojić, Jelena Ostojić, Patrik Drid, Milan Vraneš, Guanidinoacetic acid vs. creatine for improved brain and muscle creatine levels: a superiority pilot trial in healthy men, </w:t>
            </w:r>
            <w:r w:rsidRPr="006B597E">
              <w:rPr>
                <w:sz w:val="16"/>
              </w:rPr>
              <w:t xml:space="preserve">Appl Physiol Nutr Me, </w:t>
            </w:r>
            <w:r w:rsidRPr="006B597E">
              <w:rPr>
                <w:b/>
                <w:sz w:val="16"/>
              </w:rPr>
              <w:t xml:space="preserve">41(9), </w:t>
            </w:r>
            <w:r w:rsidRPr="006B597E">
              <w:rPr>
                <w:sz w:val="16"/>
              </w:rPr>
              <w:t xml:space="preserve">1005-1007, (2016). </w:t>
            </w:r>
          </w:p>
        </w:tc>
        <w:tc>
          <w:tcPr>
            <w:tcW w:w="567" w:type="dxa"/>
            <w:vAlign w:val="center"/>
          </w:tcPr>
          <w:p w:rsidR="00637D53" w:rsidRPr="0003385C" w:rsidRDefault="0003385C" w:rsidP="00475EDE">
            <w:pPr>
              <w:tabs>
                <w:tab w:val="left" w:pos="567"/>
              </w:tabs>
              <w:spacing w:after="60"/>
              <w:rPr>
                <w:sz w:val="16"/>
                <w:szCs w:val="16"/>
                <w:lang w:val="sr-Cyrl-CS"/>
              </w:rPr>
            </w:pPr>
            <w:r>
              <w:rPr>
                <w:sz w:val="16"/>
                <w:szCs w:val="16"/>
                <w:lang w:val="sr-Cyrl-CS"/>
              </w:rPr>
              <w:t>М21</w:t>
            </w:r>
          </w:p>
        </w:tc>
      </w:tr>
      <w:tr w:rsidR="00637D53" w:rsidRPr="00A22864" w:rsidTr="00475EDE">
        <w:trPr>
          <w:trHeight w:val="227"/>
        </w:trPr>
        <w:tc>
          <w:tcPr>
            <w:tcW w:w="521" w:type="dxa"/>
            <w:vAlign w:val="center"/>
          </w:tcPr>
          <w:p w:rsidR="00637D53" w:rsidRPr="00F3443D" w:rsidRDefault="00637D53" w:rsidP="006B597E">
            <w:pPr>
              <w:pStyle w:val="ListParagraph"/>
              <w:numPr>
                <w:ilvl w:val="0"/>
                <w:numId w:val="1"/>
              </w:numPr>
              <w:tabs>
                <w:tab w:val="left" w:pos="567"/>
              </w:tabs>
              <w:spacing w:after="60"/>
              <w:ind w:left="414" w:hanging="357"/>
              <w:rPr>
                <w:lang w:val="sr-Cyrl-CS"/>
              </w:rPr>
            </w:pPr>
          </w:p>
        </w:tc>
        <w:tc>
          <w:tcPr>
            <w:tcW w:w="8410" w:type="dxa"/>
            <w:gridSpan w:val="7"/>
            <w:shd w:val="clear" w:color="auto" w:fill="auto"/>
            <w:vAlign w:val="center"/>
          </w:tcPr>
          <w:p w:rsidR="00637D53" w:rsidRPr="0003385C" w:rsidRDefault="006B597E" w:rsidP="006B597E">
            <w:pPr>
              <w:tabs>
                <w:tab w:val="left" w:pos="567"/>
              </w:tabs>
              <w:spacing w:after="60"/>
              <w:rPr>
                <w:sz w:val="16"/>
                <w:szCs w:val="16"/>
                <w:lang w:val="sr-Cyrl-CS"/>
              </w:rPr>
            </w:pPr>
            <w:r w:rsidRPr="006B597E">
              <w:rPr>
                <w:sz w:val="16"/>
                <w:szCs w:val="16"/>
                <w:lang w:val="sr-Cyrl-CS"/>
              </w:rPr>
              <w:t xml:space="preserve">Sanja Dozić; Nebojša Zec; Aleksandar Tot; Snežana Papović; Ksenija Pavlovic; Slobodan Gadžuric; Milan Vraneš, Does the variation of the alkyl chain length on N1 and N3 of imidazole ring affect physicochemical features of ionic liquids in the same way? J. Chem. Thermodynamics, 93, 52-59, (2016). </w:t>
            </w:r>
          </w:p>
        </w:tc>
        <w:tc>
          <w:tcPr>
            <w:tcW w:w="567" w:type="dxa"/>
            <w:vAlign w:val="center"/>
          </w:tcPr>
          <w:p w:rsidR="00637D53" w:rsidRPr="0003385C" w:rsidRDefault="006B597E" w:rsidP="00475EDE">
            <w:pPr>
              <w:tabs>
                <w:tab w:val="left" w:pos="567"/>
              </w:tabs>
              <w:spacing w:after="60"/>
              <w:rPr>
                <w:sz w:val="16"/>
                <w:szCs w:val="16"/>
                <w:lang w:val="sr-Cyrl-CS"/>
              </w:rPr>
            </w:pPr>
            <w:r>
              <w:rPr>
                <w:sz w:val="16"/>
                <w:szCs w:val="16"/>
                <w:lang w:val="sr-Cyrl-CS"/>
              </w:rPr>
              <w:t>М21</w:t>
            </w:r>
          </w:p>
        </w:tc>
      </w:tr>
      <w:tr w:rsidR="00637D53" w:rsidRPr="00A22864" w:rsidTr="00475EDE">
        <w:trPr>
          <w:trHeight w:val="227"/>
        </w:trPr>
        <w:tc>
          <w:tcPr>
            <w:tcW w:w="521" w:type="dxa"/>
            <w:vAlign w:val="center"/>
          </w:tcPr>
          <w:p w:rsidR="00637D53" w:rsidRPr="00F3443D" w:rsidRDefault="00637D53" w:rsidP="006B597E">
            <w:pPr>
              <w:pStyle w:val="ListParagraph"/>
              <w:numPr>
                <w:ilvl w:val="0"/>
                <w:numId w:val="1"/>
              </w:numPr>
              <w:tabs>
                <w:tab w:val="left" w:pos="567"/>
              </w:tabs>
              <w:spacing w:after="60"/>
              <w:ind w:left="414" w:hanging="357"/>
              <w:rPr>
                <w:lang w:val="sr-Cyrl-CS"/>
              </w:rPr>
            </w:pPr>
          </w:p>
        </w:tc>
        <w:tc>
          <w:tcPr>
            <w:tcW w:w="8410" w:type="dxa"/>
            <w:gridSpan w:val="7"/>
            <w:shd w:val="clear" w:color="auto" w:fill="auto"/>
            <w:vAlign w:val="center"/>
          </w:tcPr>
          <w:p w:rsidR="00637D53" w:rsidRPr="0003385C" w:rsidRDefault="006B597E" w:rsidP="006B597E">
            <w:pPr>
              <w:tabs>
                <w:tab w:val="left" w:pos="567"/>
              </w:tabs>
              <w:spacing w:after="60"/>
              <w:rPr>
                <w:sz w:val="16"/>
                <w:szCs w:val="16"/>
                <w:lang w:val="sr-Cyrl-CS"/>
              </w:rPr>
            </w:pPr>
            <w:r w:rsidRPr="006B597E">
              <w:rPr>
                <w:sz w:val="16"/>
                <w:szCs w:val="16"/>
                <w:lang w:val="sr-Cyrl-CS"/>
              </w:rPr>
              <w:t xml:space="preserve">Milan Vranes, Aleksandar Tot, Stevan Armakovic, Sanja Armakovic, Slobodan Gadzuric, Structure making properties of 1-(2-hydroxylethyl)-3-methylimidazolium chloride ionic liquid, J. Chem. Thermodynamics, 95, 174-179, (2016). </w:t>
            </w:r>
          </w:p>
        </w:tc>
        <w:tc>
          <w:tcPr>
            <w:tcW w:w="567" w:type="dxa"/>
            <w:vAlign w:val="center"/>
          </w:tcPr>
          <w:p w:rsidR="00637D53" w:rsidRPr="0003385C" w:rsidRDefault="006B597E" w:rsidP="00475EDE">
            <w:pPr>
              <w:tabs>
                <w:tab w:val="left" w:pos="567"/>
              </w:tabs>
              <w:spacing w:after="60"/>
              <w:rPr>
                <w:sz w:val="16"/>
                <w:szCs w:val="16"/>
                <w:lang w:val="sr-Cyrl-CS"/>
              </w:rPr>
            </w:pPr>
            <w:r>
              <w:rPr>
                <w:sz w:val="16"/>
                <w:szCs w:val="16"/>
                <w:lang w:val="sr-Cyrl-CS"/>
              </w:rPr>
              <w:t>М21</w:t>
            </w:r>
          </w:p>
        </w:tc>
      </w:tr>
      <w:tr w:rsidR="006B597E" w:rsidRPr="00A22864" w:rsidTr="00475EDE">
        <w:trPr>
          <w:trHeight w:val="227"/>
        </w:trPr>
        <w:tc>
          <w:tcPr>
            <w:tcW w:w="521" w:type="dxa"/>
            <w:vAlign w:val="center"/>
          </w:tcPr>
          <w:p w:rsidR="006B597E" w:rsidRPr="00F3443D" w:rsidRDefault="006B597E" w:rsidP="006B597E">
            <w:pPr>
              <w:pStyle w:val="ListParagraph"/>
              <w:numPr>
                <w:ilvl w:val="0"/>
                <w:numId w:val="1"/>
              </w:numPr>
              <w:tabs>
                <w:tab w:val="left" w:pos="567"/>
              </w:tabs>
              <w:spacing w:after="60"/>
              <w:ind w:left="414" w:hanging="357"/>
              <w:rPr>
                <w:lang w:val="sr-Cyrl-CS"/>
              </w:rPr>
            </w:pPr>
          </w:p>
        </w:tc>
        <w:tc>
          <w:tcPr>
            <w:tcW w:w="8410" w:type="dxa"/>
            <w:gridSpan w:val="7"/>
            <w:shd w:val="clear" w:color="auto" w:fill="auto"/>
            <w:vAlign w:val="center"/>
          </w:tcPr>
          <w:p w:rsidR="006B597E" w:rsidRPr="006B597E" w:rsidRDefault="006B597E" w:rsidP="006B597E">
            <w:pPr>
              <w:tabs>
                <w:tab w:val="left" w:pos="567"/>
              </w:tabs>
              <w:spacing w:after="60"/>
              <w:rPr>
                <w:sz w:val="16"/>
                <w:szCs w:val="16"/>
              </w:rPr>
            </w:pPr>
            <w:r>
              <w:rPr>
                <w:sz w:val="16"/>
                <w:szCs w:val="16"/>
                <w:lang w:val="sr-Cyrl-CS"/>
              </w:rPr>
              <w:t>Snežana Papović, M</w:t>
            </w:r>
            <w:r>
              <w:rPr>
                <w:sz w:val="16"/>
                <w:szCs w:val="16"/>
              </w:rPr>
              <w:t>i</w:t>
            </w:r>
            <w:r>
              <w:rPr>
                <w:sz w:val="16"/>
                <w:szCs w:val="16"/>
                <w:lang w:val="sr-Cyrl-CS"/>
              </w:rPr>
              <w:t xml:space="preserve">lan Vraneš, </w:t>
            </w:r>
            <w:r>
              <w:rPr>
                <w:sz w:val="16"/>
                <w:szCs w:val="16"/>
              </w:rPr>
              <w:t xml:space="preserve">Stevan Armaković, Sanja Armaković, </w:t>
            </w:r>
            <w:r w:rsidRPr="006B597E">
              <w:rPr>
                <w:sz w:val="16"/>
                <w:szCs w:val="16"/>
              </w:rPr>
              <w:t>Katalin Meszaros Szecsenyi</w:t>
            </w:r>
            <w:r>
              <w:rPr>
                <w:sz w:val="16"/>
                <w:szCs w:val="16"/>
              </w:rPr>
              <w:t xml:space="preserve">, Marija Bešter-Rogač, Slobodan Gadžurić, </w:t>
            </w:r>
            <w:r w:rsidRPr="006B597E">
              <w:rPr>
                <w:sz w:val="16"/>
                <w:szCs w:val="16"/>
              </w:rPr>
              <w:t>Investigation of 1,2,3-trialkylimidazolium ionic liquids: experiment and density functional theory calculations</w:t>
            </w:r>
            <w:r>
              <w:rPr>
                <w:sz w:val="16"/>
                <w:szCs w:val="16"/>
              </w:rPr>
              <w:t xml:space="preserve">,  New J. Chem. 41, 650-660, (2017). </w:t>
            </w:r>
          </w:p>
        </w:tc>
        <w:tc>
          <w:tcPr>
            <w:tcW w:w="567" w:type="dxa"/>
            <w:vAlign w:val="center"/>
          </w:tcPr>
          <w:p w:rsidR="006B597E" w:rsidRPr="006B597E" w:rsidRDefault="006B597E" w:rsidP="00475EDE">
            <w:pPr>
              <w:tabs>
                <w:tab w:val="left" w:pos="567"/>
              </w:tabs>
              <w:spacing w:after="60"/>
              <w:rPr>
                <w:sz w:val="16"/>
                <w:szCs w:val="16"/>
              </w:rPr>
            </w:pPr>
            <w:r>
              <w:rPr>
                <w:sz w:val="16"/>
                <w:szCs w:val="16"/>
              </w:rPr>
              <w:t>M21</w:t>
            </w:r>
          </w:p>
        </w:tc>
      </w:tr>
      <w:tr w:rsidR="00637D53" w:rsidRPr="00A22864" w:rsidTr="00475EDE">
        <w:trPr>
          <w:trHeight w:val="227"/>
        </w:trPr>
        <w:tc>
          <w:tcPr>
            <w:tcW w:w="9498" w:type="dxa"/>
            <w:gridSpan w:val="9"/>
            <w:vAlign w:val="center"/>
          </w:tcPr>
          <w:p w:rsidR="00637D53" w:rsidRPr="00A22864" w:rsidRDefault="00637D53" w:rsidP="00475EDE">
            <w:pPr>
              <w:tabs>
                <w:tab w:val="left" w:pos="567"/>
              </w:tabs>
              <w:spacing w:after="60"/>
              <w:rPr>
                <w:lang w:val="sr-Cyrl-CS"/>
              </w:rPr>
            </w:pPr>
            <w:r w:rsidRPr="00A22864">
              <w:rPr>
                <w:b/>
                <w:lang w:val="sr-Cyrl-CS"/>
              </w:rPr>
              <w:t>Збирни подаци научне активност наставника</w:t>
            </w:r>
          </w:p>
        </w:tc>
      </w:tr>
      <w:tr w:rsidR="00637D53" w:rsidRPr="00A22864" w:rsidTr="00475EDE">
        <w:trPr>
          <w:trHeight w:val="227"/>
        </w:trPr>
        <w:tc>
          <w:tcPr>
            <w:tcW w:w="4929" w:type="dxa"/>
            <w:gridSpan w:val="5"/>
            <w:vAlign w:val="center"/>
          </w:tcPr>
          <w:p w:rsidR="00637D53" w:rsidRPr="00A22864" w:rsidRDefault="00637D53" w:rsidP="00475EDE">
            <w:pPr>
              <w:tabs>
                <w:tab w:val="left" w:pos="567"/>
              </w:tabs>
              <w:spacing w:after="60"/>
              <w:rPr>
                <w:lang w:val="sr-Cyrl-CS"/>
              </w:rPr>
            </w:pPr>
            <w:r w:rsidRPr="00A22864">
              <w:rPr>
                <w:lang w:val="sr-Cyrl-CS"/>
              </w:rPr>
              <w:t>Укупан број цитата, без аутоцитата</w:t>
            </w:r>
          </w:p>
        </w:tc>
        <w:tc>
          <w:tcPr>
            <w:tcW w:w="4569" w:type="dxa"/>
            <w:gridSpan w:val="4"/>
            <w:vAlign w:val="center"/>
          </w:tcPr>
          <w:p w:rsidR="00637D53" w:rsidRPr="00A22864" w:rsidRDefault="007C7471" w:rsidP="00475EDE">
            <w:pPr>
              <w:tabs>
                <w:tab w:val="left" w:pos="567"/>
              </w:tabs>
              <w:spacing w:after="60"/>
              <w:rPr>
                <w:lang w:val="sr-Cyrl-CS"/>
              </w:rPr>
            </w:pPr>
            <w:r>
              <w:rPr>
                <w:lang w:val="sr-Cyrl-CS"/>
              </w:rPr>
              <w:t xml:space="preserve">Укупан број цитата </w:t>
            </w:r>
            <w:r>
              <w:t>271</w:t>
            </w:r>
            <w:r>
              <w:rPr>
                <w:lang w:val="sr-Cyrl-CS"/>
              </w:rPr>
              <w:t xml:space="preserve">, без аутоцитата </w:t>
            </w:r>
            <w:r>
              <w:rPr>
                <w:lang w:val="en-US"/>
              </w:rPr>
              <w:t>155</w:t>
            </w:r>
          </w:p>
        </w:tc>
      </w:tr>
      <w:tr w:rsidR="00637D53" w:rsidRPr="00A22864" w:rsidTr="00475EDE">
        <w:trPr>
          <w:trHeight w:val="227"/>
        </w:trPr>
        <w:tc>
          <w:tcPr>
            <w:tcW w:w="4929" w:type="dxa"/>
            <w:gridSpan w:val="5"/>
            <w:vAlign w:val="center"/>
          </w:tcPr>
          <w:p w:rsidR="00637D53" w:rsidRPr="00A22864" w:rsidRDefault="00637D53" w:rsidP="00475EDE">
            <w:pPr>
              <w:tabs>
                <w:tab w:val="left" w:pos="567"/>
              </w:tabs>
              <w:spacing w:after="60"/>
              <w:rPr>
                <w:lang w:val="sr-Cyrl-CS"/>
              </w:rPr>
            </w:pPr>
            <w:r w:rsidRPr="00A22864">
              <w:rPr>
                <w:lang w:val="sr-Cyrl-CS"/>
              </w:rPr>
              <w:t>Укупан број радова са SCI (или SSCI) листе</w:t>
            </w:r>
          </w:p>
        </w:tc>
        <w:tc>
          <w:tcPr>
            <w:tcW w:w="4569" w:type="dxa"/>
            <w:gridSpan w:val="4"/>
            <w:vAlign w:val="center"/>
          </w:tcPr>
          <w:p w:rsidR="00637D53" w:rsidRPr="00A22864" w:rsidRDefault="000D6FB1" w:rsidP="00475EDE">
            <w:pPr>
              <w:tabs>
                <w:tab w:val="left" w:pos="567"/>
              </w:tabs>
              <w:spacing w:after="60"/>
              <w:rPr>
                <w:lang w:val="sr-Cyrl-CS"/>
              </w:rPr>
            </w:pPr>
            <w:r>
              <w:rPr>
                <w:lang w:val="sr-Cyrl-CS"/>
              </w:rPr>
              <w:t>55</w:t>
            </w:r>
          </w:p>
        </w:tc>
      </w:tr>
      <w:tr w:rsidR="00637D53" w:rsidRPr="00A22864" w:rsidTr="00475EDE">
        <w:trPr>
          <w:trHeight w:val="227"/>
        </w:trPr>
        <w:tc>
          <w:tcPr>
            <w:tcW w:w="4929" w:type="dxa"/>
            <w:gridSpan w:val="5"/>
            <w:vAlign w:val="center"/>
          </w:tcPr>
          <w:p w:rsidR="00637D53" w:rsidRPr="00A22864" w:rsidRDefault="00637D53" w:rsidP="00475EDE">
            <w:pPr>
              <w:tabs>
                <w:tab w:val="left" w:pos="567"/>
              </w:tabs>
              <w:spacing w:after="60"/>
              <w:rPr>
                <w:lang w:val="sr-Cyrl-CS"/>
              </w:rPr>
            </w:pPr>
            <w:r w:rsidRPr="00A22864">
              <w:rPr>
                <w:lang w:val="sr-Cyrl-CS"/>
              </w:rPr>
              <w:t>Тренутно учешће на пројектима</w:t>
            </w:r>
          </w:p>
        </w:tc>
        <w:tc>
          <w:tcPr>
            <w:tcW w:w="2404" w:type="dxa"/>
            <w:vAlign w:val="center"/>
          </w:tcPr>
          <w:p w:rsidR="00637D53" w:rsidRPr="003E233C" w:rsidRDefault="00637D53" w:rsidP="00475EDE">
            <w:pPr>
              <w:tabs>
                <w:tab w:val="left" w:pos="567"/>
              </w:tabs>
              <w:spacing w:after="60"/>
            </w:pPr>
            <w:r w:rsidRPr="00A22864">
              <w:rPr>
                <w:lang w:val="sr-Cyrl-CS"/>
              </w:rPr>
              <w:t>Домаћи</w:t>
            </w:r>
            <w:r w:rsidR="000D6FB1">
              <w:rPr>
                <w:lang w:val="sr-Cyrl-CS"/>
              </w:rPr>
              <w:t xml:space="preserve">: </w:t>
            </w:r>
            <w:r w:rsidR="003E233C">
              <w:t>(</w:t>
            </w:r>
            <w:r w:rsidR="000D6FB1">
              <w:rPr>
                <w:lang w:val="sr-Cyrl-CS"/>
              </w:rPr>
              <w:t>3</w:t>
            </w:r>
            <w:r w:rsidR="003E233C">
              <w:t>)</w:t>
            </w:r>
          </w:p>
        </w:tc>
        <w:tc>
          <w:tcPr>
            <w:tcW w:w="2165" w:type="dxa"/>
            <w:gridSpan w:val="3"/>
            <w:vAlign w:val="center"/>
          </w:tcPr>
          <w:p w:rsidR="00637D53" w:rsidRPr="003E233C" w:rsidRDefault="00637D53" w:rsidP="00475EDE">
            <w:pPr>
              <w:tabs>
                <w:tab w:val="left" w:pos="567"/>
              </w:tabs>
              <w:spacing w:after="60"/>
            </w:pPr>
            <w:r w:rsidRPr="00A22864">
              <w:rPr>
                <w:lang w:val="sr-Cyrl-CS"/>
              </w:rPr>
              <w:t>Међународни</w:t>
            </w:r>
            <w:r w:rsidR="000D6FB1">
              <w:rPr>
                <w:lang w:val="sr-Cyrl-CS"/>
              </w:rPr>
              <w:t xml:space="preserve"> </w:t>
            </w:r>
            <w:r w:rsidR="003E233C">
              <w:t>(</w:t>
            </w:r>
            <w:r w:rsidR="000D6FB1">
              <w:rPr>
                <w:lang w:val="sr-Cyrl-CS"/>
              </w:rPr>
              <w:t>2</w:t>
            </w:r>
            <w:r w:rsidR="003E233C">
              <w:t>)</w:t>
            </w:r>
          </w:p>
        </w:tc>
      </w:tr>
    </w:tbl>
    <w:p w:rsidR="00637D53" w:rsidRPr="00637D53" w:rsidRDefault="00637D53" w:rsidP="002554DF">
      <w:pPr>
        <w:tabs>
          <w:tab w:val="left" w:pos="567"/>
        </w:tabs>
        <w:spacing w:after="60"/>
        <w:jc w:val="both"/>
      </w:pPr>
    </w:p>
    <w:sectPr w:rsidR="00637D53" w:rsidRPr="00637D53" w:rsidSect="00F53599">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320C1"/>
    <w:multiLevelType w:val="hybridMultilevel"/>
    <w:tmpl w:val="C824A7BE"/>
    <w:lvl w:ilvl="0" w:tplc="C0E6AA14">
      <w:start w:val="1"/>
      <w:numFmt w:val="decimal"/>
      <w:lvlText w:val="%1."/>
      <w:lvlJc w:val="left"/>
      <w:pPr>
        <w:tabs>
          <w:tab w:val="num" w:pos="644"/>
        </w:tabs>
        <w:ind w:left="644" w:hanging="360"/>
      </w:pPr>
      <w:rPr>
        <w:sz w:val="16"/>
        <w:szCs w:val="16"/>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350B2575"/>
    <w:multiLevelType w:val="hybridMultilevel"/>
    <w:tmpl w:val="CC72C2B6"/>
    <w:lvl w:ilvl="0" w:tplc="C0E6AA14">
      <w:start w:val="1"/>
      <w:numFmt w:val="decimal"/>
      <w:lvlText w:val="%1."/>
      <w:lvlJc w:val="left"/>
      <w:pPr>
        <w:tabs>
          <w:tab w:val="num" w:pos="644"/>
        </w:tabs>
        <w:ind w:left="644" w:hanging="360"/>
      </w:pPr>
      <w:rPr>
        <w:sz w:val="16"/>
        <w:szCs w:val="16"/>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nsid w:val="52570ACB"/>
    <w:multiLevelType w:val="hybridMultilevel"/>
    <w:tmpl w:val="75FA63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E2E7B21"/>
    <w:multiLevelType w:val="hybridMultilevel"/>
    <w:tmpl w:val="F872E044"/>
    <w:lvl w:ilvl="0" w:tplc="23BC45D8">
      <w:start w:val="1"/>
      <w:numFmt w:val="decimal"/>
      <w:lvlText w:val="%1."/>
      <w:lvlJc w:val="left"/>
      <w:pPr>
        <w:ind w:left="540" w:hanging="360"/>
      </w:pPr>
      <w:rPr>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637D53"/>
    <w:rsid w:val="0003385C"/>
    <w:rsid w:val="000D6FB1"/>
    <w:rsid w:val="002554DF"/>
    <w:rsid w:val="0033781D"/>
    <w:rsid w:val="003E233C"/>
    <w:rsid w:val="00637D53"/>
    <w:rsid w:val="006B597E"/>
    <w:rsid w:val="007C7471"/>
    <w:rsid w:val="007D07D2"/>
    <w:rsid w:val="00811404"/>
    <w:rsid w:val="008326B2"/>
    <w:rsid w:val="008B18BC"/>
    <w:rsid w:val="00925998"/>
    <w:rsid w:val="00C431EB"/>
    <w:rsid w:val="00CD6CC4"/>
    <w:rsid w:val="00E81913"/>
    <w:rsid w:val="00F3443D"/>
    <w:rsid w:val="00F535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D53"/>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paragraph" w:styleId="Heading1">
    <w:name w:val="heading 1"/>
    <w:basedOn w:val="Normal"/>
    <w:link w:val="Heading1Char"/>
    <w:uiPriority w:val="9"/>
    <w:qFormat/>
    <w:rsid w:val="0003385C"/>
    <w:pPr>
      <w:widowControl/>
      <w:autoSpaceDE/>
      <w:autoSpaceDN/>
      <w:adjustRightInd/>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uropassTextBold">
    <w:name w:val="Europass_Text_Bold"/>
    <w:rsid w:val="000D6FB1"/>
    <w:rPr>
      <w:rFonts w:ascii="Arial" w:hAnsi="Arial"/>
      <w:b/>
    </w:rPr>
  </w:style>
  <w:style w:type="character" w:customStyle="1" w:styleId="EuropassTextItalics">
    <w:name w:val="Europass_Text_Italics"/>
    <w:rsid w:val="000D6FB1"/>
    <w:rPr>
      <w:rFonts w:ascii="Arial" w:hAnsi="Arial"/>
      <w:i/>
    </w:rPr>
  </w:style>
  <w:style w:type="character" w:customStyle="1" w:styleId="Heading1Char">
    <w:name w:val="Heading 1 Char"/>
    <w:basedOn w:val="DefaultParagraphFont"/>
    <w:link w:val="Heading1"/>
    <w:uiPriority w:val="9"/>
    <w:rsid w:val="0003385C"/>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6B597E"/>
    <w:pPr>
      <w:ind w:left="720"/>
      <w:contextualSpacing/>
    </w:pPr>
  </w:style>
</w:styles>
</file>

<file path=word/webSettings.xml><?xml version="1.0" encoding="utf-8"?>
<w:webSettings xmlns:r="http://schemas.openxmlformats.org/officeDocument/2006/relationships" xmlns:w="http://schemas.openxmlformats.org/wordprocessingml/2006/main">
  <w:divs>
    <w:div w:id="164692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dc:creator>
  <cp:lastModifiedBy>korisnik</cp:lastModifiedBy>
  <cp:revision>6</cp:revision>
  <dcterms:created xsi:type="dcterms:W3CDTF">2017-03-01T15:03:00Z</dcterms:created>
  <dcterms:modified xsi:type="dcterms:W3CDTF">2017-09-12T09:49:00Z</dcterms:modified>
</cp:coreProperties>
</file>