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5F2E0" w14:textId="77777777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861"/>
        <w:gridCol w:w="1012"/>
        <w:gridCol w:w="156"/>
        <w:gridCol w:w="3178"/>
        <w:gridCol w:w="857"/>
        <w:gridCol w:w="1312"/>
        <w:gridCol w:w="135"/>
        <w:gridCol w:w="1307"/>
        <w:gridCol w:w="1005"/>
      </w:tblGrid>
      <w:tr w:rsidR="005D2FEE" w:rsidRPr="00A22864" w14:paraId="5935F2E3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5935F2E1" w14:textId="77777777" w:rsidR="005D2FEE" w:rsidRPr="00A22864" w:rsidRDefault="005D2FEE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7"/>
            <w:vAlign w:val="center"/>
          </w:tcPr>
          <w:p w14:paraId="5935F2E2" w14:textId="77777777" w:rsidR="005D2FEE" w:rsidRPr="008625E9" w:rsidRDefault="005D2FEE" w:rsidP="00AD7A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25E9">
              <w:rPr>
                <w:lang w:val="sr-Cyrl-CS"/>
              </w:rPr>
              <w:t>Миодраг Д. Крмар</w:t>
            </w:r>
          </w:p>
        </w:tc>
      </w:tr>
      <w:tr w:rsidR="005D2FEE" w:rsidRPr="00A22864" w14:paraId="5935F2E6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5935F2E4" w14:textId="77777777" w:rsidR="005D2FEE" w:rsidRPr="00A22864" w:rsidRDefault="005D2FEE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7"/>
            <w:vAlign w:val="center"/>
          </w:tcPr>
          <w:p w14:paraId="5935F2E5" w14:textId="77777777" w:rsidR="005D2FEE" w:rsidRPr="008625E9" w:rsidRDefault="005D2FEE" w:rsidP="00AD7A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25E9">
              <w:rPr>
                <w:lang w:val="sr-Cyrl-CS"/>
              </w:rPr>
              <w:t>редовни професор</w:t>
            </w:r>
          </w:p>
        </w:tc>
      </w:tr>
      <w:tr w:rsidR="005D2FEE" w:rsidRPr="00A22864" w14:paraId="5935F2E9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5935F2E7" w14:textId="77777777" w:rsidR="005D2FEE" w:rsidRPr="00A22864" w:rsidRDefault="005D2FEE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7"/>
            <w:vAlign w:val="center"/>
          </w:tcPr>
          <w:p w14:paraId="5935F2E8" w14:textId="77777777" w:rsidR="005D2FEE" w:rsidRPr="008625E9" w:rsidRDefault="005D2FEE" w:rsidP="00AD7A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25E9">
              <w:rPr>
                <w:lang w:val="sr-Cyrl-CS"/>
              </w:rPr>
              <w:t>Нуклеарна физика</w:t>
            </w:r>
          </w:p>
        </w:tc>
      </w:tr>
      <w:tr w:rsidR="005D2FEE" w:rsidRPr="00A22864" w14:paraId="5935F2EF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5935F2EA" w14:textId="77777777" w:rsidR="005D2FEE" w:rsidRPr="00A22864" w:rsidRDefault="005D2FEE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5935F2EB" w14:textId="77777777" w:rsidR="005D2FEE" w:rsidRPr="00A22864" w:rsidRDefault="005D2FEE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14:paraId="5935F2EC" w14:textId="77777777" w:rsidR="005D2FEE" w:rsidRPr="00A22864" w:rsidRDefault="005D2FEE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5935F2ED" w14:textId="77777777" w:rsidR="005D2FEE" w:rsidRPr="00A22864" w:rsidRDefault="005D2FEE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5935F2EE" w14:textId="77777777" w:rsidR="005D2FEE" w:rsidRPr="00646624" w:rsidRDefault="005D2FEE" w:rsidP="0085400D">
            <w:r>
              <w:t>Ужа научна односно уметничка област</w:t>
            </w:r>
          </w:p>
        </w:tc>
      </w:tr>
      <w:tr w:rsidR="005D2FEE" w:rsidRPr="00A22864" w14:paraId="5935F2F5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5935F2F0" w14:textId="77777777" w:rsidR="005D2FEE" w:rsidRPr="00A22864" w:rsidRDefault="005D2FEE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14:paraId="5935F2F1" w14:textId="77777777" w:rsidR="005D2FEE" w:rsidRPr="00BE1C0C" w:rsidRDefault="005D2FEE" w:rsidP="00AD7A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E1C0C">
              <w:rPr>
                <w:lang w:val="sr-Cyrl-CS"/>
              </w:rPr>
              <w:t>2012</w:t>
            </w:r>
          </w:p>
        </w:tc>
        <w:tc>
          <w:tcPr>
            <w:tcW w:w="1859" w:type="pct"/>
            <w:gridSpan w:val="3"/>
            <w:vAlign w:val="center"/>
          </w:tcPr>
          <w:p w14:paraId="5935F2F2" w14:textId="77777777" w:rsidR="005D2FEE" w:rsidRPr="00BE1C0C" w:rsidRDefault="005D2FEE" w:rsidP="005D2FEE">
            <w:pPr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>
              <w:t xml:space="preserve">МФ </w:t>
            </w:r>
            <w:r w:rsidRPr="00BE1C0C">
              <w:rPr>
                <w:lang w:val="sr-Cyrl-CS"/>
              </w:rPr>
              <w:t>Универзитет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5935F2F3" w14:textId="77777777" w:rsidR="005D2FEE" w:rsidRPr="005D2FEE" w:rsidRDefault="005D2FEE" w:rsidP="0085400D">
            <w: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5935F2F4" w14:textId="77777777" w:rsidR="005D2FEE" w:rsidRPr="00BE1C0C" w:rsidRDefault="005D2FEE" w:rsidP="00AD7A08">
            <w:pPr>
              <w:tabs>
                <w:tab w:val="left" w:pos="567"/>
              </w:tabs>
              <w:contextualSpacing/>
            </w:pPr>
            <w:r>
              <w:t>Нуклеарна физика</w:t>
            </w:r>
          </w:p>
        </w:tc>
      </w:tr>
      <w:tr w:rsidR="005D2FEE" w:rsidRPr="00A22864" w14:paraId="5935F2FB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5935F2F6" w14:textId="77777777" w:rsidR="005D2FEE" w:rsidRPr="00A22864" w:rsidRDefault="005D2FEE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14:paraId="5935F2F7" w14:textId="77777777" w:rsidR="005D2FEE" w:rsidRPr="00BE1C0C" w:rsidRDefault="005D2FEE" w:rsidP="00AD7A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E1C0C">
              <w:rPr>
                <w:lang w:val="sr-Cyrl-CS"/>
              </w:rPr>
              <w:t>1996</w:t>
            </w:r>
          </w:p>
        </w:tc>
        <w:tc>
          <w:tcPr>
            <w:tcW w:w="1859" w:type="pct"/>
            <w:gridSpan w:val="3"/>
            <w:vAlign w:val="center"/>
          </w:tcPr>
          <w:p w14:paraId="5935F2F8" w14:textId="77777777" w:rsidR="005D2FEE" w:rsidRPr="00BE1C0C" w:rsidRDefault="005D2FEE" w:rsidP="005D2FEE">
            <w:pPr>
              <w:rPr>
                <w:lang w:val="sr-Cyrl-CS"/>
              </w:rPr>
            </w:pPr>
            <w:r>
              <w:rPr>
                <w:lang w:val="sr-Cyrl-CS"/>
              </w:rPr>
              <w:t>ПМФ</w:t>
            </w:r>
            <w:r>
              <w:rPr>
                <w:lang w:val="en-US"/>
              </w:rPr>
              <w:t xml:space="preserve"> </w:t>
            </w:r>
            <w:r w:rsidRPr="00BE1C0C">
              <w:rPr>
                <w:lang w:val="sr-Cyrl-CS"/>
              </w:rPr>
              <w:t>Универзитет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5935F2F9" w14:textId="77777777" w:rsidR="005D2FEE" w:rsidRPr="00A22864" w:rsidRDefault="005D2FEE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5935F2FA" w14:textId="77777777" w:rsidR="005D2FEE" w:rsidRPr="00491993" w:rsidRDefault="005D2FEE" w:rsidP="00AD7A08">
            <w:pPr>
              <w:tabs>
                <w:tab w:val="left" w:pos="567"/>
              </w:tabs>
              <w:contextualSpacing/>
              <w:rPr>
                <w:lang w:val="sr-Cyrl-CS"/>
              </w:rPr>
            </w:pPr>
            <w:r>
              <w:t>Нуклеарна физика</w:t>
            </w:r>
          </w:p>
        </w:tc>
      </w:tr>
      <w:tr w:rsidR="005D2FEE" w:rsidRPr="00A22864" w14:paraId="5935F302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5935F2FC" w14:textId="77777777" w:rsidR="005D2FEE" w:rsidRPr="00646624" w:rsidRDefault="005D2FEE" w:rsidP="0085400D">
            <w:r>
              <w:t>Магистратура</w:t>
            </w:r>
          </w:p>
        </w:tc>
        <w:tc>
          <w:tcPr>
            <w:tcW w:w="449" w:type="pct"/>
            <w:vAlign w:val="center"/>
          </w:tcPr>
          <w:p w14:paraId="5935F2FD" w14:textId="77777777" w:rsidR="005D2FEE" w:rsidRPr="00BE1C0C" w:rsidRDefault="005D2FEE" w:rsidP="00AD7A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E1C0C">
              <w:rPr>
                <w:lang w:val="sr-Cyrl-CS"/>
              </w:rPr>
              <w:t>1993</w:t>
            </w:r>
          </w:p>
        </w:tc>
        <w:tc>
          <w:tcPr>
            <w:tcW w:w="1859" w:type="pct"/>
            <w:gridSpan w:val="3"/>
            <w:vAlign w:val="center"/>
          </w:tcPr>
          <w:p w14:paraId="5935F2FE" w14:textId="77777777" w:rsidR="005D2FEE" w:rsidRPr="00BE1C0C" w:rsidRDefault="005D2FEE" w:rsidP="00AD7A08">
            <w:pPr>
              <w:rPr>
                <w:lang w:val="sr-Cyrl-CS"/>
              </w:rPr>
            </w:pPr>
            <w:r w:rsidRPr="00BE1C0C">
              <w:rPr>
                <w:lang w:val="sr-Cyrl-CS"/>
              </w:rPr>
              <w:t>Центар за мултидисциплинарне студије</w:t>
            </w:r>
          </w:p>
          <w:p w14:paraId="5935F2FF" w14:textId="77777777" w:rsidR="005D2FEE" w:rsidRPr="00BE1C0C" w:rsidRDefault="005D2FEE" w:rsidP="00AD7A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E1C0C">
              <w:rPr>
                <w:lang w:val="sr-Cyrl-CS"/>
              </w:rPr>
              <w:t>Универзитет Београд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5935F300" w14:textId="77777777" w:rsidR="005D2FEE" w:rsidRPr="005D2FEE" w:rsidRDefault="005D2FEE" w:rsidP="00AD7A08">
            <w: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5935F301" w14:textId="77777777" w:rsidR="005D2FEE" w:rsidRPr="00491993" w:rsidRDefault="005D2FEE" w:rsidP="00AD7A08">
            <w:pPr>
              <w:tabs>
                <w:tab w:val="left" w:pos="567"/>
              </w:tabs>
              <w:contextualSpacing/>
              <w:rPr>
                <w:lang w:val="sr-Cyrl-CS"/>
              </w:rPr>
            </w:pPr>
            <w:r>
              <w:t>Нуклеарна физика</w:t>
            </w:r>
          </w:p>
        </w:tc>
      </w:tr>
      <w:tr w:rsidR="005D2FEE" w:rsidRPr="00A22864" w14:paraId="5935F308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5935F303" w14:textId="77777777" w:rsidR="005D2FEE" w:rsidRPr="00A22864" w:rsidRDefault="005D2FEE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14:paraId="5935F304" w14:textId="77777777" w:rsidR="005D2FEE" w:rsidRPr="00BE1C0C" w:rsidRDefault="005D2FEE" w:rsidP="00AD7A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E1C0C">
              <w:rPr>
                <w:lang w:val="sr-Cyrl-CS"/>
              </w:rPr>
              <w:t>1984</w:t>
            </w:r>
          </w:p>
        </w:tc>
        <w:tc>
          <w:tcPr>
            <w:tcW w:w="1859" w:type="pct"/>
            <w:gridSpan w:val="3"/>
            <w:vAlign w:val="center"/>
          </w:tcPr>
          <w:p w14:paraId="5935F305" w14:textId="77777777" w:rsidR="005D2FEE" w:rsidRPr="00BE1C0C" w:rsidRDefault="005D2FEE" w:rsidP="005D2FEE">
            <w:pPr>
              <w:rPr>
                <w:lang w:val="sr-Cyrl-CS"/>
              </w:rPr>
            </w:pPr>
            <w:r>
              <w:rPr>
                <w:lang w:val="sr-Cyrl-CS"/>
              </w:rPr>
              <w:t>ПМФ</w:t>
            </w:r>
            <w:r>
              <w:rPr>
                <w:lang w:val="en-US"/>
              </w:rPr>
              <w:t xml:space="preserve"> </w:t>
            </w:r>
            <w:r w:rsidRPr="00BE1C0C">
              <w:rPr>
                <w:lang w:val="sr-Cyrl-CS"/>
              </w:rPr>
              <w:t>Универзитет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5935F306" w14:textId="77777777" w:rsidR="005D2FEE" w:rsidRPr="00A22864" w:rsidRDefault="005D2FEE" w:rsidP="00AD7A08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5935F307" w14:textId="77777777" w:rsidR="005D2FEE" w:rsidRPr="00491993" w:rsidRDefault="005D2FEE" w:rsidP="00AD7A08">
            <w:pPr>
              <w:tabs>
                <w:tab w:val="left" w:pos="567"/>
              </w:tabs>
              <w:contextualSpacing/>
              <w:rPr>
                <w:lang w:val="sr-Cyrl-CS"/>
              </w:rPr>
            </w:pPr>
            <w:r>
              <w:t>Нуклеарна физика</w:t>
            </w:r>
          </w:p>
        </w:tc>
      </w:tr>
      <w:tr w:rsidR="005D2FEE" w:rsidRPr="00A22864" w14:paraId="5935F30A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935F309" w14:textId="77777777" w:rsidR="005D2FEE" w:rsidRPr="00646624" w:rsidRDefault="005D2FEE" w:rsidP="0085400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5D2FEE" w:rsidRPr="00A22864" w14:paraId="5935F30E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5935F30B" w14:textId="77777777" w:rsidR="005D2FEE" w:rsidRPr="00646624" w:rsidRDefault="005D2FEE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5935F30C" w14:textId="77777777" w:rsidR="005D2FEE" w:rsidRPr="00646624" w:rsidRDefault="005D2FEE" w:rsidP="008540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58" w:type="pct"/>
            <w:gridSpan w:val="6"/>
            <w:vAlign w:val="center"/>
          </w:tcPr>
          <w:p w14:paraId="5935F30D" w14:textId="77777777" w:rsidR="005D2FEE" w:rsidRPr="00646624" w:rsidRDefault="005D2FEE" w:rsidP="008540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5D2FEE" w:rsidRPr="00A22864" w14:paraId="5935F312" w14:textId="77777777" w:rsidTr="00BD6598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5935F30F" w14:textId="77777777" w:rsidR="005D2FEE" w:rsidRPr="00A22864" w:rsidRDefault="005D2FEE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5935F310" w14:textId="51876243" w:rsidR="005D2FEE" w:rsidRPr="0003100B" w:rsidRDefault="0003100B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ФД</w:t>
            </w:r>
            <w:r w:rsidR="005D2FEE">
              <w:t>18M</w:t>
            </w:r>
            <w:r>
              <w:rPr>
                <w:lang w:val="sr-Cyrl-RS"/>
              </w:rPr>
              <w:t>ТНФ</w:t>
            </w:r>
          </w:p>
        </w:tc>
        <w:tc>
          <w:tcPr>
            <w:tcW w:w="3458" w:type="pct"/>
            <w:gridSpan w:val="6"/>
          </w:tcPr>
          <w:p w14:paraId="5935F311" w14:textId="77777777" w:rsidR="005D2FEE" w:rsidRPr="008625E9" w:rsidRDefault="005D2FEE" w:rsidP="00AD7A08">
            <w:pPr>
              <w:rPr>
                <w:lang w:val="ru-RU"/>
              </w:rPr>
            </w:pPr>
            <w:r w:rsidRPr="008625E9">
              <w:rPr>
                <w:lang w:val="ru-RU"/>
              </w:rPr>
              <w:t xml:space="preserve">Одабране примене мерних техника нуклеарне физике </w:t>
            </w:r>
          </w:p>
        </w:tc>
      </w:tr>
      <w:tr w:rsidR="005D2FEE" w:rsidRPr="00A22864" w14:paraId="5935F316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5935F313" w14:textId="77777777" w:rsidR="005D2FEE" w:rsidRPr="00A22864" w:rsidRDefault="005D2FEE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5935F314" w14:textId="27A02D76" w:rsidR="005D2FEE" w:rsidRPr="0003100B" w:rsidRDefault="0003100B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ФД</w:t>
            </w:r>
            <w:r w:rsidR="005D2FEE">
              <w:t>18</w:t>
            </w:r>
            <w:r>
              <w:rPr>
                <w:lang w:val="sr-Cyrl-RS"/>
              </w:rPr>
              <w:t>РФ</w:t>
            </w:r>
          </w:p>
        </w:tc>
        <w:tc>
          <w:tcPr>
            <w:tcW w:w="3458" w:type="pct"/>
            <w:gridSpan w:val="6"/>
            <w:vAlign w:val="center"/>
          </w:tcPr>
          <w:p w14:paraId="5935F315" w14:textId="77777777" w:rsidR="005D2FEE" w:rsidRPr="008625E9" w:rsidRDefault="005D2FEE" w:rsidP="00AD7A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25E9">
              <w:t>Радијациона физика за медицинске физичаре</w:t>
            </w:r>
          </w:p>
        </w:tc>
      </w:tr>
      <w:tr w:rsidR="005D2FEE" w:rsidRPr="00A22864" w14:paraId="5935F31A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5935F317" w14:textId="77777777" w:rsidR="005D2FEE" w:rsidRPr="00A22864" w:rsidRDefault="005D2FEE" w:rsidP="0085400D">
            <w:pPr>
              <w:rPr>
                <w:lang w:val="sr-Cyrl-CS"/>
              </w:rPr>
            </w:pP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5935F318" w14:textId="77777777" w:rsidR="005D2FEE" w:rsidRPr="00A22864" w:rsidRDefault="005D2FEE" w:rsidP="0085400D">
            <w:pPr>
              <w:rPr>
                <w:lang w:val="sr-Cyrl-CS"/>
              </w:rPr>
            </w:pPr>
          </w:p>
        </w:tc>
        <w:tc>
          <w:tcPr>
            <w:tcW w:w="3458" w:type="pct"/>
            <w:gridSpan w:val="6"/>
            <w:vAlign w:val="center"/>
          </w:tcPr>
          <w:p w14:paraId="5935F319" w14:textId="77777777" w:rsidR="005D2FEE" w:rsidRPr="00A22864" w:rsidRDefault="005D2FEE" w:rsidP="0085400D">
            <w:pPr>
              <w:rPr>
                <w:lang w:val="sr-Cyrl-CS"/>
              </w:rPr>
            </w:pPr>
          </w:p>
        </w:tc>
      </w:tr>
      <w:tr w:rsidR="005D2FEE" w:rsidRPr="00A22864" w14:paraId="5935F31C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935F31B" w14:textId="77777777" w:rsidR="005D2FEE" w:rsidRPr="00A22864" w:rsidRDefault="005D2FEE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FC3DB2" w:rsidRPr="00A22864" w14:paraId="5935F320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1D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1E" w14:textId="77777777" w:rsidR="00FC3DB2" w:rsidRPr="005D2FEE" w:rsidRDefault="00FC3DB2" w:rsidP="00AD7A08">
            <w:pPr>
              <w:rPr>
                <w:bCs/>
                <w:color w:val="131413"/>
              </w:rPr>
            </w:pPr>
            <w:r w:rsidRPr="005A66D6">
              <w:rPr>
                <w:bCs/>
              </w:rPr>
              <w:t>Study of 209Bi(</w:t>
            </w:r>
            <w:r w:rsidRPr="005A66D6">
              <w:rPr>
                <w:bCs/>
                <w:iCs/>
              </w:rPr>
              <w:t>γ</w:t>
            </w:r>
            <w:r w:rsidRPr="005A66D6">
              <w:rPr>
                <w:iCs/>
              </w:rPr>
              <w:t>,xn</w:t>
            </w:r>
            <w:r w:rsidRPr="005A66D6">
              <w:rPr>
                <w:bCs/>
              </w:rPr>
              <w:t xml:space="preserve">) Reactions in Energy Region up To 100 MeV, </w:t>
            </w:r>
            <w:r w:rsidRPr="005A66D6">
              <w:rPr>
                <w:iCs/>
              </w:rPr>
              <w:t xml:space="preserve">Physics of Atomic Nuclei, 2022, Vol. 85, No. 6, pp. 805–812, </w:t>
            </w:r>
          </w:p>
        </w:tc>
        <w:tc>
          <w:tcPr>
            <w:tcW w:w="446" w:type="pct"/>
            <w:vAlign w:val="center"/>
          </w:tcPr>
          <w:p w14:paraId="5935F31F" w14:textId="77777777" w:rsidR="00FC3DB2" w:rsidRPr="0016665C" w:rsidRDefault="00FC3DB2" w:rsidP="00AD7A08">
            <w:pPr>
              <w:spacing w:after="60"/>
              <w:rPr>
                <w:b/>
              </w:rPr>
            </w:pPr>
            <w:r w:rsidRPr="005A66D6">
              <w:t>М23</w:t>
            </w:r>
          </w:p>
        </w:tc>
      </w:tr>
      <w:tr w:rsidR="00FC3DB2" w:rsidRPr="00A22864" w14:paraId="5935F324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21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22" w14:textId="77777777" w:rsidR="00FC3DB2" w:rsidRPr="005D2FEE" w:rsidRDefault="00FC3DB2" w:rsidP="00AD7A08">
            <w:pPr>
              <w:tabs>
                <w:tab w:val="left" w:pos="567"/>
              </w:tabs>
              <w:contextualSpacing/>
            </w:pPr>
            <w:r w:rsidRPr="00E75AF4">
              <w:rPr>
                <w:bCs/>
                <w:color w:val="131413"/>
              </w:rPr>
              <w:t>The application of the unfolding technique for determination of photo-nuclear reaction cross-section with an example on the 115In(</w:t>
            </w:r>
            <w:r w:rsidRPr="00E75AF4">
              <w:rPr>
                <w:bCs/>
                <w:i/>
                <w:iCs/>
                <w:color w:val="131413"/>
              </w:rPr>
              <w:t xml:space="preserve">γ </w:t>
            </w:r>
            <w:r w:rsidRPr="00E75AF4">
              <w:rPr>
                <w:bCs/>
                <w:color w:val="131413"/>
              </w:rPr>
              <w:t>,</w:t>
            </w:r>
            <w:r w:rsidRPr="00E75AF4">
              <w:rPr>
                <w:bCs/>
                <w:i/>
                <w:iCs/>
                <w:color w:val="131413"/>
              </w:rPr>
              <w:t>γ</w:t>
            </w:r>
            <w:r w:rsidRPr="00E75AF4">
              <w:rPr>
                <w:bCs/>
                <w:color w:val="131413"/>
              </w:rPr>
              <w:t>_)115</w:t>
            </w:r>
            <w:r w:rsidRPr="00E75AF4">
              <w:rPr>
                <w:bCs/>
                <w:i/>
                <w:iCs/>
                <w:color w:val="131413"/>
              </w:rPr>
              <w:t>m</w:t>
            </w:r>
            <w:r w:rsidRPr="00E75AF4">
              <w:rPr>
                <w:bCs/>
                <w:color w:val="131413"/>
              </w:rPr>
              <w:t xml:space="preserve">In reaction, </w:t>
            </w:r>
            <w:r w:rsidRPr="00E75AF4">
              <w:rPr>
                <w:color w:val="131413"/>
              </w:rPr>
              <w:t>Eur. Phys. J. A (2021) 57:258</w:t>
            </w:r>
          </w:p>
        </w:tc>
        <w:tc>
          <w:tcPr>
            <w:tcW w:w="446" w:type="pct"/>
            <w:vAlign w:val="center"/>
          </w:tcPr>
          <w:p w14:paraId="5935F323" w14:textId="77777777" w:rsidR="00FC3DB2" w:rsidRPr="0016665C" w:rsidRDefault="00FC3DB2" w:rsidP="00AD7A08">
            <w:pPr>
              <w:spacing w:after="60"/>
              <w:rPr>
                <w:b/>
              </w:rPr>
            </w:pPr>
            <w:r w:rsidRPr="00E75AF4">
              <w:rPr>
                <w:color w:val="131413"/>
              </w:rPr>
              <w:t>М21</w:t>
            </w:r>
          </w:p>
        </w:tc>
      </w:tr>
      <w:tr w:rsidR="00FC3DB2" w:rsidRPr="00A22864" w14:paraId="5935F328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25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26" w14:textId="77777777" w:rsidR="00FC3DB2" w:rsidRPr="005D2FEE" w:rsidRDefault="00FC3DB2" w:rsidP="00AD7A08">
            <w:r w:rsidRPr="005A66D6">
              <w:t xml:space="preserve">Numerical simulation of free expansion of an ideal gas, Modern Physics Letters B Vol. 35, No. 26 (2021) </w:t>
            </w:r>
          </w:p>
        </w:tc>
        <w:tc>
          <w:tcPr>
            <w:tcW w:w="446" w:type="pct"/>
            <w:vAlign w:val="center"/>
          </w:tcPr>
          <w:p w14:paraId="5935F327" w14:textId="77777777" w:rsidR="00FC3DB2" w:rsidRPr="0016665C" w:rsidRDefault="00FC3DB2" w:rsidP="00AD7A08">
            <w:pPr>
              <w:spacing w:after="60"/>
              <w:rPr>
                <w:b/>
              </w:rPr>
            </w:pPr>
            <w:r w:rsidRPr="005A66D6">
              <w:t>М22</w:t>
            </w:r>
          </w:p>
        </w:tc>
      </w:tr>
      <w:tr w:rsidR="00FC3DB2" w:rsidRPr="00A22864" w14:paraId="5935F32C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29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2A" w14:textId="77777777" w:rsidR="00FC3DB2" w:rsidRPr="00E75AF4" w:rsidRDefault="00FC3DB2" w:rsidP="00AD7A08">
            <w:r w:rsidRPr="005A66D6">
              <w:rPr>
                <w:bCs/>
              </w:rPr>
              <w:t xml:space="preserve">Virtual reality (VR) simulation of a nuclear physics laboratory exercise, </w:t>
            </w:r>
            <w:r w:rsidRPr="005A66D6">
              <w:t xml:space="preserve">Eur. J. Phys. </w:t>
            </w:r>
            <w:r w:rsidRPr="005A66D6">
              <w:rPr>
                <w:b/>
                <w:bCs/>
              </w:rPr>
              <w:t xml:space="preserve">41 </w:t>
            </w:r>
            <w:r w:rsidRPr="005A66D6">
              <w:t xml:space="preserve">(2020) </w:t>
            </w:r>
            <w:r>
              <w:t xml:space="preserve">065802, 10 </w:t>
            </w:r>
          </w:p>
        </w:tc>
        <w:tc>
          <w:tcPr>
            <w:tcW w:w="446" w:type="pct"/>
            <w:vAlign w:val="center"/>
          </w:tcPr>
          <w:p w14:paraId="5935F32B" w14:textId="77777777" w:rsidR="00FC3DB2" w:rsidRPr="0016665C" w:rsidRDefault="00FC3DB2" w:rsidP="00AD7A08">
            <w:pPr>
              <w:spacing w:after="60"/>
              <w:rPr>
                <w:b/>
              </w:rPr>
            </w:pPr>
            <w:r>
              <w:t>М22</w:t>
            </w:r>
          </w:p>
        </w:tc>
      </w:tr>
      <w:tr w:rsidR="00FC3DB2" w:rsidRPr="00A22864" w14:paraId="5935F330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2D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2E" w14:textId="77777777" w:rsidR="00FC3DB2" w:rsidRPr="005D2FEE" w:rsidRDefault="00FC3DB2" w:rsidP="00AD7A08">
            <w:r w:rsidRPr="009D32CD">
              <w:t xml:space="preserve">Beam energy measurement on LINAC-200 accelerator and energy calibration of scintillation detectors by electrons in range from 1 MeV to 25 MeV, Nuclear Inst. and Methods in Physics Research, A 935 (2019) </w:t>
            </w:r>
          </w:p>
        </w:tc>
        <w:tc>
          <w:tcPr>
            <w:tcW w:w="446" w:type="pct"/>
            <w:vAlign w:val="center"/>
          </w:tcPr>
          <w:p w14:paraId="5935F32F" w14:textId="77777777" w:rsidR="00FC3DB2" w:rsidRPr="0016665C" w:rsidRDefault="00FC3DB2" w:rsidP="00AD7A08">
            <w:pPr>
              <w:spacing w:after="60"/>
              <w:rPr>
                <w:b/>
              </w:rPr>
            </w:pPr>
            <w:r w:rsidRPr="009D32CD">
              <w:t>М22</w:t>
            </w:r>
          </w:p>
        </w:tc>
      </w:tr>
      <w:tr w:rsidR="00FC3DB2" w:rsidRPr="00A22864" w14:paraId="5935F334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31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32" w14:textId="77777777" w:rsidR="00FC3DB2" w:rsidRPr="0014670E" w:rsidRDefault="00FC3DB2" w:rsidP="00FC3DB2">
            <w:pPr>
              <w:rPr>
                <w:b/>
                <w:lang w:val="sr-Cyrl-CS"/>
              </w:rPr>
            </w:pPr>
            <w:r>
              <w:t>Spatial distribution of 7Be and 137Cs measured with the use of Biomonitors , Journal of Radioanalytical and Nuclear Chemistry 318, 1845-1854 (2018)</w:t>
            </w:r>
          </w:p>
        </w:tc>
        <w:tc>
          <w:tcPr>
            <w:tcW w:w="446" w:type="pct"/>
            <w:vAlign w:val="center"/>
          </w:tcPr>
          <w:p w14:paraId="5935F333" w14:textId="77777777" w:rsidR="00FC3DB2" w:rsidRPr="0016665C" w:rsidRDefault="00FC3DB2" w:rsidP="00AD7A08">
            <w:pPr>
              <w:spacing w:after="60"/>
              <w:rPr>
                <w:lang w:val="sr-Cyrl-CS"/>
              </w:rPr>
            </w:pPr>
            <w:r w:rsidRPr="0016665C">
              <w:rPr>
                <w:lang w:val="sr-Cyrl-CS"/>
              </w:rPr>
              <w:t>М21</w:t>
            </w:r>
          </w:p>
        </w:tc>
      </w:tr>
      <w:tr w:rsidR="00FC3DB2" w:rsidRPr="00A22864" w14:paraId="5935F338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35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36" w14:textId="77777777" w:rsidR="00FC3DB2" w:rsidRPr="00FC3DB2" w:rsidRDefault="00FC3DB2" w:rsidP="00FC3DB2">
            <w:r>
              <w:rPr>
                <w:iCs/>
                <w:color w:val="000000"/>
              </w:rPr>
              <w:t xml:space="preserve">The quality of megavoltage photon beams measured by the ratio of photoactivation and neutron capture yields, </w:t>
            </w:r>
            <w:r w:rsidRPr="00033E2D">
              <w:t>Nuclear Instruments and Me</w:t>
            </w:r>
            <w:r>
              <w:t>thods in Physics Research A 901, 133-139 (2018</w:t>
            </w:r>
            <w:r w:rsidRPr="00033E2D">
              <w:t>)</w:t>
            </w:r>
          </w:p>
        </w:tc>
        <w:tc>
          <w:tcPr>
            <w:tcW w:w="446" w:type="pct"/>
            <w:vAlign w:val="center"/>
          </w:tcPr>
          <w:p w14:paraId="5935F337" w14:textId="77777777" w:rsidR="00FC3DB2" w:rsidRPr="0016665C" w:rsidRDefault="00FC3DB2" w:rsidP="00AD7A08">
            <w:pPr>
              <w:spacing w:after="60"/>
              <w:rPr>
                <w:lang w:val="sr-Cyrl-CS"/>
              </w:rPr>
            </w:pPr>
            <w:r w:rsidRPr="0016665C">
              <w:rPr>
                <w:lang w:val="sr-Cyrl-CS"/>
              </w:rPr>
              <w:t>М21</w:t>
            </w:r>
          </w:p>
        </w:tc>
      </w:tr>
      <w:tr w:rsidR="00FC3DB2" w:rsidRPr="00A22864" w14:paraId="5935F33C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39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3A" w14:textId="77777777" w:rsidR="00FC3DB2" w:rsidRPr="00FC3DB2" w:rsidRDefault="00FC3DB2" w:rsidP="00FC3DB2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Photon dose at the maze entrance door: the comparison of flattening fielter and flattening filter free working modes, Physica Medica 49 1-4 (2018)</w:t>
            </w:r>
          </w:p>
        </w:tc>
        <w:tc>
          <w:tcPr>
            <w:tcW w:w="446" w:type="pct"/>
            <w:vAlign w:val="center"/>
          </w:tcPr>
          <w:p w14:paraId="5935F33B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FC3DB2" w:rsidRPr="00A22864" w14:paraId="5935F340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3D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3E" w14:textId="77777777" w:rsidR="00FC3DB2" w:rsidRPr="00A22864" w:rsidRDefault="00FC3DB2" w:rsidP="0085400D">
            <w:pPr>
              <w:rPr>
                <w:lang w:val="sr-Cyrl-CS"/>
              </w:rPr>
            </w:pPr>
            <w:r w:rsidRPr="006E0987">
              <w:t>Beryllium-7 and 210Pb atmospheric deposition measured in moss and dependence on cumulative precipitation, Science of the Total Environment 541, 941–948 (2016)</w:t>
            </w:r>
          </w:p>
        </w:tc>
        <w:tc>
          <w:tcPr>
            <w:tcW w:w="446" w:type="pct"/>
            <w:vAlign w:val="center"/>
          </w:tcPr>
          <w:p w14:paraId="5935F33F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FC3DB2" w:rsidRPr="00A22864" w14:paraId="5935F344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41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42" w14:textId="77777777" w:rsidR="00FC3DB2" w:rsidRPr="00A22864" w:rsidRDefault="00FC3DB2" w:rsidP="0085400D">
            <w:pPr>
              <w:rPr>
                <w:lang w:val="sr-Cyrl-CS"/>
              </w:rPr>
            </w:pPr>
            <w:r w:rsidRPr="006E0987">
              <w:t>Modeling of neutron spectrum in the gamma spectroscopy measurements with Ge-detectors, Nuclear Instruments and Methods in Physics Research A 833 (2016) 23–26</w:t>
            </w:r>
          </w:p>
        </w:tc>
        <w:tc>
          <w:tcPr>
            <w:tcW w:w="446" w:type="pct"/>
            <w:vAlign w:val="center"/>
          </w:tcPr>
          <w:p w14:paraId="5935F343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FC3DB2" w:rsidRPr="00A22864" w14:paraId="5935F348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45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46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  <w:tc>
          <w:tcPr>
            <w:tcW w:w="446" w:type="pct"/>
            <w:vAlign w:val="center"/>
          </w:tcPr>
          <w:p w14:paraId="5935F347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</w:tr>
      <w:tr w:rsidR="00FC3DB2" w:rsidRPr="00A22864" w14:paraId="5935F34C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49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4A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  <w:tc>
          <w:tcPr>
            <w:tcW w:w="446" w:type="pct"/>
            <w:vAlign w:val="center"/>
          </w:tcPr>
          <w:p w14:paraId="5935F34B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</w:tr>
      <w:tr w:rsidR="00FC3DB2" w:rsidRPr="00A22864" w14:paraId="5935F350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4D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4E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  <w:tc>
          <w:tcPr>
            <w:tcW w:w="446" w:type="pct"/>
            <w:vAlign w:val="center"/>
          </w:tcPr>
          <w:p w14:paraId="5935F34F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</w:tr>
      <w:tr w:rsidR="00FC3DB2" w:rsidRPr="00A22864" w14:paraId="5935F354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5935F351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935F352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  <w:tc>
          <w:tcPr>
            <w:tcW w:w="446" w:type="pct"/>
            <w:vAlign w:val="center"/>
          </w:tcPr>
          <w:p w14:paraId="5935F353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</w:tr>
      <w:tr w:rsidR="00FC3DB2" w:rsidRPr="00A22864" w14:paraId="5935F356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935F355" w14:textId="77777777" w:rsidR="00FC3DB2" w:rsidRPr="00A22864" w:rsidRDefault="00FC3DB2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C3DB2" w:rsidRPr="00A22864" w14:paraId="5935F359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5935F357" w14:textId="77777777" w:rsidR="00FC3DB2" w:rsidRPr="00A22864" w:rsidRDefault="00FC3DB2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14:paraId="5935F358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1114</w:t>
            </w:r>
          </w:p>
        </w:tc>
      </w:tr>
      <w:tr w:rsidR="00FC3DB2" w:rsidRPr="00A22864" w14:paraId="5935F35C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5935F35A" w14:textId="77777777" w:rsidR="00FC3DB2" w:rsidRPr="00A22864" w:rsidRDefault="00FC3DB2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14:paraId="5935F35B" w14:textId="77777777" w:rsidR="00FC3DB2" w:rsidRPr="00A22864" w:rsidRDefault="00FC3DB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105</w:t>
            </w:r>
          </w:p>
        </w:tc>
      </w:tr>
      <w:tr w:rsidR="00FC3DB2" w:rsidRPr="00A22864" w14:paraId="5935F360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5935F35D" w14:textId="77777777" w:rsidR="00FC3DB2" w:rsidRPr="00A22864" w:rsidRDefault="00FC3DB2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14:paraId="5935F35E" w14:textId="77777777" w:rsidR="00FC3DB2" w:rsidRPr="00A22864" w:rsidRDefault="00FC3DB2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 1</w:t>
            </w:r>
          </w:p>
        </w:tc>
        <w:tc>
          <w:tcPr>
            <w:tcW w:w="1086" w:type="pct"/>
            <w:gridSpan w:val="3"/>
            <w:vAlign w:val="center"/>
          </w:tcPr>
          <w:p w14:paraId="5935F35F" w14:textId="77777777" w:rsidR="00FC3DB2" w:rsidRPr="00A22864" w:rsidRDefault="00FC3DB2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 2</w:t>
            </w:r>
          </w:p>
        </w:tc>
      </w:tr>
      <w:tr w:rsidR="00FC3DB2" w:rsidRPr="00A22864" w14:paraId="5935F363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5935F361" w14:textId="77777777" w:rsidR="00FC3DB2" w:rsidRPr="00A22864" w:rsidRDefault="00FC3DB2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14:paraId="5935F362" w14:textId="77777777" w:rsidR="00FC3DB2" w:rsidRPr="00A22864" w:rsidRDefault="00FC3DB2" w:rsidP="0085400D">
            <w:pPr>
              <w:rPr>
                <w:lang w:val="sr-Cyrl-CS"/>
              </w:rPr>
            </w:pPr>
          </w:p>
        </w:tc>
      </w:tr>
      <w:tr w:rsidR="00FC3DB2" w:rsidRPr="00A22864" w14:paraId="5935F365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935F364" w14:textId="77777777" w:rsidR="00FC3DB2" w:rsidRPr="00A22864" w:rsidRDefault="00FC3DB2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FC3DB2" w:rsidRPr="00A22864" w14:paraId="5935F367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935F366" w14:textId="77777777" w:rsidR="00FC3DB2" w:rsidRPr="00A22864" w:rsidRDefault="00FC3DB2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14:paraId="5935F368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881"/>
    <w:rsid w:val="0003100B"/>
    <w:rsid w:val="000F6AD3"/>
    <w:rsid w:val="002D2881"/>
    <w:rsid w:val="004B3817"/>
    <w:rsid w:val="00586D75"/>
    <w:rsid w:val="005D2FEE"/>
    <w:rsid w:val="00673714"/>
    <w:rsid w:val="00761638"/>
    <w:rsid w:val="007646E6"/>
    <w:rsid w:val="00BE1BE7"/>
    <w:rsid w:val="00F8044F"/>
    <w:rsid w:val="00FC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35F2E0"/>
  <w15:docId w15:val="{F65F3C67-E482-434F-8344-8CD99FA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3</cp:revision>
  <dcterms:created xsi:type="dcterms:W3CDTF">2023-04-26T10:02:00Z</dcterms:created>
  <dcterms:modified xsi:type="dcterms:W3CDTF">2023-05-25T09:33:00Z</dcterms:modified>
</cp:coreProperties>
</file>