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904" w:rsidRDefault="00535904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/>
      </w:tblPr>
      <w:tblGrid>
        <w:gridCol w:w="1436"/>
        <w:gridCol w:w="856"/>
        <w:gridCol w:w="1004"/>
        <w:gridCol w:w="156"/>
        <w:gridCol w:w="3158"/>
        <w:gridCol w:w="851"/>
        <w:gridCol w:w="1303"/>
        <w:gridCol w:w="134"/>
        <w:gridCol w:w="1298"/>
        <w:gridCol w:w="1000"/>
      </w:tblGrid>
      <w:tr w:rsidR="00535904" w:rsidTr="00541971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rPr>
                <w:b/>
              </w:rPr>
              <w:t>Име и презиме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Pr="00541971" w:rsidRDefault="00541971">
            <w:pPr>
              <w:rPr>
                <w:lang/>
              </w:rPr>
            </w:pPr>
            <w:r>
              <w:rPr>
                <w:lang/>
              </w:rPr>
              <w:t>Милица С. Рутоњски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rPr>
                <w:b/>
              </w:rPr>
              <w:t>Звање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Pr="00541971" w:rsidRDefault="00541971">
            <w:pPr>
              <w:rPr>
                <w:lang/>
              </w:rPr>
            </w:pPr>
            <w:r>
              <w:rPr>
                <w:lang/>
              </w:rPr>
              <w:t>Доцент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rPr>
                <w:b/>
              </w:rPr>
              <w:t>Ужа научна област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Pr="00541971" w:rsidRDefault="00541971">
            <w:pPr>
              <w:rPr>
                <w:lang/>
              </w:rPr>
            </w:pPr>
            <w:r>
              <w:rPr>
                <w:lang/>
              </w:rPr>
              <w:t>Теоријска физика кондензоване материје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rPr>
                <w:b/>
              </w:rPr>
              <w:t>Академска каријера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 xml:space="preserve">Година 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 xml:space="preserve">Институција 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904" w:rsidRDefault="00E3345B">
            <w:r>
              <w:t>Област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904" w:rsidRDefault="00E3345B">
            <w:r>
              <w:t>Ужа научна односно уметничка област</w:t>
            </w:r>
          </w:p>
        </w:tc>
      </w:tr>
      <w:tr w:rsidR="00541971" w:rsidTr="00541971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Default="00541971">
            <w:r>
              <w:t>Избор у звање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Pr="00D01A33" w:rsidRDefault="00541971" w:rsidP="00497202">
            <w:r w:rsidRPr="00D01A33">
              <w:t>2003.</w:t>
            </w:r>
          </w:p>
          <w:p w:rsidR="00541971" w:rsidRPr="00D01A33" w:rsidRDefault="00541971" w:rsidP="00497202">
            <w:r w:rsidRPr="00D01A33">
              <w:t>2007.</w:t>
            </w:r>
          </w:p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2012.</w:t>
            </w:r>
          </w:p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2020.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Pr="00D01A33" w:rsidRDefault="00541971" w:rsidP="00497202">
            <w:r w:rsidRPr="00D01A33">
              <w:t xml:space="preserve">Природно-математички факултет,  </w:t>
            </w:r>
          </w:p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Универзитет у Новом Саду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Pr="00D01A33" w:rsidRDefault="00541971" w:rsidP="00497202">
            <w:pPr>
              <w:rPr>
                <w:lang w:val="ru-RU"/>
              </w:rPr>
            </w:pPr>
            <w:r w:rsidRPr="00D01A33"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Теоријска физика кондензоване материје</w:t>
            </w:r>
          </w:p>
        </w:tc>
      </w:tr>
      <w:tr w:rsidR="00541971" w:rsidTr="001965F1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Default="00541971">
            <w: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Pr="00D01A33" w:rsidRDefault="00541971" w:rsidP="00497202">
            <w:r w:rsidRPr="00D01A33">
              <w:t>2011.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Pr="00D01A33" w:rsidRDefault="00541971" w:rsidP="00497202">
            <w:r w:rsidRPr="00D01A33">
              <w:t>Природно-математички факултет,</w:t>
            </w:r>
          </w:p>
          <w:p w:rsidR="00541971" w:rsidRPr="00D01A33" w:rsidRDefault="00541971" w:rsidP="00497202">
            <w:r w:rsidRPr="00D01A33">
              <w:t>Универзитет у Новом Саду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Pr="00D01A33" w:rsidRDefault="00541971" w:rsidP="00497202">
            <w:pPr>
              <w:rPr>
                <w:lang w:val="ru-RU"/>
              </w:rPr>
            </w:pPr>
            <w:r w:rsidRPr="00D01A33"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Теоријска физика кондензоване материје</w:t>
            </w:r>
          </w:p>
        </w:tc>
      </w:tr>
      <w:tr w:rsidR="00541971" w:rsidTr="00C403D4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Default="00541971">
            <w:r>
              <w:t>Магистратура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Pr="00D01A33" w:rsidRDefault="00541971" w:rsidP="00497202">
            <w:r w:rsidRPr="00D01A33">
              <w:t>2007.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Pr="00D01A33" w:rsidRDefault="00541971" w:rsidP="00497202">
            <w:r w:rsidRPr="00D01A33">
              <w:t>Физички факултет, Универзитет у Београду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Pr="00D01A33" w:rsidRDefault="00541971" w:rsidP="00497202">
            <w:r w:rsidRPr="00D01A33"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Теоријска физика кондензоване материје</w:t>
            </w:r>
          </w:p>
        </w:tc>
      </w:tr>
      <w:tr w:rsidR="00541971" w:rsidTr="00FB5441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Default="00541971">
            <w: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Pr="00D01A33" w:rsidRDefault="00541971" w:rsidP="00497202">
            <w:r w:rsidRPr="00D01A33">
              <w:t>2002.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Pr="00D01A33" w:rsidRDefault="00541971" w:rsidP="00497202">
            <w:r w:rsidRPr="00D01A33">
              <w:t>Природно-математички факултет,</w:t>
            </w:r>
          </w:p>
          <w:p w:rsidR="00541971" w:rsidRPr="00D01A33" w:rsidRDefault="00541971" w:rsidP="00497202">
            <w:r w:rsidRPr="00D01A33">
              <w:t>Универзитет у Новом Саду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Теоријска физика кондензоване материје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904" w:rsidRDefault="00E3345B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904" w:rsidRDefault="00E3345B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541971" w:rsidTr="00541971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971" w:rsidRPr="00CC4404" w:rsidRDefault="00541971" w:rsidP="00497202">
            <w:pPr>
              <w:tabs>
                <w:tab w:val="left" w:pos="567"/>
              </w:tabs>
              <w:contextualSpacing/>
            </w:pPr>
            <w:r>
              <w:rPr>
                <w:lang/>
              </w:rPr>
              <w:t>1</w:t>
            </w:r>
            <w:r>
              <w:t>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ФД18МКТМ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Pr="00D01A33" w:rsidRDefault="00541971" w:rsidP="00497202">
            <w:pPr>
              <w:tabs>
                <w:tab w:val="left" w:pos="567"/>
              </w:tabs>
              <w:contextualSpacing/>
            </w:pPr>
            <w:r w:rsidRPr="00D01A33">
              <w:t>Методи квантне теорије магнетизма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1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pPr>
              <w:pStyle w:val="PlainText"/>
              <w:widowControl w:val="0"/>
              <w:rPr>
                <w:rFonts w:ascii="Times New Roman" w:eastAsia="MS Mincho" w:hAnsi="Times New Roman"/>
                <w:vertAlign w:val="subscript"/>
              </w:rPr>
            </w:pPr>
            <w:r>
              <w:rPr>
                <w:rFonts w:ascii="Times New Roman" w:eastAsia="MS Mincho" w:hAnsi="Times New Roman"/>
                <w:b/>
              </w:rPr>
              <w:t>M.Manojlović</w:t>
            </w:r>
            <w:r>
              <w:rPr>
                <w:rFonts w:ascii="Times New Roman" w:eastAsia="MS Mincho" w:hAnsi="Times New Roman"/>
              </w:rPr>
              <w:t>, M.Pavkov, M.Škrinjar, M.Pantić, D.KaporandS.Stojanović: Spin-wavedispersionandtransitiontemperatureinthecuprateantiferromagnetLa</w:t>
            </w:r>
            <w:r>
              <w:rPr>
                <w:rFonts w:ascii="Times New Roman" w:eastAsia="MS Mincho" w:hAnsi="Times New Roman"/>
                <w:vertAlign w:val="subscript"/>
              </w:rPr>
              <w:t>2</w:t>
            </w:r>
            <w:r>
              <w:rPr>
                <w:rFonts w:ascii="Times New Roman" w:eastAsia="MS Mincho" w:hAnsi="Times New Roman"/>
              </w:rPr>
              <w:t>CuO</w:t>
            </w:r>
            <w:r>
              <w:rPr>
                <w:rFonts w:ascii="Times New Roman" w:eastAsia="MS Mincho" w:hAnsi="Times New Roman"/>
                <w:vertAlign w:val="subscript"/>
              </w:rPr>
              <w:t>4</w:t>
            </w:r>
          </w:p>
          <w:p w:rsidR="00541971" w:rsidRDefault="00541971" w:rsidP="00497202">
            <w:r>
              <w:rPr>
                <w:rFonts w:eastAsia="MS Mincho"/>
                <w:i/>
              </w:rPr>
              <w:t xml:space="preserve">Physical Review </w:t>
            </w:r>
            <w:r>
              <w:rPr>
                <w:rFonts w:eastAsia="MS Mincho"/>
                <w:b/>
              </w:rPr>
              <w:t>B 68,</w:t>
            </w:r>
            <w:r>
              <w:rPr>
                <w:rFonts w:eastAsia="MS Mincho"/>
              </w:rPr>
              <w:t xml:space="preserve"> 014435 (2003)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М21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2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pPr>
              <w:pStyle w:val="PlainText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/>
                <w:b/>
              </w:rPr>
              <w:t>M.Manojlović</w:t>
            </w:r>
            <w:r>
              <w:rPr>
                <w:rFonts w:ascii="Times New Roman" w:eastAsia="MS Mincho" w:hAnsi="Times New Roman"/>
              </w:rPr>
              <w:t xml:space="preserve">, M.Pavkov, M.Škrinjar, M.Pantić, D.Kapor and S.Stojanović: </w:t>
            </w:r>
            <w:r>
              <w:rPr>
                <w:rFonts w:ascii="Times New Roman" w:hAnsi="Times New Roman"/>
              </w:rPr>
              <w:t>Mermin-Wagner theorem analogous treatment of the longrange order in La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CuO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-type compound spin models</w:t>
            </w:r>
          </w:p>
          <w:p w:rsidR="00541971" w:rsidRDefault="00541971" w:rsidP="00497202">
            <w:r>
              <w:rPr>
                <w:rFonts w:eastAsia="MS Mincho"/>
                <w:i/>
              </w:rPr>
              <w:t xml:space="preserve">Physical Review </w:t>
            </w:r>
            <w:r>
              <w:rPr>
                <w:rFonts w:eastAsia="MS Mincho"/>
                <w:b/>
              </w:rPr>
              <w:t xml:space="preserve">B 71, </w:t>
            </w:r>
            <w:r>
              <w:rPr>
                <w:rFonts w:eastAsia="MS Mincho"/>
              </w:rPr>
              <w:t>1 (2005)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М21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3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pPr>
              <w:rPr>
                <w:bCs/>
              </w:rPr>
            </w:pPr>
            <w:r>
              <w:rPr>
                <w:b/>
                <w:bCs/>
              </w:rPr>
              <w:t>M.Rutonjski</w:t>
            </w:r>
            <w:r>
              <w:rPr>
                <w:bCs/>
              </w:rPr>
              <w:t>, S.Radošević, M.Škrinjar, M.Pavkov – Hrvojević,  D.Kapor and M.Pantić: Temperature dependence of sublattice magnetization in quasi-two-dimensional S = ½cuprateantiferromagnets: Green’sfunctionapproach</w:t>
            </w:r>
          </w:p>
          <w:p w:rsidR="00541971" w:rsidRDefault="00541971" w:rsidP="00497202">
            <w:r>
              <w:rPr>
                <w:bCs/>
                <w:i/>
              </w:rPr>
              <w:t xml:space="preserve">Physical Review </w:t>
            </w:r>
            <w:r>
              <w:rPr>
                <w:b/>
                <w:bCs/>
              </w:rPr>
              <w:t xml:space="preserve">B76 </w:t>
            </w:r>
            <w:r>
              <w:rPr>
                <w:rFonts w:eastAsia="MS Mincho"/>
              </w:rPr>
              <w:t>(2007)</w:t>
            </w:r>
            <w:r>
              <w:rPr>
                <w:bCs/>
              </w:rPr>
              <w:t>172506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М21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4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pPr>
              <w:rPr>
                <w:bCs/>
              </w:rPr>
            </w:pPr>
            <w:r>
              <w:rPr>
                <w:bCs/>
              </w:rPr>
              <w:t xml:space="preserve">M.Pantić, M.Pavkov – Hrvojević, </w:t>
            </w:r>
            <w:r>
              <w:rPr>
                <w:b/>
                <w:bCs/>
              </w:rPr>
              <w:t>M.Rutonjski</w:t>
            </w:r>
            <w:r>
              <w:rPr>
                <w:bCs/>
              </w:rPr>
              <w:t xml:space="preserve">, M.Škrinjar, D.Kapor, S.Radošević and M.Budinčević: Low-temperature properties of ferromagnetic Fibonacci superlattices </w:t>
            </w:r>
          </w:p>
          <w:p w:rsidR="00541971" w:rsidRDefault="00541971" w:rsidP="00497202">
            <w:r>
              <w:rPr>
                <w:bCs/>
                <w:i/>
              </w:rPr>
              <w:t xml:space="preserve">The European Physical Journal </w:t>
            </w:r>
            <w:r>
              <w:rPr>
                <w:b/>
                <w:bCs/>
              </w:rPr>
              <w:t xml:space="preserve">B 59 </w:t>
            </w:r>
            <w:r>
              <w:rPr>
                <w:rFonts w:eastAsia="MS Mincho"/>
              </w:rPr>
              <w:t>(2007)</w:t>
            </w:r>
            <w:r>
              <w:rPr>
                <w:bCs/>
              </w:rPr>
              <w:t>367 – 373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М21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5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r>
              <w:rPr>
                <w:b/>
              </w:rPr>
              <w:t>M. Rutonjski</w:t>
            </w:r>
            <w:r>
              <w:t>, S. Radošević, M. Pantić, M. Pavkov-Hrvojević, D. Kapor and M. Škrinjar: Magnon specific heat of high-T</w:t>
            </w:r>
            <w:r>
              <w:rPr>
                <w:vertAlign w:val="subscript"/>
              </w:rPr>
              <w:t>C</w:t>
            </w:r>
            <w:r>
              <w:t xml:space="preserve"> parent compounds La</w:t>
            </w:r>
            <w:r>
              <w:rPr>
                <w:vertAlign w:val="subscript"/>
              </w:rPr>
              <w:t>2</w:t>
            </w:r>
            <w:r>
              <w:t>CuO</w:t>
            </w:r>
            <w:r>
              <w:rPr>
                <w:vertAlign w:val="subscript"/>
              </w:rPr>
              <w:t>4</w:t>
            </w:r>
            <w:r>
              <w:t xml:space="preserve"> and YBa</w:t>
            </w:r>
            <w:r>
              <w:rPr>
                <w:vertAlign w:val="subscript"/>
              </w:rPr>
              <w:t>2</w:t>
            </w:r>
            <w:r>
              <w:t>Cu</w:t>
            </w:r>
            <w:r>
              <w:rPr>
                <w:vertAlign w:val="subscript"/>
              </w:rPr>
              <w:t>3</w:t>
            </w:r>
            <w:r>
              <w:t>O</w:t>
            </w:r>
            <w:r>
              <w:rPr>
                <w:vertAlign w:val="subscript"/>
              </w:rPr>
              <w:t>6</w:t>
            </w:r>
            <w:r>
              <w:t>: Green’s function approach</w:t>
            </w:r>
          </w:p>
          <w:p w:rsidR="00541971" w:rsidRDefault="00541971" w:rsidP="00497202">
            <w:r>
              <w:rPr>
                <w:i/>
              </w:rPr>
              <w:t>Solid State Commun.</w:t>
            </w:r>
            <w:r>
              <w:rPr>
                <w:b/>
              </w:rPr>
              <w:t>151</w:t>
            </w:r>
            <w:r>
              <w:t>, 518-522 (2011)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М21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6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r>
              <w:t xml:space="preserve">M. Pavkov-Hrvojević, M. Pantić, S. Radošević, </w:t>
            </w:r>
            <w:r>
              <w:rPr>
                <w:b/>
              </w:rPr>
              <w:t>M. Rutonjski</w:t>
            </w:r>
            <w:r>
              <w:t>, M. Škrinjar, D. Kapor:</w:t>
            </w:r>
          </w:p>
          <w:p w:rsidR="00541971" w:rsidRDefault="00541971" w:rsidP="00497202">
            <w:r>
              <w:t>Spin-wave dispersion in ferromagnetic semiconductor superlattices and thin films in the narrow-band limit</w:t>
            </w:r>
          </w:p>
          <w:p w:rsidR="00541971" w:rsidRDefault="00541971" w:rsidP="00497202">
            <w:r>
              <w:rPr>
                <w:i/>
              </w:rPr>
              <w:t>Solid State Commun.</w:t>
            </w:r>
            <w:r>
              <w:rPr>
                <w:b/>
              </w:rPr>
              <w:t>151</w:t>
            </w:r>
            <w:r>
              <w:t>, 1205-1209 (2011)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М21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7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r>
              <w:t xml:space="preserve">S. Radošević, </w:t>
            </w:r>
            <w:r>
              <w:rPr>
                <w:b/>
              </w:rPr>
              <w:t>M. Rutonjski</w:t>
            </w:r>
            <w:r>
              <w:t>, M. Pantić, M. Pavkov-Hrvojević, D. Kapor, M. Škrinjar:</w:t>
            </w:r>
          </w:p>
          <w:p w:rsidR="00541971" w:rsidRDefault="00541971" w:rsidP="00497202">
            <w:r>
              <w:t>The Néel temperature of a D-dimensional bcc Heisenberg antiferromagnet</w:t>
            </w:r>
          </w:p>
          <w:p w:rsidR="00541971" w:rsidRDefault="00541971" w:rsidP="00497202">
            <w:r>
              <w:rPr>
                <w:i/>
              </w:rPr>
              <w:t>Solid State Commun.</w:t>
            </w:r>
            <w:r>
              <w:rPr>
                <w:b/>
              </w:rPr>
              <w:t>151</w:t>
            </w:r>
            <w:r>
              <w:t>, 1753-1757 (2011)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М21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8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pPr>
              <w:rPr>
                <w:bCs/>
              </w:rPr>
            </w:pPr>
            <w:r>
              <w:rPr>
                <w:bCs/>
              </w:rPr>
              <w:t xml:space="preserve">D.Kapor, M.Pantić, </w:t>
            </w:r>
            <w:r>
              <w:rPr>
                <w:b/>
                <w:bCs/>
              </w:rPr>
              <w:t>M.Manojlović</w:t>
            </w:r>
            <w:r>
              <w:rPr>
                <w:bCs/>
              </w:rPr>
              <w:t>, M.Škrinjar, S.Stojanović andM.Pavkov:</w:t>
            </w:r>
          </w:p>
          <w:p w:rsidR="00541971" w:rsidRDefault="00541971" w:rsidP="00497202">
            <w:pPr>
              <w:rPr>
                <w:bCs/>
              </w:rPr>
            </w:pPr>
            <w:r>
              <w:rPr>
                <w:bCs/>
              </w:rPr>
              <w:t xml:space="preserve">Thermodynamic properties of magnetic bilayers </w:t>
            </w:r>
          </w:p>
          <w:p w:rsidR="00541971" w:rsidRDefault="00541971" w:rsidP="00497202">
            <w:r>
              <w:rPr>
                <w:i/>
              </w:rPr>
              <w:t>Journal of Physics and Chemistry of Solids</w:t>
            </w:r>
            <w:r>
              <w:t>, v. 67, iss. 4, p. 698-704 (2006)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М22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9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pPr>
              <w:rPr>
                <w:bCs/>
                <w:lang w:val="sl-SI"/>
              </w:rPr>
            </w:pPr>
            <w:r>
              <w:rPr>
                <w:bCs/>
                <w:lang w:val="sl-SI"/>
              </w:rPr>
              <w:t xml:space="preserve">S.Radošević, M.Pavkov – </w:t>
            </w:r>
            <w:r>
              <w:rPr>
                <w:bCs/>
              </w:rPr>
              <w:t>Hrvojević, M.Pantić,</w:t>
            </w:r>
            <w:r>
              <w:rPr>
                <w:b/>
                <w:bCs/>
                <w:lang w:val="sl-SI"/>
              </w:rPr>
              <w:t>M.Rutonjski</w:t>
            </w:r>
            <w:r>
              <w:rPr>
                <w:bCs/>
                <w:lang w:val="sl-SI"/>
              </w:rPr>
              <w:t>,</w:t>
            </w:r>
            <w:r>
              <w:rPr>
                <w:bCs/>
              </w:rPr>
              <w:t xml:space="preserve"> D.Kapor and</w:t>
            </w:r>
            <w:r>
              <w:rPr>
                <w:bCs/>
                <w:lang w:val="sl-SI"/>
              </w:rPr>
              <w:t xml:space="preserve"> M.Škrinjar: Magnetic properties of quasi two dimensional antiferromagnet Rb</w:t>
            </w:r>
            <w:r>
              <w:rPr>
                <w:bCs/>
                <w:vertAlign w:val="subscript"/>
                <w:lang w:val="sl-SI"/>
              </w:rPr>
              <w:t>2</w:t>
            </w:r>
            <w:r>
              <w:rPr>
                <w:bCs/>
                <w:lang w:val="sl-SI"/>
              </w:rPr>
              <w:t xml:space="preserve"> MnCl</w:t>
            </w:r>
            <w:r>
              <w:rPr>
                <w:bCs/>
                <w:vertAlign w:val="subscript"/>
                <w:lang w:val="sl-SI"/>
              </w:rPr>
              <w:t>4</w:t>
            </w:r>
            <w:r>
              <w:rPr>
                <w:bCs/>
                <w:lang w:val="sl-SI"/>
              </w:rPr>
              <w:t xml:space="preserve"> with XXZ interaction anisotropy </w:t>
            </w:r>
          </w:p>
          <w:p w:rsidR="00541971" w:rsidRDefault="00541971" w:rsidP="00497202">
            <w:r>
              <w:rPr>
                <w:bCs/>
                <w:i/>
              </w:rPr>
              <w:t xml:space="preserve">The European Physical Journal </w:t>
            </w:r>
            <w:r>
              <w:rPr>
                <w:b/>
                <w:bCs/>
              </w:rPr>
              <w:t xml:space="preserve">B 68 </w:t>
            </w:r>
            <w:r>
              <w:rPr>
                <w:rFonts w:eastAsia="MS Mincho"/>
              </w:rPr>
              <w:t>(2009)</w:t>
            </w:r>
            <w:r>
              <w:rPr>
                <w:bCs/>
              </w:rPr>
              <w:t>511 – 517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М22</w:t>
            </w:r>
          </w:p>
        </w:tc>
      </w:tr>
      <w:tr w:rsidR="00541971" w:rsidTr="009429C6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10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971" w:rsidRDefault="00541971" w:rsidP="00497202">
            <w:pPr>
              <w:pStyle w:val="PlainText"/>
              <w:widowControl w:val="0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D.Kapor, M.Pavkov, </w:t>
            </w:r>
            <w:r>
              <w:rPr>
                <w:rFonts w:ascii="Times New Roman" w:eastAsia="MS Mincho" w:hAnsi="Times New Roman"/>
                <w:b/>
              </w:rPr>
              <w:t>M.Manojlović</w:t>
            </w:r>
            <w:r>
              <w:rPr>
                <w:rFonts w:ascii="Times New Roman" w:eastAsia="MS Mincho" w:hAnsi="Times New Roman"/>
              </w:rPr>
              <w:t>, M.Pantić, M.Škrinjar and S.Stojanović: Some peculiar properties of the complex magnetic systems</w:t>
            </w:r>
          </w:p>
          <w:p w:rsidR="00541971" w:rsidRDefault="00541971" w:rsidP="00497202">
            <w:pPr>
              <w:pStyle w:val="PlainText"/>
              <w:widowControl w:val="0"/>
              <w:rPr>
                <w:rFonts w:ascii="TimesNewRomanPSMT" w:hAnsi="TimesNewRomanPSMT" w:cs="TimesNewRomanPSMT"/>
              </w:rPr>
            </w:pPr>
            <w:r>
              <w:rPr>
                <w:rFonts w:ascii="Times New Roman" w:eastAsia="MS Mincho" w:hAnsi="Times New Roman"/>
                <w:i/>
              </w:rPr>
              <w:t>physica status solidi</w:t>
            </w:r>
            <w:r>
              <w:rPr>
                <w:rFonts w:ascii="Times New Roman" w:eastAsia="MS Mincho" w:hAnsi="Times New Roman"/>
                <w:b/>
              </w:rPr>
              <w:t xml:space="preserve"> (b) 241</w:t>
            </w:r>
            <w:r>
              <w:rPr>
                <w:rFonts w:ascii="Times New Roman" w:eastAsia="MS Mincho" w:hAnsi="Times New Roman"/>
              </w:rPr>
              <w:t xml:space="preserve">, No 2, 401 - 410 (2004)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971" w:rsidRDefault="00541971" w:rsidP="00497202">
            <w:r>
              <w:t>М22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>Укупан број цитата, без аутоцитата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Pr="00541971" w:rsidRDefault="00541971">
            <w:pPr>
              <w:rPr>
                <w:lang/>
              </w:rPr>
            </w:pPr>
            <w:r>
              <w:rPr>
                <w:lang/>
              </w:rPr>
              <w:t>45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>Укупан број радова са SCI (или SSCI) листе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Pr="00541971" w:rsidRDefault="00541971">
            <w:pPr>
              <w:rPr>
                <w:lang/>
              </w:rPr>
            </w:pPr>
            <w:r>
              <w:rPr>
                <w:lang/>
              </w:rPr>
              <w:t>17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>Тренутно учешће на пројектима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Pr="00541971" w:rsidRDefault="00E3345B">
            <w:pPr>
              <w:rPr>
                <w:lang/>
              </w:rPr>
            </w:pPr>
            <w:r>
              <w:t>Домаћи</w:t>
            </w:r>
            <w:r w:rsidR="00541971">
              <w:rPr>
                <w:lang/>
              </w:rPr>
              <w:t xml:space="preserve"> 1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>Међународни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 xml:space="preserve">Усавршавања 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971" w:rsidRDefault="00541971" w:rsidP="00541971">
            <w:pPr>
              <w:pStyle w:val="Achievement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мај-јун2004.: “TheSpringCollegeonScienceattheNanoscale” у центру за теоријску физикуICTP, Трст, Италија</w:t>
            </w:r>
          </w:p>
          <w:p w:rsidR="00541971" w:rsidRDefault="00541971" w:rsidP="00541971">
            <w:pPr>
              <w:pStyle w:val="Achievement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фебруар 2005.: 43. InternationaleUniver-sitätswochenfürTheoretischePhysik  “SpinPhysics, SpintronicsandSpin-offs”, у </w:t>
            </w:r>
            <w:r>
              <w:rPr>
                <w:rFonts w:ascii="Times New Roman" w:hAnsi="Times New Roman"/>
                <w:sz w:val="20"/>
              </w:rPr>
              <w:lastRenderedPageBreak/>
              <w:t>Шладмингу, Аустрија</w:t>
            </w:r>
          </w:p>
          <w:p w:rsidR="00535904" w:rsidRDefault="00541971" w:rsidP="00541971">
            <w:r>
              <w:t>септембар 2005.: “XI International Summer School  - Fundamental problems in Statistical Physics” у Лувену, Белгија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lastRenderedPageBreak/>
              <w:t>Други подаци које сматрате релевантним</w:t>
            </w:r>
          </w:p>
        </w:tc>
      </w:tr>
      <w:tr w:rsidR="00535904" w:rsidTr="0054197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04" w:rsidRDefault="00E3345B">
            <w:r>
              <w:t>Максимална дужине не сме бити већа од  1 странице А4</w:t>
            </w:r>
          </w:p>
        </w:tc>
      </w:tr>
    </w:tbl>
    <w:p w:rsidR="00535904" w:rsidRDefault="00535904"/>
    <w:sectPr w:rsidR="00535904" w:rsidSect="00535904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C0577"/>
    <w:multiLevelType w:val="multilevel"/>
    <w:tmpl w:val="C4244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compat/>
  <w:rsids>
    <w:rsidRoot w:val="00535904"/>
    <w:rsid w:val="0052233B"/>
    <w:rsid w:val="00535904"/>
    <w:rsid w:val="00541971"/>
    <w:rsid w:val="00603310"/>
    <w:rsid w:val="00E3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535904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535904"/>
    <w:pPr>
      <w:spacing w:after="140" w:line="276" w:lineRule="auto"/>
    </w:pPr>
  </w:style>
  <w:style w:type="paragraph" w:styleId="List">
    <w:name w:val="List"/>
    <w:basedOn w:val="BodyText"/>
    <w:rsid w:val="00535904"/>
    <w:rPr>
      <w:rFonts w:cs="Noto Sans Devanagari"/>
    </w:rPr>
  </w:style>
  <w:style w:type="paragraph" w:styleId="Caption">
    <w:name w:val="caption"/>
    <w:basedOn w:val="Normal"/>
    <w:qFormat/>
    <w:rsid w:val="0053590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535904"/>
    <w:pPr>
      <w:suppressLineNumbers/>
    </w:pPr>
    <w:rPr>
      <w:rFonts w:cs="Noto Sans Devanagari"/>
    </w:rPr>
  </w:style>
  <w:style w:type="character" w:customStyle="1" w:styleId="PlainTextChar">
    <w:name w:val="Plain Text Char"/>
    <w:basedOn w:val="DefaultParagraphFont"/>
    <w:link w:val="PlainText"/>
    <w:qFormat/>
    <w:rsid w:val="00541971"/>
    <w:rPr>
      <w:rFonts w:ascii="Courier New" w:eastAsia="Times New Roman" w:hAnsi="Courier New" w:cs="Times New Roman"/>
      <w:sz w:val="20"/>
      <w:szCs w:val="20"/>
    </w:rPr>
  </w:style>
  <w:style w:type="paragraph" w:styleId="PlainText">
    <w:name w:val="Plain Text"/>
    <w:basedOn w:val="Normal"/>
    <w:link w:val="PlainTextChar"/>
    <w:qFormat/>
    <w:rsid w:val="00541971"/>
    <w:pPr>
      <w:widowControl/>
    </w:pPr>
    <w:rPr>
      <w:rFonts w:ascii="Courier New" w:eastAsia="Times New Roman" w:hAnsi="Courier New"/>
      <w:kern w:val="2"/>
      <w:lang w:val="en-US" w:eastAsia="en-US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541971"/>
    <w:rPr>
      <w:rFonts w:ascii="Consolas" w:eastAsia="Cambria" w:hAnsi="Consolas" w:cs="Consolas"/>
      <w:kern w:val="0"/>
      <w:sz w:val="21"/>
      <w:szCs w:val="21"/>
      <w:lang w:val="sr-Latn-CS" w:eastAsia="sr-Latn-CS"/>
    </w:rPr>
  </w:style>
  <w:style w:type="paragraph" w:customStyle="1" w:styleId="Achievement">
    <w:name w:val="Achievement"/>
    <w:basedOn w:val="BodyText"/>
    <w:qFormat/>
    <w:rsid w:val="00541971"/>
    <w:pPr>
      <w:widowControl/>
      <w:tabs>
        <w:tab w:val="num" w:pos="0"/>
        <w:tab w:val="left" w:pos="360"/>
      </w:tabs>
      <w:spacing w:after="60" w:line="240" w:lineRule="atLeast"/>
      <w:jc w:val="both"/>
    </w:pPr>
    <w:rPr>
      <w:rFonts w:ascii="Garamond" w:eastAsia="Times New Roman" w:hAnsi="Garamond"/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3199</Characters>
  <Application>Microsoft Office Word</Application>
  <DocSecurity>0</DocSecurity>
  <Lines>26</Lines>
  <Paragraphs>7</Paragraphs>
  <ScaleCrop>false</ScaleCrop>
  <Company>PMF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Milica Rutonjski</cp:lastModifiedBy>
  <cp:revision>3</cp:revision>
  <dcterms:created xsi:type="dcterms:W3CDTF">2023-04-26T10:25:00Z</dcterms:created>
  <dcterms:modified xsi:type="dcterms:W3CDTF">2023-04-26T10:30:00Z</dcterms:modified>
  <dc:language>en-US</dc:language>
</cp:coreProperties>
</file>