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6D" w:rsidRPr="00C53695" w:rsidRDefault="0005156D" w:rsidP="004D235E">
      <w:pPr>
        <w:rPr>
          <w:iCs/>
          <w:sz w:val="20"/>
          <w:szCs w:val="20"/>
        </w:rPr>
      </w:pPr>
      <w:r w:rsidRPr="00C53695">
        <w:rPr>
          <w:b/>
          <w:iCs/>
          <w:sz w:val="20"/>
          <w:szCs w:val="20"/>
          <w:lang w:val="sr-Cyrl-CS"/>
        </w:rPr>
        <w:t>Табела. 9.3</w:t>
      </w:r>
      <w:r w:rsidRPr="00C53695">
        <w:rPr>
          <w:sz w:val="20"/>
          <w:szCs w:val="20"/>
        </w:rPr>
        <w:t xml:space="preserve"> </w:t>
      </w:r>
      <w:proofErr w:type="spellStart"/>
      <w:r w:rsidRPr="00C53695">
        <w:rPr>
          <w:sz w:val="20"/>
          <w:szCs w:val="20"/>
        </w:rPr>
        <w:t>Компетентност</w:t>
      </w:r>
      <w:proofErr w:type="spellEnd"/>
      <w:r w:rsidRPr="00C53695">
        <w:rPr>
          <w:sz w:val="20"/>
          <w:szCs w:val="20"/>
        </w:rPr>
        <w:t xml:space="preserve"> </w:t>
      </w:r>
      <w:proofErr w:type="spellStart"/>
      <w:r w:rsidRPr="00C53695">
        <w:rPr>
          <w:sz w:val="20"/>
          <w:szCs w:val="20"/>
        </w:rPr>
        <w:t>наставника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"/>
        <w:gridCol w:w="389"/>
        <w:gridCol w:w="1499"/>
        <w:gridCol w:w="1226"/>
        <w:gridCol w:w="898"/>
        <w:gridCol w:w="270"/>
        <w:gridCol w:w="2336"/>
        <w:gridCol w:w="58"/>
        <w:gridCol w:w="1656"/>
        <w:gridCol w:w="720"/>
        <w:gridCol w:w="18"/>
      </w:tblGrid>
      <w:tr w:rsidR="000B5216" w:rsidRPr="004D235E" w:rsidTr="0005156D">
        <w:tc>
          <w:tcPr>
            <w:tcW w:w="3620" w:type="dxa"/>
            <w:gridSpan w:val="4"/>
          </w:tcPr>
          <w:p w:rsidR="000B5216" w:rsidRPr="004D235E" w:rsidRDefault="000B5216" w:rsidP="0005156D">
            <w:pPr>
              <w:rPr>
                <w:b/>
                <w:sz w:val="20"/>
                <w:szCs w:val="20"/>
                <w:lang w:val="sr-Cyrl-CS"/>
              </w:rPr>
            </w:pPr>
            <w:proofErr w:type="spellStart"/>
            <w:r w:rsidRPr="004D235E">
              <w:rPr>
                <w:b/>
                <w:sz w:val="20"/>
                <w:szCs w:val="20"/>
              </w:rPr>
              <w:t>Презиме</w:t>
            </w:r>
            <w:proofErr w:type="spellEnd"/>
            <w:r w:rsidRPr="004D235E">
              <w:rPr>
                <w:b/>
                <w:sz w:val="20"/>
                <w:szCs w:val="20"/>
              </w:rPr>
              <w:t xml:space="preserve">, </w:t>
            </w:r>
            <w:r w:rsidRPr="004D235E">
              <w:rPr>
                <w:b/>
                <w:sz w:val="20"/>
                <w:szCs w:val="20"/>
                <w:lang w:val="sr-Cyrl-CS"/>
              </w:rPr>
              <w:t xml:space="preserve">средње слово, </w:t>
            </w:r>
            <w:proofErr w:type="spellStart"/>
            <w:r w:rsidRPr="004D235E">
              <w:rPr>
                <w:b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956" w:type="dxa"/>
            <w:gridSpan w:val="7"/>
          </w:tcPr>
          <w:p w:rsidR="000B5216" w:rsidRPr="00C53695" w:rsidRDefault="000B5216" w:rsidP="00C53695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C53695">
              <w:rPr>
                <w:sz w:val="20"/>
                <w:szCs w:val="20"/>
              </w:rPr>
              <w:t>Ивана</w:t>
            </w:r>
            <w:proofErr w:type="spellEnd"/>
            <w:r w:rsidRPr="00C53695">
              <w:rPr>
                <w:sz w:val="20"/>
                <w:szCs w:val="20"/>
                <w:lang w:val="sr-Cyrl-BA"/>
              </w:rPr>
              <w:t xml:space="preserve"> В</w:t>
            </w:r>
            <w:r w:rsidR="00C53695">
              <w:rPr>
                <w:sz w:val="20"/>
                <w:szCs w:val="20"/>
                <w:lang w:val="sr-Latn-CS"/>
              </w:rPr>
              <w:t>.</w:t>
            </w:r>
            <w:r w:rsidRPr="00C53695">
              <w:rPr>
                <w:sz w:val="20"/>
                <w:szCs w:val="20"/>
                <w:lang w:val="sr-Cyrl-BA"/>
              </w:rPr>
              <w:t xml:space="preserve"> </w:t>
            </w:r>
            <w:r w:rsidRPr="00C53695">
              <w:rPr>
                <w:sz w:val="20"/>
                <w:szCs w:val="20"/>
              </w:rPr>
              <w:t xml:space="preserve"> </w:t>
            </w:r>
            <w:proofErr w:type="spellStart"/>
            <w:r w:rsidRPr="00C53695">
              <w:rPr>
                <w:sz w:val="20"/>
                <w:szCs w:val="20"/>
              </w:rPr>
              <w:t>Штајнер-Папуга</w:t>
            </w:r>
            <w:proofErr w:type="spellEnd"/>
          </w:p>
        </w:tc>
      </w:tr>
      <w:tr w:rsidR="000B5216" w:rsidRPr="004D235E" w:rsidTr="0005156D">
        <w:tc>
          <w:tcPr>
            <w:tcW w:w="3620" w:type="dxa"/>
            <w:gridSpan w:val="4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956" w:type="dxa"/>
            <w:gridSpan w:val="7"/>
          </w:tcPr>
          <w:p w:rsidR="000B5216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BA"/>
              </w:rPr>
              <w:t>редовни</w:t>
            </w:r>
            <w:r w:rsidR="000B5216" w:rsidRPr="004D235E">
              <w:rPr>
                <w:sz w:val="20"/>
                <w:szCs w:val="20"/>
                <w:lang w:val="sr-Cyrl-BA"/>
              </w:rPr>
              <w:t xml:space="preserve"> професор</w:t>
            </w:r>
          </w:p>
        </w:tc>
      </w:tr>
      <w:tr w:rsidR="000B5216" w:rsidRPr="004D235E" w:rsidTr="0005156D">
        <w:tc>
          <w:tcPr>
            <w:tcW w:w="3620" w:type="dxa"/>
            <w:gridSpan w:val="4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b/>
                <w:sz w:val="20"/>
                <w:szCs w:val="20"/>
                <w:lang w:val="sr-Cyrl-CS"/>
              </w:rPr>
              <w:t>Ужа н</w:t>
            </w:r>
            <w:proofErr w:type="spellStart"/>
            <w:r w:rsidRPr="004D235E">
              <w:rPr>
                <w:b/>
                <w:sz w:val="20"/>
                <w:szCs w:val="20"/>
              </w:rPr>
              <w:t>аучна</w:t>
            </w:r>
            <w:proofErr w:type="spellEnd"/>
            <w:r w:rsidRPr="004D23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5956" w:type="dxa"/>
            <w:gridSpan w:val="7"/>
          </w:tcPr>
          <w:p w:rsidR="000B5216" w:rsidRPr="004D235E" w:rsidRDefault="000B5216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BA"/>
              </w:rPr>
              <w:t>Анализа и вероватноћа</w:t>
            </w:r>
          </w:p>
        </w:tc>
      </w:tr>
      <w:tr w:rsidR="000B5216" w:rsidRPr="004D235E" w:rsidTr="0005156D">
        <w:tc>
          <w:tcPr>
            <w:tcW w:w="2394" w:type="dxa"/>
            <w:gridSpan w:val="3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4D235E">
              <w:rPr>
                <w:b/>
                <w:sz w:val="20"/>
                <w:szCs w:val="20"/>
              </w:rPr>
              <w:t>Академска</w:t>
            </w:r>
            <w:proofErr w:type="spellEnd"/>
            <w:r w:rsidRPr="004D23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b/>
                <w:sz w:val="20"/>
                <w:szCs w:val="20"/>
              </w:rPr>
              <w:t>каријера</w:t>
            </w:r>
            <w:proofErr w:type="spellEnd"/>
          </w:p>
        </w:tc>
        <w:tc>
          <w:tcPr>
            <w:tcW w:w="1226" w:type="dxa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562" w:type="dxa"/>
            <w:gridSpan w:val="4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394" w:type="dxa"/>
            <w:gridSpan w:val="3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 xml:space="preserve">Област </w:t>
            </w:r>
          </w:p>
        </w:tc>
      </w:tr>
      <w:tr w:rsidR="000B5216" w:rsidRPr="004D235E" w:rsidTr="0005156D">
        <w:tc>
          <w:tcPr>
            <w:tcW w:w="2394" w:type="dxa"/>
            <w:gridSpan w:val="3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226" w:type="dxa"/>
          </w:tcPr>
          <w:p w:rsidR="000B5216" w:rsidRPr="004D235E" w:rsidRDefault="00561EBD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2015</w:t>
            </w:r>
            <w:r w:rsidR="000B5216" w:rsidRPr="004D235E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3562" w:type="dxa"/>
            <w:gridSpan w:val="4"/>
          </w:tcPr>
          <w:p w:rsidR="000B5216" w:rsidRPr="004D235E" w:rsidRDefault="000B5216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ПМФ, Универзитет у Новом Саду</w:t>
            </w:r>
          </w:p>
        </w:tc>
        <w:tc>
          <w:tcPr>
            <w:tcW w:w="2394" w:type="dxa"/>
            <w:gridSpan w:val="3"/>
          </w:tcPr>
          <w:p w:rsidR="000B5216" w:rsidRPr="004D235E" w:rsidRDefault="000B5216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математика</w:t>
            </w:r>
          </w:p>
        </w:tc>
      </w:tr>
      <w:tr w:rsidR="000B5216" w:rsidRPr="004D235E" w:rsidTr="0005156D">
        <w:tc>
          <w:tcPr>
            <w:tcW w:w="2394" w:type="dxa"/>
            <w:gridSpan w:val="3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226" w:type="dxa"/>
          </w:tcPr>
          <w:p w:rsidR="000B5216" w:rsidRPr="004D235E" w:rsidRDefault="000B5216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3562" w:type="dxa"/>
            <w:gridSpan w:val="4"/>
          </w:tcPr>
          <w:p w:rsidR="000B5216" w:rsidRPr="004D235E" w:rsidRDefault="000B5216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ПМФ, Универзитет у Новом Саду</w:t>
            </w:r>
          </w:p>
        </w:tc>
        <w:tc>
          <w:tcPr>
            <w:tcW w:w="2394" w:type="dxa"/>
            <w:gridSpan w:val="3"/>
          </w:tcPr>
          <w:p w:rsidR="000B5216" w:rsidRPr="004D235E" w:rsidRDefault="000B5216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математика</w:t>
            </w:r>
          </w:p>
        </w:tc>
      </w:tr>
      <w:tr w:rsidR="000B5216" w:rsidRPr="004D235E" w:rsidTr="0005156D">
        <w:tc>
          <w:tcPr>
            <w:tcW w:w="2394" w:type="dxa"/>
            <w:gridSpan w:val="3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226" w:type="dxa"/>
          </w:tcPr>
          <w:p w:rsidR="000B5216" w:rsidRPr="004D235E" w:rsidRDefault="000B5216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1996.</w:t>
            </w:r>
          </w:p>
        </w:tc>
        <w:tc>
          <w:tcPr>
            <w:tcW w:w="3562" w:type="dxa"/>
            <w:gridSpan w:val="4"/>
          </w:tcPr>
          <w:p w:rsidR="000B5216" w:rsidRPr="004D235E" w:rsidRDefault="000B5216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ПМФ, Универзитет у Новом Саду</w:t>
            </w:r>
          </w:p>
        </w:tc>
        <w:tc>
          <w:tcPr>
            <w:tcW w:w="2394" w:type="dxa"/>
            <w:gridSpan w:val="3"/>
          </w:tcPr>
          <w:p w:rsidR="000B5216" w:rsidRPr="004D235E" w:rsidRDefault="000B5216" w:rsidP="00C4787B">
            <w:pPr>
              <w:rPr>
                <w:sz w:val="20"/>
                <w:szCs w:val="20"/>
                <w:lang w:val="sr-Cyrl-BA"/>
              </w:rPr>
            </w:pPr>
            <w:r w:rsidRPr="004D235E">
              <w:rPr>
                <w:sz w:val="20"/>
                <w:szCs w:val="20"/>
                <w:lang w:val="sr-Cyrl-BA"/>
              </w:rPr>
              <w:t>математика</w:t>
            </w:r>
          </w:p>
        </w:tc>
      </w:tr>
      <w:tr w:rsidR="000B5216" w:rsidRPr="004D235E" w:rsidTr="0005156D">
        <w:tc>
          <w:tcPr>
            <w:tcW w:w="9576" w:type="dxa"/>
            <w:gridSpan w:val="11"/>
          </w:tcPr>
          <w:p w:rsidR="000B5216" w:rsidRPr="004D235E" w:rsidRDefault="004D235E" w:rsidP="0005156D">
            <w:pPr>
              <w:rPr>
                <w:sz w:val="20"/>
                <w:szCs w:val="20"/>
              </w:rPr>
            </w:pPr>
            <w:r w:rsidRPr="004D235E">
              <w:rPr>
                <w:b/>
                <w:sz w:val="20"/>
                <w:szCs w:val="20"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D235E" w:rsidRPr="004D235E" w:rsidTr="004D235E">
        <w:trPr>
          <w:gridAfter w:val="1"/>
          <w:wAfter w:w="18" w:type="dxa"/>
          <w:trHeight w:val="265"/>
        </w:trPr>
        <w:tc>
          <w:tcPr>
            <w:tcW w:w="895" w:type="dxa"/>
            <w:gridSpan w:val="2"/>
            <w:vAlign w:val="center"/>
          </w:tcPr>
          <w:p w:rsidR="004D235E" w:rsidRPr="004D235E" w:rsidRDefault="004D235E" w:rsidP="00EA72B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3623" w:type="dxa"/>
            <w:gridSpan w:val="3"/>
            <w:vAlign w:val="center"/>
          </w:tcPr>
          <w:p w:rsidR="004D235E" w:rsidRPr="004D235E" w:rsidRDefault="004D235E" w:rsidP="00EA72B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4D235E">
              <w:rPr>
                <w:iCs/>
                <w:sz w:val="20"/>
                <w:szCs w:val="20"/>
                <w:lang w:val="sr-Cyrl-CS"/>
              </w:rPr>
              <w:t>Назив предмета</w:t>
            </w:r>
          </w:p>
        </w:tc>
        <w:tc>
          <w:tcPr>
            <w:tcW w:w="5040" w:type="dxa"/>
            <w:gridSpan w:val="5"/>
            <w:shd w:val="clear" w:color="auto" w:fill="auto"/>
            <w:vAlign w:val="center"/>
          </w:tcPr>
          <w:p w:rsidR="004D235E" w:rsidRPr="004D235E" w:rsidRDefault="004D235E" w:rsidP="00EA72B7">
            <w:pPr>
              <w:tabs>
                <w:tab w:val="left" w:pos="567"/>
              </w:tabs>
              <w:spacing w:after="60"/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Врста студија</w:t>
            </w:r>
          </w:p>
        </w:tc>
      </w:tr>
      <w:tr w:rsidR="004D235E" w:rsidRPr="004D235E" w:rsidTr="004D235E">
        <w:trPr>
          <w:gridAfter w:val="1"/>
          <w:wAfter w:w="18" w:type="dxa"/>
          <w:trHeight w:val="265"/>
        </w:trPr>
        <w:tc>
          <w:tcPr>
            <w:tcW w:w="895" w:type="dxa"/>
            <w:gridSpan w:val="2"/>
            <w:vAlign w:val="center"/>
          </w:tcPr>
          <w:p w:rsidR="004D235E" w:rsidRPr="004D235E" w:rsidRDefault="004D235E">
            <w:pPr>
              <w:widowControl w:val="0"/>
              <w:tabs>
                <w:tab w:val="left" w:pos="567"/>
              </w:tabs>
              <w:suppressAutoHyphens/>
              <w:spacing w:after="6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>1.</w:t>
            </w:r>
          </w:p>
        </w:tc>
        <w:tc>
          <w:tcPr>
            <w:tcW w:w="3623" w:type="dxa"/>
            <w:gridSpan w:val="3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4D235E">
              <w:rPr>
                <w:sz w:val="20"/>
                <w:szCs w:val="20"/>
              </w:rPr>
              <w:t>Анализа</w:t>
            </w:r>
            <w:proofErr w:type="spellEnd"/>
            <w:r w:rsidRPr="004D235E">
              <w:rPr>
                <w:sz w:val="20"/>
                <w:szCs w:val="20"/>
              </w:rPr>
              <w:t xml:space="preserve"> 2</w:t>
            </w:r>
          </w:p>
        </w:tc>
        <w:tc>
          <w:tcPr>
            <w:tcW w:w="5040" w:type="dxa"/>
            <w:gridSpan w:val="5"/>
            <w:shd w:val="clear" w:color="auto" w:fill="auto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 xml:space="preserve">ОАС </w:t>
            </w:r>
            <w:proofErr w:type="spellStart"/>
            <w:r w:rsidRPr="004D235E">
              <w:rPr>
                <w:sz w:val="20"/>
                <w:szCs w:val="20"/>
              </w:rPr>
              <w:t>Рачунарске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науке</w:t>
            </w:r>
            <w:proofErr w:type="spellEnd"/>
          </w:p>
        </w:tc>
      </w:tr>
      <w:tr w:rsidR="004D235E" w:rsidRPr="004D235E" w:rsidTr="004D235E">
        <w:trPr>
          <w:gridAfter w:val="1"/>
          <w:wAfter w:w="18" w:type="dxa"/>
          <w:trHeight w:val="265"/>
        </w:trPr>
        <w:tc>
          <w:tcPr>
            <w:tcW w:w="895" w:type="dxa"/>
            <w:gridSpan w:val="2"/>
            <w:vAlign w:val="center"/>
          </w:tcPr>
          <w:p w:rsidR="004D235E" w:rsidRPr="004D235E" w:rsidRDefault="004D235E">
            <w:pPr>
              <w:widowControl w:val="0"/>
              <w:tabs>
                <w:tab w:val="left" w:pos="567"/>
              </w:tabs>
              <w:suppressAutoHyphens/>
              <w:spacing w:after="6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>2.</w:t>
            </w:r>
          </w:p>
        </w:tc>
        <w:tc>
          <w:tcPr>
            <w:tcW w:w="3623" w:type="dxa"/>
            <w:gridSpan w:val="3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4D235E">
              <w:rPr>
                <w:sz w:val="20"/>
                <w:szCs w:val="20"/>
              </w:rPr>
              <w:t>Пословна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статистика</w:t>
            </w:r>
            <w:proofErr w:type="spellEnd"/>
          </w:p>
        </w:tc>
        <w:tc>
          <w:tcPr>
            <w:tcW w:w="5040" w:type="dxa"/>
            <w:gridSpan w:val="5"/>
            <w:shd w:val="clear" w:color="auto" w:fill="auto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 xml:space="preserve">ОАС </w:t>
            </w:r>
            <w:proofErr w:type="spellStart"/>
            <w:r w:rsidRPr="004D235E">
              <w:rPr>
                <w:sz w:val="20"/>
                <w:szCs w:val="20"/>
              </w:rPr>
              <w:t>Туризмологија</w:t>
            </w:r>
            <w:proofErr w:type="spellEnd"/>
          </w:p>
        </w:tc>
      </w:tr>
      <w:tr w:rsidR="004D235E" w:rsidRPr="004D235E" w:rsidTr="004D235E">
        <w:trPr>
          <w:gridAfter w:val="1"/>
          <w:wAfter w:w="18" w:type="dxa"/>
          <w:trHeight w:val="265"/>
        </w:trPr>
        <w:tc>
          <w:tcPr>
            <w:tcW w:w="895" w:type="dxa"/>
            <w:gridSpan w:val="2"/>
            <w:vAlign w:val="center"/>
          </w:tcPr>
          <w:p w:rsidR="004D235E" w:rsidRPr="004D235E" w:rsidRDefault="004D235E">
            <w:pPr>
              <w:widowControl w:val="0"/>
              <w:tabs>
                <w:tab w:val="left" w:pos="567"/>
              </w:tabs>
              <w:suppressAutoHyphens/>
              <w:spacing w:after="6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>3.</w:t>
            </w:r>
          </w:p>
        </w:tc>
        <w:tc>
          <w:tcPr>
            <w:tcW w:w="3623" w:type="dxa"/>
            <w:gridSpan w:val="3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4D235E">
              <w:rPr>
                <w:sz w:val="20"/>
                <w:szCs w:val="20"/>
              </w:rPr>
              <w:t>Примењена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статистика</w:t>
            </w:r>
            <w:proofErr w:type="spellEnd"/>
          </w:p>
        </w:tc>
        <w:tc>
          <w:tcPr>
            <w:tcW w:w="5040" w:type="dxa"/>
            <w:gridSpan w:val="5"/>
            <w:shd w:val="clear" w:color="auto" w:fill="auto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 xml:space="preserve">МАС </w:t>
            </w:r>
            <w:proofErr w:type="spellStart"/>
            <w:r w:rsidRPr="004D235E">
              <w:rPr>
                <w:sz w:val="20"/>
                <w:szCs w:val="20"/>
              </w:rPr>
              <w:t>Рачунарске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науке</w:t>
            </w:r>
            <w:proofErr w:type="spellEnd"/>
          </w:p>
        </w:tc>
      </w:tr>
      <w:tr w:rsidR="004D235E" w:rsidRPr="004D235E" w:rsidTr="004D235E">
        <w:trPr>
          <w:gridAfter w:val="1"/>
          <w:wAfter w:w="18" w:type="dxa"/>
          <w:trHeight w:val="265"/>
        </w:trPr>
        <w:tc>
          <w:tcPr>
            <w:tcW w:w="895" w:type="dxa"/>
            <w:gridSpan w:val="2"/>
            <w:vAlign w:val="center"/>
          </w:tcPr>
          <w:p w:rsidR="004D235E" w:rsidRPr="004D235E" w:rsidRDefault="004D235E">
            <w:pPr>
              <w:widowControl w:val="0"/>
              <w:tabs>
                <w:tab w:val="left" w:pos="567"/>
              </w:tabs>
              <w:suppressAutoHyphens/>
              <w:spacing w:after="6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>4.</w:t>
            </w:r>
          </w:p>
        </w:tc>
        <w:tc>
          <w:tcPr>
            <w:tcW w:w="3623" w:type="dxa"/>
            <w:gridSpan w:val="3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proofErr w:type="spellStart"/>
            <w:r w:rsidRPr="004D235E">
              <w:rPr>
                <w:sz w:val="20"/>
                <w:szCs w:val="20"/>
              </w:rPr>
              <w:t>Теорија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одлучивања</w:t>
            </w:r>
            <w:proofErr w:type="spellEnd"/>
          </w:p>
        </w:tc>
        <w:tc>
          <w:tcPr>
            <w:tcW w:w="5040" w:type="dxa"/>
            <w:gridSpan w:val="5"/>
            <w:shd w:val="clear" w:color="auto" w:fill="auto"/>
          </w:tcPr>
          <w:p w:rsidR="004D235E" w:rsidRPr="004D235E" w:rsidRDefault="004D235E">
            <w:pPr>
              <w:widowControl w:val="0"/>
              <w:suppressAutoHyphens/>
              <w:snapToGrid w:val="0"/>
              <w:rPr>
                <w:color w:val="000000"/>
                <w:kern w:val="2"/>
                <w:sz w:val="20"/>
                <w:szCs w:val="20"/>
                <w:lang w:eastAsia="zh-CN" w:bidi="hi-IN"/>
              </w:rPr>
            </w:pPr>
            <w:r w:rsidRPr="004D235E">
              <w:rPr>
                <w:sz w:val="20"/>
                <w:szCs w:val="20"/>
              </w:rPr>
              <w:t xml:space="preserve">МАС </w:t>
            </w:r>
            <w:proofErr w:type="spellStart"/>
            <w:r w:rsidRPr="004D235E">
              <w:rPr>
                <w:sz w:val="20"/>
                <w:szCs w:val="20"/>
              </w:rPr>
              <w:t>Математика</w:t>
            </w:r>
            <w:proofErr w:type="spellEnd"/>
            <w:r w:rsidRPr="004D235E">
              <w:rPr>
                <w:sz w:val="20"/>
                <w:szCs w:val="20"/>
              </w:rPr>
              <w:t xml:space="preserve"> и </w:t>
            </w:r>
            <w:proofErr w:type="spellStart"/>
            <w:r w:rsidRPr="004D235E">
              <w:rPr>
                <w:sz w:val="20"/>
                <w:szCs w:val="20"/>
              </w:rPr>
              <w:t>Примењена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математика</w:t>
            </w:r>
            <w:proofErr w:type="spellEnd"/>
          </w:p>
        </w:tc>
      </w:tr>
      <w:tr w:rsidR="000B5216" w:rsidRPr="004D235E" w:rsidTr="0005156D">
        <w:tc>
          <w:tcPr>
            <w:tcW w:w="9576" w:type="dxa"/>
            <w:gridSpan w:val="11"/>
          </w:tcPr>
          <w:p w:rsidR="000B5216" w:rsidRPr="004D235E" w:rsidRDefault="000B5216" w:rsidP="0005156D">
            <w:pPr>
              <w:rPr>
                <w:b/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На</w:t>
            </w:r>
            <w:r w:rsidRPr="004D235E">
              <w:rPr>
                <w:sz w:val="20"/>
                <w:szCs w:val="20"/>
                <w:lang w:val="ru-RU"/>
              </w:rPr>
              <w:t>јзначајнији радов</w:t>
            </w:r>
            <w:r w:rsidRPr="004D235E">
              <w:rPr>
                <w:sz w:val="20"/>
                <w:szCs w:val="20"/>
                <w:lang w:val="sr-Cyrl-CS"/>
              </w:rPr>
              <w:t xml:space="preserve">и </w:t>
            </w:r>
            <w:r w:rsidRPr="004D235E">
              <w:rPr>
                <w:b/>
                <w:sz w:val="20"/>
                <w:szCs w:val="20"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1.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jc w:val="both"/>
              <w:rPr>
                <w:sz w:val="20"/>
                <w:szCs w:val="20"/>
              </w:rPr>
            </w:pPr>
            <w:proofErr w:type="spellStart"/>
            <w:r w:rsidRPr="004D235E">
              <w:rPr>
                <w:sz w:val="20"/>
                <w:szCs w:val="20"/>
              </w:rPr>
              <w:t>Aleksandar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Takači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proofErr w:type="spellStart"/>
            <w:r w:rsidRPr="004D235E">
              <w:rPr>
                <w:b/>
                <w:sz w:val="20"/>
                <w:szCs w:val="20"/>
              </w:rPr>
              <w:t>Ivana</w:t>
            </w:r>
            <w:proofErr w:type="spellEnd"/>
            <w:r w:rsidRPr="004D23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b/>
                <w:sz w:val="20"/>
                <w:szCs w:val="20"/>
              </w:rPr>
              <w:t>Štajner-Papuga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proofErr w:type="spellStart"/>
            <w:r w:rsidRPr="004D235E">
              <w:rPr>
                <w:sz w:val="20"/>
                <w:szCs w:val="20"/>
              </w:rPr>
              <w:t>Darko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Drakulić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proofErr w:type="spellStart"/>
            <w:r w:rsidRPr="004D235E">
              <w:rPr>
                <w:sz w:val="20"/>
                <w:szCs w:val="20"/>
              </w:rPr>
              <w:t>Miroslav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Marić</w:t>
            </w:r>
            <w:proofErr w:type="spellEnd"/>
            <w:r w:rsidRPr="004D235E">
              <w:rPr>
                <w:sz w:val="20"/>
                <w:szCs w:val="20"/>
              </w:rPr>
              <w:t xml:space="preserve">, An Extension of Maximal Covering Location Problem based on the </w:t>
            </w:r>
            <w:proofErr w:type="spellStart"/>
            <w:r w:rsidRPr="004D235E">
              <w:rPr>
                <w:sz w:val="20"/>
                <w:szCs w:val="20"/>
              </w:rPr>
              <w:t>Choquet</w:t>
            </w:r>
            <w:proofErr w:type="spellEnd"/>
            <w:r w:rsidRPr="004D235E">
              <w:rPr>
                <w:sz w:val="20"/>
                <w:szCs w:val="20"/>
              </w:rPr>
              <w:t xml:space="preserve"> Integral, ACTA POLYTECHNICA HUNGARICA 13, No.4 (2016) 205-220.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M23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2.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jc w:val="both"/>
              <w:rPr>
                <w:sz w:val="20"/>
                <w:szCs w:val="20"/>
              </w:rPr>
            </w:pPr>
            <w:proofErr w:type="spellStart"/>
            <w:r w:rsidRPr="004D235E">
              <w:rPr>
                <w:sz w:val="20"/>
                <w:szCs w:val="20"/>
              </w:rPr>
              <w:t>Dragan</w:t>
            </w:r>
            <w:proofErr w:type="spellEnd"/>
            <w:r w:rsidRPr="004D235E">
              <w:rPr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sz w:val="20"/>
                <w:szCs w:val="20"/>
              </w:rPr>
              <w:t>Jočić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proofErr w:type="spellStart"/>
            <w:r w:rsidRPr="004D235E">
              <w:rPr>
                <w:b/>
                <w:sz w:val="20"/>
                <w:szCs w:val="20"/>
              </w:rPr>
              <w:t>Ivana</w:t>
            </w:r>
            <w:proofErr w:type="spellEnd"/>
            <w:r w:rsidRPr="004D235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4D235E">
              <w:rPr>
                <w:b/>
                <w:sz w:val="20"/>
                <w:szCs w:val="20"/>
              </w:rPr>
              <w:t>Štajner-Papuga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r w:rsidRPr="00C53695">
              <w:rPr>
                <w:sz w:val="20"/>
                <w:szCs w:val="20"/>
              </w:rPr>
              <w:t xml:space="preserve">Some implications of the restricted </w:t>
            </w:r>
            <w:proofErr w:type="spellStart"/>
            <w:r w:rsidRPr="00C53695">
              <w:rPr>
                <w:sz w:val="20"/>
                <w:szCs w:val="20"/>
              </w:rPr>
              <w:t>distributivity</w:t>
            </w:r>
            <w:proofErr w:type="spellEnd"/>
            <w:r w:rsidRPr="00C53695">
              <w:rPr>
                <w:sz w:val="20"/>
                <w:szCs w:val="20"/>
              </w:rPr>
              <w:t xml:space="preserve"> of aggregation operators with absorbing elements for utility theory</w:t>
            </w:r>
            <w:r w:rsidRPr="004D235E">
              <w:rPr>
                <w:sz w:val="20"/>
                <w:szCs w:val="20"/>
              </w:rPr>
              <w:t xml:space="preserve">, Fuzzy Sets and </w:t>
            </w:r>
            <w:proofErr w:type="gramStart"/>
            <w:r w:rsidRPr="004D235E">
              <w:rPr>
                <w:sz w:val="20"/>
                <w:szCs w:val="20"/>
              </w:rPr>
              <w:t>Systems  291</w:t>
            </w:r>
            <w:proofErr w:type="gramEnd"/>
            <w:r w:rsidRPr="004D235E">
              <w:rPr>
                <w:sz w:val="20"/>
                <w:szCs w:val="20"/>
              </w:rPr>
              <w:t xml:space="preserve"> (2016) 54-65.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3.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snapToGrid w:val="0"/>
              <w:jc w:val="both"/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 xml:space="preserve">T. </w:t>
            </w:r>
            <w:proofErr w:type="spellStart"/>
            <w:r w:rsidRPr="004D235E">
              <w:rPr>
                <w:sz w:val="20"/>
                <w:szCs w:val="20"/>
              </w:rPr>
              <w:t>Došenović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r w:rsidRPr="004D235E">
              <w:rPr>
                <w:b/>
                <w:sz w:val="20"/>
                <w:szCs w:val="20"/>
              </w:rPr>
              <w:t xml:space="preserve">I. </w:t>
            </w:r>
            <w:proofErr w:type="spellStart"/>
            <w:r w:rsidRPr="004D235E">
              <w:rPr>
                <w:b/>
                <w:sz w:val="20"/>
                <w:szCs w:val="20"/>
              </w:rPr>
              <w:t>Štajner-Papuga</w:t>
            </w:r>
            <w:proofErr w:type="spellEnd"/>
            <w:r w:rsidRPr="004D235E">
              <w:rPr>
                <w:sz w:val="20"/>
                <w:szCs w:val="20"/>
              </w:rPr>
              <w:t>, Coincidence point theorems for multi-valued mappings in fuzzy metric</w:t>
            </w:r>
            <w:r w:rsidRPr="004D235E">
              <w:rPr>
                <w:sz w:val="20"/>
                <w:szCs w:val="20"/>
                <w:lang w:val="sr-Cyrl-CS"/>
              </w:rPr>
              <w:t xml:space="preserve"> </w:t>
            </w:r>
            <w:r w:rsidRPr="004D235E">
              <w:rPr>
                <w:sz w:val="20"/>
                <w:szCs w:val="20"/>
              </w:rPr>
              <w:t>spaces, Fixed Point Theory 15, No.1 (2014) 67-78.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4.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 xml:space="preserve">D. </w:t>
            </w:r>
            <w:proofErr w:type="spellStart"/>
            <w:r w:rsidRPr="004D235E">
              <w:rPr>
                <w:sz w:val="20"/>
                <w:szCs w:val="20"/>
              </w:rPr>
              <w:t>Jočić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r w:rsidRPr="004D235E">
              <w:rPr>
                <w:b/>
                <w:sz w:val="20"/>
                <w:szCs w:val="20"/>
              </w:rPr>
              <w:t xml:space="preserve">I. </w:t>
            </w:r>
            <w:proofErr w:type="spellStart"/>
            <w:r w:rsidRPr="004D235E">
              <w:rPr>
                <w:b/>
                <w:sz w:val="20"/>
                <w:szCs w:val="20"/>
              </w:rPr>
              <w:t>Štajner-Papuga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proofErr w:type="spellStart"/>
            <w:r w:rsidRPr="00C53695">
              <w:rPr>
                <w:sz w:val="20"/>
                <w:szCs w:val="20"/>
              </w:rPr>
              <w:t>Distributivity</w:t>
            </w:r>
            <w:proofErr w:type="spellEnd"/>
            <w:r w:rsidRPr="00C53695">
              <w:rPr>
                <w:sz w:val="20"/>
                <w:szCs w:val="20"/>
              </w:rPr>
              <w:t xml:space="preserve"> equations and Mayor’s aggregation operators</w:t>
            </w:r>
            <w:r w:rsidRPr="004D235E">
              <w:rPr>
                <w:sz w:val="20"/>
                <w:szCs w:val="20"/>
              </w:rPr>
              <w:t>, Knowledge-Based Systems 52 (2013) 194-200.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5.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snapToGrid w:val="0"/>
              <w:jc w:val="both"/>
              <w:rPr>
                <w:sz w:val="20"/>
                <w:szCs w:val="20"/>
                <w:lang w:val="sr-Cyrl-CS"/>
              </w:rPr>
            </w:pPr>
            <w:r w:rsidRPr="004D235E">
              <w:rPr>
                <w:bCs/>
                <w:sz w:val="20"/>
                <w:szCs w:val="20"/>
              </w:rPr>
              <w:t xml:space="preserve">D. </w:t>
            </w:r>
            <w:proofErr w:type="spellStart"/>
            <w:r w:rsidRPr="004D235E">
              <w:rPr>
                <w:bCs/>
                <w:sz w:val="20"/>
                <w:szCs w:val="20"/>
              </w:rPr>
              <w:t>Jočić</w:t>
            </w:r>
            <w:proofErr w:type="spellEnd"/>
            <w:r w:rsidRPr="004D235E">
              <w:rPr>
                <w:bCs/>
                <w:sz w:val="20"/>
                <w:szCs w:val="20"/>
              </w:rPr>
              <w:t xml:space="preserve">, </w:t>
            </w:r>
            <w:r w:rsidRPr="004D235E">
              <w:rPr>
                <w:rFonts w:eastAsia="Calibri"/>
                <w:b/>
                <w:sz w:val="20"/>
                <w:szCs w:val="20"/>
              </w:rPr>
              <w:t xml:space="preserve">I. </w:t>
            </w:r>
            <w:proofErr w:type="spellStart"/>
            <w:r w:rsidRPr="004D235E">
              <w:rPr>
                <w:rStyle w:val="hit"/>
                <w:rFonts w:eastAsia="Calibri"/>
                <w:b/>
                <w:sz w:val="20"/>
                <w:szCs w:val="20"/>
              </w:rPr>
              <w:t>Štajner</w:t>
            </w:r>
            <w:r w:rsidRPr="004D235E">
              <w:rPr>
                <w:rFonts w:eastAsia="Calibri"/>
                <w:b/>
                <w:sz w:val="20"/>
                <w:szCs w:val="20"/>
              </w:rPr>
              <w:t>-Papuga</w:t>
            </w:r>
            <w:proofErr w:type="spellEnd"/>
            <w:r w:rsidRPr="004D235E">
              <w:rPr>
                <w:sz w:val="20"/>
                <w:szCs w:val="20"/>
              </w:rPr>
              <w:t xml:space="preserve">, Restricted </w:t>
            </w:r>
            <w:proofErr w:type="spellStart"/>
            <w:r w:rsidRPr="004D235E">
              <w:rPr>
                <w:sz w:val="20"/>
                <w:szCs w:val="20"/>
              </w:rPr>
              <w:t>distributivity</w:t>
            </w:r>
            <w:proofErr w:type="spellEnd"/>
            <w:r w:rsidRPr="004D235E">
              <w:rPr>
                <w:sz w:val="20"/>
                <w:szCs w:val="20"/>
              </w:rPr>
              <w:t xml:space="preserve"> for aggregation operators with absorbing element,</w:t>
            </w:r>
            <w:r w:rsidRPr="004D235E">
              <w:rPr>
                <w:bCs/>
                <w:i/>
                <w:sz w:val="20"/>
                <w:szCs w:val="20"/>
              </w:rPr>
              <w:t xml:space="preserve"> Fuzzy Sets and Systems, </w:t>
            </w:r>
            <w:r w:rsidRPr="004D235E">
              <w:rPr>
                <w:sz w:val="20"/>
                <w:szCs w:val="20"/>
              </w:rPr>
              <w:t>FSS 224 (2013) 23-35.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6.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snapToGrid w:val="0"/>
              <w:jc w:val="both"/>
              <w:rPr>
                <w:sz w:val="20"/>
                <w:szCs w:val="20"/>
                <w:lang w:val="sr-Cyrl-CS"/>
              </w:rPr>
            </w:pPr>
            <w:r w:rsidRPr="004D235E">
              <w:rPr>
                <w:rFonts w:eastAsia="Calibri"/>
                <w:sz w:val="20"/>
                <w:szCs w:val="20"/>
              </w:rPr>
              <w:t xml:space="preserve">M. </w:t>
            </w:r>
            <w:proofErr w:type="spellStart"/>
            <w:r w:rsidRPr="004D235E">
              <w:rPr>
                <w:rFonts w:eastAsia="Calibri"/>
                <w:sz w:val="20"/>
                <w:szCs w:val="20"/>
              </w:rPr>
              <w:t>Štrboja</w:t>
            </w:r>
            <w:proofErr w:type="spellEnd"/>
            <w:r w:rsidRPr="004D235E">
              <w:rPr>
                <w:rFonts w:eastAsia="Calibri"/>
                <w:sz w:val="20"/>
                <w:szCs w:val="20"/>
              </w:rPr>
              <w:t xml:space="preserve">, T. </w:t>
            </w:r>
            <w:proofErr w:type="spellStart"/>
            <w:r w:rsidRPr="004D235E">
              <w:rPr>
                <w:rFonts w:eastAsia="Calibri"/>
                <w:sz w:val="20"/>
                <w:szCs w:val="20"/>
              </w:rPr>
              <w:t>Grbić</w:t>
            </w:r>
            <w:proofErr w:type="spellEnd"/>
            <w:r w:rsidRPr="004D235E">
              <w:rPr>
                <w:sz w:val="20"/>
                <w:szCs w:val="20"/>
              </w:rPr>
              <w:t>,</w:t>
            </w:r>
            <w:r w:rsidRPr="004D235E">
              <w:rPr>
                <w:rFonts w:eastAsia="Calibri"/>
                <w:sz w:val="20"/>
                <w:szCs w:val="20"/>
              </w:rPr>
              <w:t xml:space="preserve"> </w:t>
            </w:r>
            <w:r w:rsidRPr="004D235E">
              <w:rPr>
                <w:rFonts w:eastAsia="Calibri"/>
                <w:b/>
                <w:sz w:val="20"/>
                <w:szCs w:val="20"/>
              </w:rPr>
              <w:t xml:space="preserve">I. </w:t>
            </w:r>
            <w:proofErr w:type="spellStart"/>
            <w:r w:rsidRPr="004D235E">
              <w:rPr>
                <w:rStyle w:val="hit"/>
                <w:rFonts w:eastAsia="Calibri"/>
                <w:b/>
                <w:sz w:val="20"/>
                <w:szCs w:val="20"/>
              </w:rPr>
              <w:t>Štajner</w:t>
            </w:r>
            <w:r w:rsidRPr="004D235E">
              <w:rPr>
                <w:rFonts w:eastAsia="Calibri"/>
                <w:b/>
                <w:sz w:val="20"/>
                <w:szCs w:val="20"/>
              </w:rPr>
              <w:t>-Papuga</w:t>
            </w:r>
            <w:proofErr w:type="spellEnd"/>
            <w:r w:rsidRPr="004D235E">
              <w:rPr>
                <w:rFonts w:eastAsia="Calibri"/>
                <w:sz w:val="20"/>
                <w:szCs w:val="20"/>
              </w:rPr>
              <w:t xml:space="preserve">, G. </w:t>
            </w:r>
            <w:proofErr w:type="spellStart"/>
            <w:r w:rsidRPr="004D235E">
              <w:rPr>
                <w:rFonts w:eastAsia="Calibri"/>
                <w:sz w:val="20"/>
                <w:szCs w:val="20"/>
              </w:rPr>
              <w:t>Grujić</w:t>
            </w:r>
            <w:proofErr w:type="spellEnd"/>
            <w:r w:rsidRPr="004D235E">
              <w:rPr>
                <w:rFonts w:eastAsia="Calibri"/>
                <w:sz w:val="20"/>
                <w:szCs w:val="20"/>
              </w:rPr>
              <w:t xml:space="preserve">, S. </w:t>
            </w:r>
            <w:proofErr w:type="spellStart"/>
            <w:r w:rsidRPr="004D235E">
              <w:rPr>
                <w:rFonts w:eastAsia="Calibri"/>
                <w:sz w:val="20"/>
                <w:szCs w:val="20"/>
              </w:rPr>
              <w:t>Medić</w:t>
            </w:r>
            <w:proofErr w:type="spellEnd"/>
            <w:r w:rsidRPr="004D235E">
              <w:rPr>
                <w:rFonts w:eastAsia="Calibri"/>
                <w:sz w:val="20"/>
                <w:szCs w:val="20"/>
              </w:rPr>
              <w:t xml:space="preserve">, </w:t>
            </w:r>
            <w:r w:rsidRPr="004D235E">
              <w:rPr>
                <w:rFonts w:eastAsia="Calibri"/>
                <w:bCs/>
                <w:sz w:val="20"/>
                <w:szCs w:val="20"/>
              </w:rPr>
              <w:t xml:space="preserve">Jensen and </w:t>
            </w:r>
            <w:proofErr w:type="spellStart"/>
            <w:r w:rsidRPr="004D235E">
              <w:rPr>
                <w:rFonts w:eastAsia="Calibri"/>
                <w:bCs/>
                <w:sz w:val="20"/>
                <w:szCs w:val="20"/>
              </w:rPr>
              <w:t>Chebyshev</w:t>
            </w:r>
            <w:proofErr w:type="spellEnd"/>
            <w:r w:rsidRPr="004D235E">
              <w:rPr>
                <w:rFonts w:eastAsia="Calibri"/>
                <w:bCs/>
                <w:sz w:val="20"/>
                <w:szCs w:val="20"/>
              </w:rPr>
              <w:t xml:space="preserve"> inequalities for pseudo-integrals of set-valued functions, </w:t>
            </w:r>
            <w:r w:rsidRPr="004D235E">
              <w:rPr>
                <w:bCs/>
                <w:i/>
                <w:sz w:val="20"/>
                <w:szCs w:val="20"/>
              </w:rPr>
              <w:t>Fuzzy Sets and Systems</w:t>
            </w:r>
            <w:r w:rsidRPr="004D235E">
              <w:rPr>
                <w:rFonts w:eastAsia="Calibri"/>
                <w:bCs/>
                <w:sz w:val="20"/>
                <w:szCs w:val="20"/>
              </w:rPr>
              <w:t xml:space="preserve">, </w:t>
            </w:r>
            <w:r w:rsidRPr="004D235E">
              <w:rPr>
                <w:bCs/>
                <w:sz w:val="20"/>
                <w:szCs w:val="20"/>
              </w:rPr>
              <w:t>FSS</w:t>
            </w:r>
            <w:r w:rsidRPr="004D235E">
              <w:rPr>
                <w:bCs/>
                <w:sz w:val="20"/>
                <w:szCs w:val="20"/>
                <w:lang w:val="sr-Cyrl-CS"/>
              </w:rPr>
              <w:t xml:space="preserve"> 222 (2013) 18-32.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7.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 xml:space="preserve">D. </w:t>
            </w:r>
            <w:proofErr w:type="spellStart"/>
            <w:r w:rsidRPr="004D235E">
              <w:rPr>
                <w:sz w:val="20"/>
                <w:szCs w:val="20"/>
              </w:rPr>
              <w:t>Vivona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r w:rsidRPr="004D235E">
              <w:rPr>
                <w:sz w:val="20"/>
                <w:szCs w:val="20"/>
                <w:lang w:val="sr-Cyrl-CS"/>
              </w:rPr>
              <w:t xml:space="preserve">I. </w:t>
            </w:r>
            <w:r w:rsidRPr="004D235E">
              <w:rPr>
                <w:sz w:val="20"/>
                <w:szCs w:val="20"/>
              </w:rPr>
              <w:t>Š</w:t>
            </w:r>
            <w:r w:rsidRPr="004D235E">
              <w:rPr>
                <w:sz w:val="20"/>
                <w:szCs w:val="20"/>
                <w:lang w:val="sr-Cyrl-CS"/>
              </w:rPr>
              <w:t>tajner-Papuga</w:t>
            </w:r>
            <w:r w:rsidRPr="004D235E">
              <w:rPr>
                <w:sz w:val="20"/>
                <w:szCs w:val="20"/>
              </w:rPr>
              <w:t xml:space="preserve">, Pseudo-linear superposition principle for the </w:t>
            </w:r>
            <w:proofErr w:type="spellStart"/>
            <w:r w:rsidRPr="004D235E">
              <w:rPr>
                <w:sz w:val="20"/>
                <w:szCs w:val="20"/>
              </w:rPr>
              <w:t>Monge</w:t>
            </w:r>
            <w:proofErr w:type="spellEnd"/>
            <w:r w:rsidRPr="004D235E">
              <w:rPr>
                <w:sz w:val="20"/>
                <w:szCs w:val="20"/>
              </w:rPr>
              <w:t>-Ampere equation based on generated pseudo-operations, JMAA 341 (2008) 1427-1437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392031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8.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snapToGrid w:val="0"/>
              <w:jc w:val="both"/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 xml:space="preserve">D. </w:t>
            </w:r>
            <w:proofErr w:type="spellStart"/>
            <w:r w:rsidRPr="004D235E">
              <w:rPr>
                <w:sz w:val="20"/>
                <w:szCs w:val="20"/>
              </w:rPr>
              <w:t>Vivona</w:t>
            </w:r>
            <w:proofErr w:type="spellEnd"/>
            <w:r w:rsidRPr="004D235E">
              <w:rPr>
                <w:sz w:val="20"/>
                <w:szCs w:val="20"/>
              </w:rPr>
              <w:t xml:space="preserve">, M. </w:t>
            </w:r>
            <w:proofErr w:type="spellStart"/>
            <w:r w:rsidRPr="004D235E">
              <w:rPr>
                <w:sz w:val="20"/>
                <w:szCs w:val="20"/>
              </w:rPr>
              <w:t>Divari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r w:rsidRPr="004D235E">
              <w:rPr>
                <w:b/>
                <w:sz w:val="20"/>
                <w:szCs w:val="20"/>
                <w:lang w:val="sr-Cyrl-CS"/>
              </w:rPr>
              <w:t xml:space="preserve">I. </w:t>
            </w:r>
            <w:r w:rsidRPr="004D235E">
              <w:rPr>
                <w:b/>
                <w:sz w:val="20"/>
                <w:szCs w:val="20"/>
              </w:rPr>
              <w:t>Š</w:t>
            </w:r>
            <w:r w:rsidRPr="004D235E">
              <w:rPr>
                <w:b/>
                <w:sz w:val="20"/>
                <w:szCs w:val="20"/>
                <w:lang w:val="sr-Cyrl-CS"/>
              </w:rPr>
              <w:t>tajner-Papuga</w:t>
            </w:r>
            <w:r w:rsidRPr="004D235E">
              <w:rPr>
                <w:sz w:val="20"/>
                <w:szCs w:val="20"/>
              </w:rPr>
              <w:t xml:space="preserve">, On the generated </w:t>
            </w:r>
            <w:proofErr w:type="spellStart"/>
            <w:r w:rsidRPr="004D235E">
              <w:rPr>
                <w:sz w:val="20"/>
                <w:szCs w:val="20"/>
              </w:rPr>
              <w:t>hsB</w:t>
            </w:r>
            <w:proofErr w:type="spellEnd"/>
            <w:r w:rsidRPr="004D235E">
              <w:rPr>
                <w:sz w:val="20"/>
                <w:szCs w:val="20"/>
              </w:rPr>
              <w:t>-type equation and PLSP, JMAA 386 (2012) 948-955.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9.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snapToGrid w:val="0"/>
              <w:jc w:val="both"/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 xml:space="preserve">T. </w:t>
            </w:r>
            <w:proofErr w:type="spellStart"/>
            <w:r w:rsidRPr="004D235E">
              <w:rPr>
                <w:sz w:val="20"/>
                <w:szCs w:val="20"/>
              </w:rPr>
              <w:t>Grbić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r w:rsidRPr="004D235E">
              <w:rPr>
                <w:b/>
                <w:sz w:val="20"/>
                <w:szCs w:val="20"/>
                <w:lang w:val="sr-Cyrl-CS"/>
              </w:rPr>
              <w:t xml:space="preserve">I. </w:t>
            </w:r>
            <w:r w:rsidRPr="004D235E">
              <w:rPr>
                <w:b/>
                <w:sz w:val="20"/>
                <w:szCs w:val="20"/>
              </w:rPr>
              <w:t>Š</w:t>
            </w:r>
            <w:r w:rsidRPr="004D235E">
              <w:rPr>
                <w:b/>
                <w:sz w:val="20"/>
                <w:szCs w:val="20"/>
                <w:lang w:val="sr-Cyrl-CS"/>
              </w:rPr>
              <w:t>tajner-Papuga</w:t>
            </w:r>
            <w:r w:rsidRPr="004D235E">
              <w:rPr>
                <w:sz w:val="20"/>
                <w:szCs w:val="20"/>
                <w:lang w:val="en-GB"/>
              </w:rPr>
              <w:t xml:space="preserve">, M. </w:t>
            </w:r>
            <w:proofErr w:type="spellStart"/>
            <w:r w:rsidRPr="004D235E">
              <w:rPr>
                <w:sz w:val="20"/>
                <w:szCs w:val="20"/>
              </w:rPr>
              <w:t>Štrboja</w:t>
            </w:r>
            <w:proofErr w:type="spellEnd"/>
            <w:r w:rsidRPr="004D235E">
              <w:rPr>
                <w:sz w:val="20"/>
                <w:szCs w:val="20"/>
              </w:rPr>
              <w:t>, an approach to pseudo-integration of set-valued functions, Information Sciences 181 (2011), 2278-2292.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561EBD" w:rsidRPr="004D235E" w:rsidTr="004D235E">
        <w:tc>
          <w:tcPr>
            <w:tcW w:w="506" w:type="dxa"/>
          </w:tcPr>
          <w:p w:rsidR="00561EBD" w:rsidRPr="004D235E" w:rsidRDefault="00561EBD" w:rsidP="00C4787B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10.</w:t>
            </w:r>
          </w:p>
        </w:tc>
        <w:tc>
          <w:tcPr>
            <w:tcW w:w="8332" w:type="dxa"/>
            <w:gridSpan w:val="8"/>
            <w:shd w:val="clear" w:color="auto" w:fill="auto"/>
          </w:tcPr>
          <w:p w:rsidR="00561EBD" w:rsidRPr="004D235E" w:rsidRDefault="00561EBD" w:rsidP="00392031">
            <w:pPr>
              <w:snapToGrid w:val="0"/>
              <w:jc w:val="both"/>
              <w:rPr>
                <w:sz w:val="20"/>
                <w:szCs w:val="20"/>
                <w:lang w:val="sr-Cyrl-CS"/>
              </w:rPr>
            </w:pPr>
            <w:r w:rsidRPr="004D235E">
              <w:rPr>
                <w:b/>
                <w:sz w:val="20"/>
                <w:szCs w:val="20"/>
                <w:lang w:val="sr-Cyrl-CS"/>
              </w:rPr>
              <w:t xml:space="preserve">I. </w:t>
            </w:r>
            <w:r w:rsidRPr="004D235E">
              <w:rPr>
                <w:b/>
                <w:sz w:val="20"/>
                <w:szCs w:val="20"/>
              </w:rPr>
              <w:t>Š</w:t>
            </w:r>
            <w:r w:rsidRPr="004D235E">
              <w:rPr>
                <w:b/>
                <w:sz w:val="20"/>
                <w:szCs w:val="20"/>
                <w:lang w:val="sr-Cyrl-CS"/>
              </w:rPr>
              <w:t>tajner-Papuga</w:t>
            </w:r>
            <w:r w:rsidRPr="004D235E">
              <w:rPr>
                <w:sz w:val="20"/>
                <w:szCs w:val="20"/>
              </w:rPr>
              <w:t xml:space="preserve">, T. </w:t>
            </w:r>
            <w:proofErr w:type="spellStart"/>
            <w:r w:rsidRPr="004D235E">
              <w:rPr>
                <w:sz w:val="20"/>
                <w:szCs w:val="20"/>
              </w:rPr>
              <w:t>Grbić</w:t>
            </w:r>
            <w:proofErr w:type="spellEnd"/>
            <w:r w:rsidRPr="004D235E">
              <w:rPr>
                <w:sz w:val="20"/>
                <w:szCs w:val="20"/>
              </w:rPr>
              <w:t xml:space="preserve">, </w:t>
            </w:r>
            <w:r w:rsidRPr="004D235E">
              <w:rPr>
                <w:sz w:val="20"/>
                <w:szCs w:val="20"/>
                <w:lang w:val="en-GB"/>
              </w:rPr>
              <w:t xml:space="preserve">M. </w:t>
            </w:r>
            <w:proofErr w:type="spellStart"/>
            <w:r w:rsidRPr="004D235E">
              <w:rPr>
                <w:sz w:val="20"/>
                <w:szCs w:val="20"/>
                <w:lang w:val="en-GB"/>
              </w:rPr>
              <w:t>Dankova</w:t>
            </w:r>
            <w:proofErr w:type="spellEnd"/>
            <w:r w:rsidRPr="004D235E">
              <w:rPr>
                <w:sz w:val="20"/>
                <w:szCs w:val="20"/>
                <w:lang w:val="en-GB"/>
              </w:rPr>
              <w:t>, Pseudo-Riemann-</w:t>
            </w:r>
            <w:proofErr w:type="spellStart"/>
            <w:r w:rsidRPr="004D235E">
              <w:rPr>
                <w:sz w:val="20"/>
                <w:szCs w:val="20"/>
                <w:lang w:val="en-GB"/>
              </w:rPr>
              <w:t>Stieltjes</w:t>
            </w:r>
            <w:proofErr w:type="spellEnd"/>
            <w:r w:rsidRPr="004D235E">
              <w:rPr>
                <w:sz w:val="20"/>
                <w:szCs w:val="20"/>
                <w:lang w:val="en-GB"/>
              </w:rPr>
              <w:t xml:space="preserve"> integral, Information Sciences 179 (2009) 2923-2933.</w:t>
            </w:r>
          </w:p>
        </w:tc>
        <w:tc>
          <w:tcPr>
            <w:tcW w:w="738" w:type="dxa"/>
            <w:gridSpan w:val="2"/>
          </w:tcPr>
          <w:p w:rsidR="00561EBD" w:rsidRPr="004D235E" w:rsidRDefault="00561EBD" w:rsidP="00C4787B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M21</w:t>
            </w:r>
          </w:p>
        </w:tc>
      </w:tr>
      <w:tr w:rsidR="000B5216" w:rsidRPr="004D235E" w:rsidTr="0005156D">
        <w:tc>
          <w:tcPr>
            <w:tcW w:w="9576" w:type="dxa"/>
            <w:gridSpan w:val="11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b/>
                <w:sz w:val="20"/>
                <w:szCs w:val="20"/>
                <w:lang w:val="sr-Cyrl-CS"/>
              </w:rPr>
              <w:t>Збирни подаци научне активност наставника</w:t>
            </w:r>
          </w:p>
        </w:tc>
      </w:tr>
      <w:tr w:rsidR="00561EBD" w:rsidRPr="004D235E" w:rsidTr="0005156D">
        <w:tc>
          <w:tcPr>
            <w:tcW w:w="4788" w:type="dxa"/>
            <w:gridSpan w:val="6"/>
          </w:tcPr>
          <w:p w:rsidR="00561EBD" w:rsidRPr="004D235E" w:rsidRDefault="00561EBD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Укупан број цитата, без аутоцитата</w:t>
            </w:r>
          </w:p>
        </w:tc>
        <w:tc>
          <w:tcPr>
            <w:tcW w:w="4788" w:type="dxa"/>
            <w:gridSpan w:val="5"/>
          </w:tcPr>
          <w:p w:rsidR="00561EBD" w:rsidRPr="004D235E" w:rsidRDefault="00561EBD" w:rsidP="00392031">
            <w:pPr>
              <w:snapToGrid w:val="0"/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47</w:t>
            </w:r>
          </w:p>
        </w:tc>
      </w:tr>
      <w:tr w:rsidR="00561EBD" w:rsidRPr="004D235E" w:rsidTr="0005156D">
        <w:tc>
          <w:tcPr>
            <w:tcW w:w="4788" w:type="dxa"/>
            <w:gridSpan w:val="6"/>
          </w:tcPr>
          <w:p w:rsidR="00561EBD" w:rsidRPr="004D235E" w:rsidRDefault="00561EBD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 xml:space="preserve">Укупан број радова са </w:t>
            </w:r>
            <w:r w:rsidRPr="004D235E">
              <w:rPr>
                <w:sz w:val="20"/>
                <w:szCs w:val="20"/>
              </w:rPr>
              <w:t>SCI</w:t>
            </w:r>
            <w:r w:rsidRPr="004D235E">
              <w:rPr>
                <w:sz w:val="20"/>
                <w:szCs w:val="20"/>
                <w:lang w:val="sr-Cyrl-CS"/>
              </w:rPr>
              <w:t xml:space="preserve"> (или </w:t>
            </w:r>
            <w:r w:rsidRPr="004D235E">
              <w:rPr>
                <w:sz w:val="20"/>
                <w:szCs w:val="20"/>
              </w:rPr>
              <w:t>SSCI</w:t>
            </w:r>
            <w:r w:rsidRPr="004D235E">
              <w:rPr>
                <w:sz w:val="20"/>
                <w:szCs w:val="20"/>
                <w:lang w:val="sr-Cyrl-CS"/>
              </w:rPr>
              <w:t>) листе</w:t>
            </w:r>
          </w:p>
        </w:tc>
        <w:tc>
          <w:tcPr>
            <w:tcW w:w="4788" w:type="dxa"/>
            <w:gridSpan w:val="5"/>
          </w:tcPr>
          <w:p w:rsidR="00561EBD" w:rsidRPr="004D235E" w:rsidRDefault="00561EBD" w:rsidP="00392031">
            <w:pPr>
              <w:snapToGrid w:val="0"/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</w:rPr>
              <w:t>16</w:t>
            </w:r>
          </w:p>
        </w:tc>
      </w:tr>
      <w:tr w:rsidR="000B5216" w:rsidRPr="004D235E" w:rsidTr="0005156D">
        <w:tc>
          <w:tcPr>
            <w:tcW w:w="4788" w:type="dxa"/>
            <w:gridSpan w:val="6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4D235E">
              <w:rPr>
                <w:sz w:val="20"/>
                <w:szCs w:val="20"/>
              </w:rPr>
              <w:t>Тренутно</w:t>
            </w:r>
            <w:proofErr w:type="spellEnd"/>
            <w:r w:rsidRPr="004D235E">
              <w:rPr>
                <w:sz w:val="20"/>
                <w:szCs w:val="20"/>
              </w:rPr>
              <w:t xml:space="preserve"> у</w:t>
            </w:r>
            <w:r w:rsidRPr="004D235E">
              <w:rPr>
                <w:sz w:val="20"/>
                <w:szCs w:val="20"/>
                <w:lang w:val="sr-Cyrl-CS"/>
              </w:rPr>
              <w:t>чешће на пројектима</w:t>
            </w:r>
          </w:p>
        </w:tc>
        <w:tc>
          <w:tcPr>
            <w:tcW w:w="2336" w:type="dxa"/>
          </w:tcPr>
          <w:p w:rsidR="000B5216" w:rsidRPr="004D235E" w:rsidRDefault="000B5216" w:rsidP="0005156D">
            <w:pPr>
              <w:rPr>
                <w:sz w:val="20"/>
                <w:szCs w:val="20"/>
              </w:rPr>
            </w:pPr>
            <w:r w:rsidRPr="004D235E">
              <w:rPr>
                <w:sz w:val="20"/>
                <w:szCs w:val="20"/>
                <w:lang w:val="sr-Cyrl-CS"/>
              </w:rPr>
              <w:t>Домаћи</w:t>
            </w:r>
            <w:r w:rsidRPr="004D235E">
              <w:rPr>
                <w:sz w:val="20"/>
                <w:szCs w:val="20"/>
              </w:rPr>
              <w:t xml:space="preserve"> </w:t>
            </w:r>
            <w:r w:rsidR="00561EBD" w:rsidRPr="004D235E">
              <w:rPr>
                <w:sz w:val="20"/>
                <w:szCs w:val="20"/>
              </w:rPr>
              <w:t>1</w:t>
            </w:r>
          </w:p>
        </w:tc>
        <w:tc>
          <w:tcPr>
            <w:tcW w:w="2452" w:type="dxa"/>
            <w:gridSpan w:val="4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>Међународни</w:t>
            </w:r>
          </w:p>
        </w:tc>
      </w:tr>
      <w:tr w:rsidR="000B5216" w:rsidRPr="004D235E" w:rsidTr="0005156D">
        <w:tc>
          <w:tcPr>
            <w:tcW w:w="4788" w:type="dxa"/>
            <w:gridSpan w:val="6"/>
          </w:tcPr>
          <w:p w:rsidR="000B5216" w:rsidRPr="004D235E" w:rsidRDefault="000B5216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4788" w:type="dxa"/>
            <w:gridSpan w:val="5"/>
          </w:tcPr>
          <w:p w:rsidR="000B5216" w:rsidRPr="004D235E" w:rsidRDefault="0036226B" w:rsidP="0005156D">
            <w:pPr>
              <w:rPr>
                <w:sz w:val="20"/>
                <w:szCs w:val="20"/>
                <w:lang w:val="sr-Cyrl-CS"/>
              </w:rPr>
            </w:pPr>
            <w:r w:rsidRPr="004D235E">
              <w:rPr>
                <w:sz w:val="20"/>
                <w:szCs w:val="20"/>
              </w:rPr>
              <w:t>J</w:t>
            </w:r>
            <w:r w:rsidR="000B5216" w:rsidRPr="004D235E">
              <w:rPr>
                <w:sz w:val="20"/>
                <w:szCs w:val="20"/>
              </w:rPr>
              <w:t>ohannes</w:t>
            </w:r>
            <w:r w:rsidR="000B5216" w:rsidRPr="004D235E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0B5216" w:rsidRPr="004D235E">
              <w:rPr>
                <w:sz w:val="20"/>
                <w:szCs w:val="20"/>
              </w:rPr>
              <w:t>Kepler</w:t>
            </w:r>
            <w:proofErr w:type="spellEnd"/>
            <w:r w:rsidR="000B5216" w:rsidRPr="004D235E">
              <w:rPr>
                <w:sz w:val="20"/>
                <w:szCs w:val="20"/>
                <w:lang w:val="sr-Cyrl-BA"/>
              </w:rPr>
              <w:t xml:space="preserve"> </w:t>
            </w:r>
            <w:proofErr w:type="spellStart"/>
            <w:r w:rsidR="000B5216" w:rsidRPr="004D235E">
              <w:rPr>
                <w:sz w:val="20"/>
                <w:szCs w:val="20"/>
              </w:rPr>
              <w:t>Universit</w:t>
            </w:r>
            <w:proofErr w:type="spellEnd"/>
            <w:r w:rsidR="000B5216" w:rsidRPr="004D235E">
              <w:rPr>
                <w:sz w:val="20"/>
                <w:szCs w:val="20"/>
                <w:lang w:val="sr-Cyrl-BA"/>
              </w:rPr>
              <w:t>ä</w:t>
            </w:r>
            <w:r w:rsidR="000B5216" w:rsidRPr="004D235E">
              <w:rPr>
                <w:sz w:val="20"/>
                <w:szCs w:val="20"/>
              </w:rPr>
              <w:t>t</w:t>
            </w:r>
            <w:r w:rsidR="000B5216" w:rsidRPr="004D235E">
              <w:rPr>
                <w:sz w:val="20"/>
                <w:szCs w:val="20"/>
                <w:lang w:val="sr-Cyrl-BA"/>
              </w:rPr>
              <w:t xml:space="preserve"> у Линцу, Аустрија, четири пута по месец дана у периоду од 2001. до 2004. године; </w:t>
            </w:r>
            <w:proofErr w:type="spellStart"/>
            <w:r w:rsidR="000B5216" w:rsidRPr="004D235E">
              <w:rPr>
                <w:i/>
                <w:sz w:val="20"/>
                <w:szCs w:val="20"/>
              </w:rPr>
              <w:t>Sapienza</w:t>
            </w:r>
            <w:proofErr w:type="spellEnd"/>
            <w:r w:rsidR="000B5216" w:rsidRPr="004D235E">
              <w:rPr>
                <w:i/>
                <w:sz w:val="20"/>
                <w:szCs w:val="20"/>
              </w:rPr>
              <w:t>-</w:t>
            </w:r>
            <w:r w:rsidR="000B5216" w:rsidRPr="004D235E">
              <w:rPr>
                <w:i/>
                <w:sz w:val="20"/>
                <w:szCs w:val="20"/>
                <w:lang w:val="sr-Cyrl-BA"/>
              </w:rPr>
              <w:t>Universita di Roma</w:t>
            </w:r>
            <w:r w:rsidR="000B5216" w:rsidRPr="004D235E">
              <w:rPr>
                <w:sz w:val="20"/>
                <w:szCs w:val="20"/>
              </w:rPr>
              <w:t xml:space="preserve"> у </w:t>
            </w:r>
            <w:proofErr w:type="spellStart"/>
            <w:r w:rsidR="000B5216" w:rsidRPr="004D235E">
              <w:rPr>
                <w:sz w:val="20"/>
                <w:szCs w:val="20"/>
              </w:rPr>
              <w:t>Риму</w:t>
            </w:r>
            <w:proofErr w:type="spellEnd"/>
            <w:r w:rsidR="000B5216" w:rsidRPr="004D235E">
              <w:rPr>
                <w:sz w:val="20"/>
                <w:szCs w:val="20"/>
              </w:rPr>
              <w:t xml:space="preserve"> </w:t>
            </w:r>
            <w:proofErr w:type="spellStart"/>
            <w:r w:rsidR="000B5216" w:rsidRPr="004D235E">
              <w:rPr>
                <w:sz w:val="20"/>
                <w:szCs w:val="20"/>
              </w:rPr>
              <w:t>маја</w:t>
            </w:r>
            <w:proofErr w:type="spellEnd"/>
            <w:r w:rsidR="000B5216" w:rsidRPr="004D235E">
              <w:rPr>
                <w:sz w:val="20"/>
                <w:szCs w:val="20"/>
              </w:rPr>
              <w:t xml:space="preserve"> 2007 у </w:t>
            </w:r>
            <w:proofErr w:type="spellStart"/>
            <w:r w:rsidR="000B5216" w:rsidRPr="004D235E">
              <w:rPr>
                <w:sz w:val="20"/>
                <w:szCs w:val="20"/>
              </w:rPr>
              <w:t>трајању</w:t>
            </w:r>
            <w:proofErr w:type="spellEnd"/>
            <w:r w:rsidR="000B5216" w:rsidRPr="004D235E">
              <w:rPr>
                <w:sz w:val="20"/>
                <w:szCs w:val="20"/>
              </w:rPr>
              <w:t xml:space="preserve"> </w:t>
            </w:r>
            <w:proofErr w:type="spellStart"/>
            <w:r w:rsidR="000B5216" w:rsidRPr="004D235E">
              <w:rPr>
                <w:sz w:val="20"/>
                <w:szCs w:val="20"/>
              </w:rPr>
              <w:t>од</w:t>
            </w:r>
            <w:proofErr w:type="spellEnd"/>
            <w:r w:rsidR="000B5216" w:rsidRPr="004D235E">
              <w:rPr>
                <w:sz w:val="20"/>
                <w:szCs w:val="20"/>
              </w:rPr>
              <w:t xml:space="preserve"> </w:t>
            </w:r>
            <w:proofErr w:type="spellStart"/>
            <w:r w:rsidR="000B5216" w:rsidRPr="004D235E">
              <w:rPr>
                <w:sz w:val="20"/>
                <w:szCs w:val="20"/>
              </w:rPr>
              <w:t>месец</w:t>
            </w:r>
            <w:proofErr w:type="spellEnd"/>
            <w:r w:rsidR="000B5216" w:rsidRPr="004D235E">
              <w:rPr>
                <w:sz w:val="20"/>
                <w:szCs w:val="20"/>
              </w:rPr>
              <w:t xml:space="preserve"> </w:t>
            </w:r>
            <w:proofErr w:type="spellStart"/>
            <w:r w:rsidR="000B5216" w:rsidRPr="004D235E">
              <w:rPr>
                <w:sz w:val="20"/>
                <w:szCs w:val="20"/>
              </w:rPr>
              <w:t>дана</w:t>
            </w:r>
            <w:proofErr w:type="spellEnd"/>
            <w:r w:rsidR="000B5216" w:rsidRPr="004D235E">
              <w:rPr>
                <w:sz w:val="20"/>
                <w:szCs w:val="20"/>
              </w:rPr>
              <w:t>.</w:t>
            </w:r>
          </w:p>
        </w:tc>
      </w:tr>
    </w:tbl>
    <w:p w:rsidR="009705DC" w:rsidRPr="004D235E" w:rsidRDefault="009705DC">
      <w:pPr>
        <w:rPr>
          <w:sz w:val="20"/>
          <w:szCs w:val="20"/>
        </w:rPr>
      </w:pPr>
    </w:p>
    <w:sectPr w:rsidR="009705DC" w:rsidRPr="004D235E" w:rsidSect="00970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5156D"/>
    <w:rsid w:val="0005156D"/>
    <w:rsid w:val="000B5216"/>
    <w:rsid w:val="001655A1"/>
    <w:rsid w:val="0036226B"/>
    <w:rsid w:val="004D235E"/>
    <w:rsid w:val="00561EBD"/>
    <w:rsid w:val="00622923"/>
    <w:rsid w:val="009705DC"/>
    <w:rsid w:val="009B3E99"/>
    <w:rsid w:val="009D765A"/>
    <w:rsid w:val="00A348D0"/>
    <w:rsid w:val="00B6309B"/>
    <w:rsid w:val="00C346D7"/>
    <w:rsid w:val="00C4787B"/>
    <w:rsid w:val="00C53695"/>
    <w:rsid w:val="00D84AC1"/>
    <w:rsid w:val="00F7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56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1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t">
    <w:name w:val="hit"/>
    <w:basedOn w:val="DefaultParagraphFont"/>
    <w:rsid w:val="000B5216"/>
  </w:style>
  <w:style w:type="character" w:styleId="Hyperlink">
    <w:name w:val="Hyperlink"/>
    <w:basedOn w:val="DefaultParagraphFont"/>
    <w:uiPriority w:val="99"/>
    <w:unhideWhenUsed/>
    <w:rsid w:val="00561EBD"/>
    <w:rPr>
      <w:color w:val="0000FF"/>
      <w:u w:val="single"/>
    </w:rPr>
  </w:style>
  <w:style w:type="paragraph" w:styleId="BodyText">
    <w:name w:val="Body Text"/>
    <w:basedOn w:val="Normal"/>
    <w:link w:val="BodyTextChar"/>
    <w:rsid w:val="00561EBD"/>
    <w:pPr>
      <w:widowControl w:val="0"/>
      <w:suppressAutoHyphens/>
      <w:spacing w:after="140" w:line="288" w:lineRule="auto"/>
    </w:pPr>
    <w:rPr>
      <w:color w:val="000000"/>
      <w:kern w:val="1"/>
      <w:sz w:val="20"/>
      <w:szCs w:val="20"/>
      <w:lang w:eastAsia="zh-CN" w:bidi="hi-IN"/>
    </w:rPr>
  </w:style>
  <w:style w:type="character" w:customStyle="1" w:styleId="BodyTextChar">
    <w:name w:val="Body Text Char"/>
    <w:basedOn w:val="DefaultParagraphFont"/>
    <w:link w:val="BodyText"/>
    <w:rsid w:val="00561EBD"/>
    <w:rPr>
      <w:rFonts w:ascii="Times New Roman" w:eastAsia="Times New Roman" w:hAnsi="Times New Roman"/>
      <w:color w:val="000000"/>
      <w:kern w:val="1"/>
      <w:lang w:eastAsia="zh-CN" w:bidi="hi-IN"/>
    </w:rPr>
  </w:style>
  <w:style w:type="paragraph" w:customStyle="1" w:styleId="Heading">
    <w:name w:val="Heading"/>
    <w:basedOn w:val="Normal"/>
    <w:next w:val="BodyText"/>
    <w:rsid w:val="00561EBD"/>
    <w:pPr>
      <w:keepNext/>
      <w:widowControl w:val="0"/>
      <w:suppressAutoHyphens/>
      <w:spacing w:before="240" w:after="120"/>
    </w:pPr>
    <w:rPr>
      <w:rFonts w:ascii="Liberation Sans" w:eastAsia="Arial Unicode MS" w:hAnsi="Liberation Sans" w:cs="Arial Unicode MS"/>
      <w:color w:val="000000"/>
      <w:kern w:val="1"/>
      <w:sz w:val="28"/>
      <w:szCs w:val="28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PMF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suzana</cp:lastModifiedBy>
  <cp:revision>2</cp:revision>
  <dcterms:created xsi:type="dcterms:W3CDTF">2017-06-15T10:37:00Z</dcterms:created>
  <dcterms:modified xsi:type="dcterms:W3CDTF">2017-06-15T10:37:00Z</dcterms:modified>
</cp:coreProperties>
</file>