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DD" w:rsidRPr="00EF2C9A" w:rsidRDefault="000727DD" w:rsidP="000727DD">
      <w:pPr>
        <w:tabs>
          <w:tab w:val="left" w:pos="567"/>
        </w:tabs>
        <w:spacing w:after="60"/>
        <w:jc w:val="both"/>
        <w:rPr>
          <w:iCs/>
          <w:sz w:val="22"/>
          <w:szCs w:val="22"/>
          <w:lang w:val="sr-Cyrl-CS"/>
        </w:rPr>
      </w:pPr>
      <w:r w:rsidRPr="00EF2C9A">
        <w:rPr>
          <w:b/>
          <w:iCs/>
          <w:sz w:val="22"/>
          <w:szCs w:val="22"/>
          <w:lang w:val="sr-Cyrl-CS"/>
        </w:rPr>
        <w:t>Табела. 9.3</w:t>
      </w:r>
      <w:r>
        <w:rPr>
          <w:b/>
          <w:iCs/>
          <w:sz w:val="22"/>
          <w:szCs w:val="22"/>
          <w:lang w:val="sr-Cyrl-CS"/>
        </w:rPr>
        <w:t>.</w:t>
      </w:r>
      <w:r w:rsidRPr="00EF2C9A">
        <w:rPr>
          <w:sz w:val="22"/>
          <w:szCs w:val="22"/>
          <w:lang w:val="sr-Cyrl-CS"/>
        </w:rPr>
        <w:t xml:space="preserve"> Компетентност наставника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
        <w:gridCol w:w="401"/>
        <w:gridCol w:w="1543"/>
        <w:gridCol w:w="955"/>
        <w:gridCol w:w="990"/>
        <w:gridCol w:w="540"/>
        <w:gridCol w:w="2383"/>
        <w:gridCol w:w="587"/>
        <w:gridCol w:w="900"/>
        <w:gridCol w:w="678"/>
      </w:tblGrid>
      <w:tr w:rsidR="000727DD" w:rsidRPr="00A22864" w:rsidTr="00C02819">
        <w:trPr>
          <w:trHeight w:val="227"/>
        </w:trPr>
        <w:tc>
          <w:tcPr>
            <w:tcW w:w="3420" w:type="dxa"/>
            <w:gridSpan w:val="4"/>
            <w:vAlign w:val="center"/>
          </w:tcPr>
          <w:p w:rsidR="000727DD" w:rsidRPr="00D14824" w:rsidRDefault="000727DD" w:rsidP="00D54AE5">
            <w:pPr>
              <w:tabs>
                <w:tab w:val="left" w:pos="567"/>
              </w:tabs>
              <w:spacing w:after="60"/>
              <w:rPr>
                <w:sz w:val="18"/>
                <w:szCs w:val="18"/>
                <w:lang w:val="sr-Cyrl-CS"/>
              </w:rPr>
            </w:pPr>
            <w:r w:rsidRPr="00D14824">
              <w:rPr>
                <w:b/>
                <w:sz w:val="18"/>
                <w:szCs w:val="18"/>
                <w:lang w:val="sr-Cyrl-CS"/>
              </w:rPr>
              <w:t>Име и презиме</w:t>
            </w:r>
          </w:p>
        </w:tc>
        <w:tc>
          <w:tcPr>
            <w:tcW w:w="6078" w:type="dxa"/>
            <w:gridSpan w:val="6"/>
            <w:vAlign w:val="center"/>
          </w:tcPr>
          <w:p w:rsidR="000727DD" w:rsidRPr="00D14824" w:rsidRDefault="00D215FA" w:rsidP="00D54AE5">
            <w:pPr>
              <w:tabs>
                <w:tab w:val="left" w:pos="567"/>
              </w:tabs>
              <w:spacing w:after="60"/>
              <w:rPr>
                <w:sz w:val="18"/>
                <w:szCs w:val="18"/>
                <w:lang w:val="sr-Cyrl-CS"/>
              </w:rPr>
            </w:pPr>
            <w:r w:rsidRPr="00D14824">
              <w:rPr>
                <w:sz w:val="18"/>
                <w:szCs w:val="18"/>
                <w:lang w:val="sr-Cyrl-CS"/>
              </w:rPr>
              <w:t>Ото Барак</w:t>
            </w:r>
          </w:p>
        </w:tc>
      </w:tr>
      <w:tr w:rsidR="000727DD" w:rsidRPr="00A22864" w:rsidTr="00C02819">
        <w:trPr>
          <w:trHeight w:val="227"/>
        </w:trPr>
        <w:tc>
          <w:tcPr>
            <w:tcW w:w="3420" w:type="dxa"/>
            <w:gridSpan w:val="4"/>
            <w:vAlign w:val="center"/>
          </w:tcPr>
          <w:p w:rsidR="000727DD" w:rsidRPr="00D14824" w:rsidRDefault="000727DD" w:rsidP="00D54AE5">
            <w:pPr>
              <w:tabs>
                <w:tab w:val="left" w:pos="567"/>
              </w:tabs>
              <w:spacing w:after="60"/>
              <w:rPr>
                <w:sz w:val="18"/>
                <w:szCs w:val="18"/>
                <w:lang w:val="sr-Cyrl-CS"/>
              </w:rPr>
            </w:pPr>
            <w:r w:rsidRPr="00D14824">
              <w:rPr>
                <w:b/>
                <w:sz w:val="18"/>
                <w:szCs w:val="18"/>
                <w:lang w:val="sr-Cyrl-CS"/>
              </w:rPr>
              <w:t>Звање</w:t>
            </w:r>
          </w:p>
        </w:tc>
        <w:tc>
          <w:tcPr>
            <w:tcW w:w="6078" w:type="dxa"/>
            <w:gridSpan w:val="6"/>
            <w:vAlign w:val="center"/>
          </w:tcPr>
          <w:p w:rsidR="000727DD" w:rsidRPr="00D14824" w:rsidRDefault="00D215FA" w:rsidP="00D54AE5">
            <w:pPr>
              <w:tabs>
                <w:tab w:val="left" w:pos="567"/>
              </w:tabs>
              <w:spacing w:after="60"/>
              <w:rPr>
                <w:sz w:val="18"/>
                <w:szCs w:val="18"/>
                <w:lang w:val="sr-Cyrl-CS"/>
              </w:rPr>
            </w:pPr>
            <w:r w:rsidRPr="00D14824">
              <w:rPr>
                <w:sz w:val="18"/>
                <w:szCs w:val="18"/>
                <w:lang w:val="sr-Cyrl-CS"/>
              </w:rPr>
              <w:t>Ванредни професор</w:t>
            </w:r>
          </w:p>
        </w:tc>
      </w:tr>
      <w:tr w:rsidR="000727DD" w:rsidRPr="00A22864" w:rsidTr="00C02819">
        <w:trPr>
          <w:trHeight w:val="227"/>
        </w:trPr>
        <w:tc>
          <w:tcPr>
            <w:tcW w:w="3420" w:type="dxa"/>
            <w:gridSpan w:val="4"/>
            <w:vAlign w:val="center"/>
          </w:tcPr>
          <w:p w:rsidR="000727DD" w:rsidRPr="00D14824" w:rsidRDefault="000727DD" w:rsidP="00D54AE5">
            <w:pPr>
              <w:tabs>
                <w:tab w:val="left" w:pos="567"/>
              </w:tabs>
              <w:spacing w:after="60"/>
              <w:rPr>
                <w:sz w:val="18"/>
                <w:szCs w:val="18"/>
                <w:lang w:val="sr-Cyrl-CS"/>
              </w:rPr>
            </w:pPr>
            <w:r w:rsidRPr="00D14824">
              <w:rPr>
                <w:b/>
                <w:sz w:val="18"/>
                <w:szCs w:val="18"/>
                <w:lang w:val="sr-Cyrl-CS"/>
              </w:rPr>
              <w:t>Ужа научна област</w:t>
            </w:r>
          </w:p>
        </w:tc>
        <w:tc>
          <w:tcPr>
            <w:tcW w:w="6078" w:type="dxa"/>
            <w:gridSpan w:val="6"/>
            <w:vAlign w:val="center"/>
          </w:tcPr>
          <w:p w:rsidR="000727DD" w:rsidRPr="00D14824" w:rsidRDefault="00233269" w:rsidP="00D54AE5">
            <w:pPr>
              <w:tabs>
                <w:tab w:val="left" w:pos="567"/>
              </w:tabs>
              <w:spacing w:after="60"/>
              <w:rPr>
                <w:sz w:val="18"/>
                <w:szCs w:val="18"/>
                <w:lang w:val="sr-Cyrl-CS"/>
              </w:rPr>
            </w:pPr>
            <w:r>
              <w:rPr>
                <w:sz w:val="18"/>
                <w:szCs w:val="18"/>
                <w:lang w:val="sr-Cyrl-CS"/>
              </w:rPr>
              <w:t>Ф</w:t>
            </w:r>
            <w:r w:rsidR="00D215FA" w:rsidRPr="00D14824">
              <w:rPr>
                <w:sz w:val="18"/>
                <w:szCs w:val="18"/>
                <w:lang w:val="sr-Cyrl-CS"/>
              </w:rPr>
              <w:t>изиологија</w:t>
            </w:r>
          </w:p>
        </w:tc>
      </w:tr>
      <w:tr w:rsidR="000727DD" w:rsidRPr="00A22864" w:rsidTr="00C02819">
        <w:trPr>
          <w:trHeight w:val="227"/>
        </w:trPr>
        <w:tc>
          <w:tcPr>
            <w:tcW w:w="2465" w:type="dxa"/>
            <w:gridSpan w:val="3"/>
            <w:vAlign w:val="center"/>
          </w:tcPr>
          <w:p w:rsidR="000727DD" w:rsidRPr="00D14824" w:rsidRDefault="000727DD" w:rsidP="00D54AE5">
            <w:pPr>
              <w:tabs>
                <w:tab w:val="left" w:pos="567"/>
              </w:tabs>
              <w:spacing w:after="60"/>
              <w:rPr>
                <w:sz w:val="18"/>
                <w:szCs w:val="18"/>
                <w:lang w:val="sr-Cyrl-CS"/>
              </w:rPr>
            </w:pPr>
            <w:r w:rsidRPr="00D14824">
              <w:rPr>
                <w:b/>
                <w:sz w:val="18"/>
                <w:szCs w:val="18"/>
                <w:lang w:val="sr-Cyrl-CS"/>
              </w:rPr>
              <w:t>Академска каријера</w:t>
            </w:r>
          </w:p>
        </w:tc>
        <w:tc>
          <w:tcPr>
            <w:tcW w:w="955" w:type="dxa"/>
            <w:vAlign w:val="center"/>
          </w:tcPr>
          <w:p w:rsidR="000727DD" w:rsidRPr="00D14824" w:rsidRDefault="000727DD" w:rsidP="00D54AE5">
            <w:pPr>
              <w:tabs>
                <w:tab w:val="left" w:pos="567"/>
              </w:tabs>
              <w:spacing w:after="60"/>
              <w:rPr>
                <w:sz w:val="18"/>
                <w:szCs w:val="18"/>
                <w:lang w:val="sr-Cyrl-CS"/>
              </w:rPr>
            </w:pPr>
            <w:r w:rsidRPr="00D14824">
              <w:rPr>
                <w:sz w:val="18"/>
                <w:szCs w:val="18"/>
                <w:lang w:val="sr-Cyrl-CS"/>
              </w:rPr>
              <w:t xml:space="preserve">Година </w:t>
            </w:r>
          </w:p>
        </w:tc>
        <w:tc>
          <w:tcPr>
            <w:tcW w:w="4500" w:type="dxa"/>
            <w:gridSpan w:val="4"/>
            <w:vAlign w:val="center"/>
          </w:tcPr>
          <w:p w:rsidR="000727DD" w:rsidRPr="00D14824" w:rsidRDefault="000727DD" w:rsidP="00D54AE5">
            <w:pPr>
              <w:tabs>
                <w:tab w:val="left" w:pos="567"/>
              </w:tabs>
              <w:spacing w:after="60"/>
              <w:rPr>
                <w:sz w:val="18"/>
                <w:szCs w:val="18"/>
                <w:lang w:val="sr-Cyrl-CS"/>
              </w:rPr>
            </w:pPr>
            <w:r w:rsidRPr="00D14824">
              <w:rPr>
                <w:sz w:val="18"/>
                <w:szCs w:val="18"/>
                <w:lang w:val="sr-Cyrl-CS"/>
              </w:rPr>
              <w:t xml:space="preserve">Институција </w:t>
            </w:r>
          </w:p>
        </w:tc>
        <w:tc>
          <w:tcPr>
            <w:tcW w:w="1578" w:type="dxa"/>
            <w:gridSpan w:val="2"/>
            <w:vAlign w:val="center"/>
          </w:tcPr>
          <w:p w:rsidR="000727DD" w:rsidRPr="00D14824" w:rsidRDefault="000727DD" w:rsidP="00D54AE5">
            <w:pPr>
              <w:tabs>
                <w:tab w:val="left" w:pos="567"/>
              </w:tabs>
              <w:spacing w:after="60"/>
              <w:rPr>
                <w:sz w:val="18"/>
                <w:szCs w:val="18"/>
                <w:lang w:val="sr-Cyrl-CS"/>
              </w:rPr>
            </w:pPr>
            <w:r w:rsidRPr="00D14824">
              <w:rPr>
                <w:sz w:val="18"/>
                <w:szCs w:val="18"/>
                <w:lang w:val="sr-Cyrl-CS"/>
              </w:rPr>
              <w:t xml:space="preserve">Област </w:t>
            </w:r>
          </w:p>
        </w:tc>
      </w:tr>
      <w:tr w:rsidR="00D215FA" w:rsidRPr="00A22864" w:rsidTr="00C02819">
        <w:trPr>
          <w:trHeight w:val="227"/>
        </w:trPr>
        <w:tc>
          <w:tcPr>
            <w:tcW w:w="2465" w:type="dxa"/>
            <w:gridSpan w:val="3"/>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Избор у звање</w:t>
            </w:r>
          </w:p>
        </w:tc>
        <w:tc>
          <w:tcPr>
            <w:tcW w:w="955" w:type="dxa"/>
          </w:tcPr>
          <w:p w:rsidR="00D215FA" w:rsidRPr="00D14824" w:rsidRDefault="00D215FA" w:rsidP="00466775">
            <w:pPr>
              <w:rPr>
                <w:sz w:val="18"/>
                <w:szCs w:val="18"/>
                <w:highlight w:val="yellow"/>
                <w:lang w:val="sr-Cyrl-CS"/>
              </w:rPr>
            </w:pPr>
            <w:r w:rsidRPr="00D14824">
              <w:rPr>
                <w:sz w:val="18"/>
                <w:szCs w:val="18"/>
                <w:lang w:val="sr-Cyrl-CS"/>
              </w:rPr>
              <w:t>2016</w:t>
            </w:r>
          </w:p>
        </w:tc>
        <w:tc>
          <w:tcPr>
            <w:tcW w:w="4500" w:type="dxa"/>
            <w:gridSpan w:val="4"/>
          </w:tcPr>
          <w:p w:rsidR="00D215FA" w:rsidRPr="00D14824" w:rsidRDefault="00D215FA" w:rsidP="00466775">
            <w:pPr>
              <w:rPr>
                <w:sz w:val="18"/>
                <w:szCs w:val="18"/>
                <w:highlight w:val="yellow"/>
                <w:lang w:val="sr-Cyrl-CS"/>
              </w:rPr>
            </w:pPr>
            <w:r w:rsidRPr="00D14824">
              <w:rPr>
                <w:sz w:val="18"/>
                <w:szCs w:val="18"/>
                <w:lang w:val="sr-Cyrl-CS"/>
              </w:rPr>
              <w:t>Завод за физиологију, Медиински факултет</w:t>
            </w:r>
          </w:p>
        </w:tc>
        <w:tc>
          <w:tcPr>
            <w:tcW w:w="1578" w:type="dxa"/>
            <w:gridSpan w:val="2"/>
          </w:tcPr>
          <w:p w:rsidR="00D215FA" w:rsidRPr="00D14824" w:rsidRDefault="00D215FA" w:rsidP="00466775">
            <w:pPr>
              <w:rPr>
                <w:sz w:val="18"/>
                <w:szCs w:val="18"/>
                <w:highlight w:val="yellow"/>
                <w:lang w:val="sr-Cyrl-CS"/>
              </w:rPr>
            </w:pPr>
            <w:r w:rsidRPr="00D14824">
              <w:rPr>
                <w:sz w:val="18"/>
                <w:szCs w:val="18"/>
                <w:lang w:val="sr-Cyrl-CS"/>
              </w:rPr>
              <w:t>физиологија</w:t>
            </w:r>
          </w:p>
        </w:tc>
      </w:tr>
      <w:tr w:rsidR="00D215FA" w:rsidRPr="00A22864" w:rsidTr="00C02819">
        <w:trPr>
          <w:trHeight w:val="227"/>
        </w:trPr>
        <w:tc>
          <w:tcPr>
            <w:tcW w:w="2465" w:type="dxa"/>
            <w:gridSpan w:val="3"/>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Докторат</w:t>
            </w:r>
          </w:p>
        </w:tc>
        <w:tc>
          <w:tcPr>
            <w:tcW w:w="955" w:type="dxa"/>
          </w:tcPr>
          <w:p w:rsidR="00D215FA" w:rsidRPr="00D14824" w:rsidRDefault="00D215FA" w:rsidP="00466775">
            <w:pPr>
              <w:rPr>
                <w:sz w:val="18"/>
                <w:szCs w:val="18"/>
                <w:highlight w:val="yellow"/>
                <w:lang w:val="sr-Cyrl-CS"/>
              </w:rPr>
            </w:pPr>
            <w:r w:rsidRPr="00D14824">
              <w:rPr>
                <w:sz w:val="18"/>
                <w:szCs w:val="18"/>
                <w:lang w:val="sr-Cyrl-CS"/>
              </w:rPr>
              <w:t>2010</w:t>
            </w:r>
          </w:p>
        </w:tc>
        <w:tc>
          <w:tcPr>
            <w:tcW w:w="4500" w:type="dxa"/>
            <w:gridSpan w:val="4"/>
          </w:tcPr>
          <w:p w:rsidR="00D215FA" w:rsidRPr="00D14824" w:rsidRDefault="00D215FA" w:rsidP="00466775">
            <w:pPr>
              <w:rPr>
                <w:sz w:val="18"/>
                <w:szCs w:val="18"/>
                <w:highlight w:val="yellow"/>
                <w:lang w:val="sr-Cyrl-CS"/>
              </w:rPr>
            </w:pPr>
            <w:r w:rsidRPr="00D14824">
              <w:rPr>
                <w:sz w:val="18"/>
                <w:szCs w:val="18"/>
                <w:lang w:val="sr-Cyrl-CS"/>
              </w:rPr>
              <w:t>Завод за физиологију, Медиински факултет</w:t>
            </w:r>
          </w:p>
        </w:tc>
        <w:tc>
          <w:tcPr>
            <w:tcW w:w="1578" w:type="dxa"/>
            <w:gridSpan w:val="2"/>
          </w:tcPr>
          <w:p w:rsidR="00D215FA" w:rsidRPr="00D14824" w:rsidRDefault="00D215FA" w:rsidP="00466775">
            <w:pPr>
              <w:rPr>
                <w:sz w:val="18"/>
                <w:szCs w:val="18"/>
                <w:highlight w:val="yellow"/>
                <w:lang w:val="sr-Cyrl-CS"/>
              </w:rPr>
            </w:pPr>
            <w:r w:rsidRPr="00D14824">
              <w:rPr>
                <w:sz w:val="18"/>
                <w:szCs w:val="18"/>
                <w:lang w:val="sr-Cyrl-CS"/>
              </w:rPr>
              <w:t>физиологија</w:t>
            </w:r>
          </w:p>
        </w:tc>
      </w:tr>
      <w:tr w:rsidR="00D215FA" w:rsidRPr="00A22864" w:rsidTr="00C02819">
        <w:trPr>
          <w:trHeight w:val="227"/>
        </w:trPr>
        <w:tc>
          <w:tcPr>
            <w:tcW w:w="2465" w:type="dxa"/>
            <w:gridSpan w:val="3"/>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Диплома</w:t>
            </w:r>
          </w:p>
        </w:tc>
        <w:tc>
          <w:tcPr>
            <w:tcW w:w="955" w:type="dxa"/>
          </w:tcPr>
          <w:p w:rsidR="00D215FA" w:rsidRPr="00D14824" w:rsidRDefault="00D215FA" w:rsidP="00466775">
            <w:pPr>
              <w:rPr>
                <w:sz w:val="18"/>
                <w:szCs w:val="18"/>
                <w:highlight w:val="yellow"/>
                <w:lang w:val="sr-Cyrl-CS"/>
              </w:rPr>
            </w:pPr>
            <w:r w:rsidRPr="00D14824">
              <w:rPr>
                <w:sz w:val="18"/>
                <w:szCs w:val="18"/>
                <w:lang w:val="sr-Cyrl-CS"/>
              </w:rPr>
              <w:t>1998</w:t>
            </w:r>
          </w:p>
        </w:tc>
        <w:tc>
          <w:tcPr>
            <w:tcW w:w="4500" w:type="dxa"/>
            <w:gridSpan w:val="4"/>
          </w:tcPr>
          <w:p w:rsidR="00D215FA" w:rsidRPr="00D14824" w:rsidRDefault="00D215FA" w:rsidP="00466775">
            <w:pPr>
              <w:rPr>
                <w:sz w:val="18"/>
                <w:szCs w:val="18"/>
                <w:highlight w:val="yellow"/>
                <w:lang w:val="sr-Cyrl-CS"/>
              </w:rPr>
            </w:pPr>
            <w:r w:rsidRPr="00D14824">
              <w:rPr>
                <w:sz w:val="18"/>
                <w:szCs w:val="18"/>
                <w:lang w:val="sr-Cyrl-CS"/>
              </w:rPr>
              <w:t>Медиински факултет, Универзитет у Новом Саду</w:t>
            </w:r>
          </w:p>
        </w:tc>
        <w:tc>
          <w:tcPr>
            <w:tcW w:w="1578" w:type="dxa"/>
            <w:gridSpan w:val="2"/>
          </w:tcPr>
          <w:p w:rsidR="00D215FA" w:rsidRPr="00D14824" w:rsidRDefault="00D215FA" w:rsidP="00466775">
            <w:pPr>
              <w:rPr>
                <w:sz w:val="18"/>
                <w:szCs w:val="18"/>
                <w:highlight w:val="yellow"/>
                <w:lang w:val="sr-Cyrl-CS"/>
              </w:rPr>
            </w:pPr>
            <w:r w:rsidRPr="00D14824">
              <w:rPr>
                <w:sz w:val="18"/>
                <w:szCs w:val="18"/>
                <w:lang w:val="sr-Cyrl-CS"/>
              </w:rPr>
              <w:t>медицина</w:t>
            </w:r>
          </w:p>
        </w:tc>
      </w:tr>
      <w:tr w:rsidR="00D215FA" w:rsidRPr="00A22864" w:rsidTr="00D54AE5">
        <w:trPr>
          <w:trHeight w:val="227"/>
        </w:trPr>
        <w:tc>
          <w:tcPr>
            <w:tcW w:w="9498" w:type="dxa"/>
            <w:gridSpan w:val="10"/>
            <w:vAlign w:val="center"/>
          </w:tcPr>
          <w:p w:rsidR="00D215FA" w:rsidRPr="00D14824" w:rsidRDefault="00D215FA" w:rsidP="00D54AE5">
            <w:pPr>
              <w:tabs>
                <w:tab w:val="left" w:pos="567"/>
              </w:tabs>
              <w:spacing w:after="60"/>
              <w:rPr>
                <w:sz w:val="18"/>
                <w:szCs w:val="18"/>
                <w:lang w:val="sr-Cyrl-CS"/>
              </w:rPr>
            </w:pPr>
            <w:r w:rsidRPr="00D14824">
              <w:rPr>
                <w:b/>
                <w:sz w:val="18"/>
                <w:szCs w:val="18"/>
                <w:lang w:val="sr-Cyrl-CS"/>
              </w:rPr>
              <w:t>Списак предмета које наставник држи у текућој школској години</w:t>
            </w:r>
          </w:p>
        </w:tc>
      </w:tr>
      <w:tr w:rsidR="00D215FA" w:rsidRPr="00A22864" w:rsidTr="00C02819">
        <w:trPr>
          <w:trHeight w:val="227"/>
        </w:trPr>
        <w:tc>
          <w:tcPr>
            <w:tcW w:w="922" w:type="dxa"/>
            <w:gridSpan w:val="2"/>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Р.Б.</w:t>
            </w:r>
          </w:p>
        </w:tc>
        <w:tc>
          <w:tcPr>
            <w:tcW w:w="3488" w:type="dxa"/>
            <w:gridSpan w:val="3"/>
            <w:vAlign w:val="center"/>
          </w:tcPr>
          <w:p w:rsidR="00D215FA" w:rsidRPr="00D14824" w:rsidRDefault="00D215FA" w:rsidP="00D54AE5">
            <w:pPr>
              <w:tabs>
                <w:tab w:val="left" w:pos="567"/>
              </w:tabs>
              <w:spacing w:after="60"/>
              <w:rPr>
                <w:sz w:val="18"/>
                <w:szCs w:val="18"/>
                <w:lang w:val="sr-Cyrl-CS"/>
              </w:rPr>
            </w:pPr>
            <w:r w:rsidRPr="00D14824">
              <w:rPr>
                <w:iCs/>
                <w:sz w:val="18"/>
                <w:szCs w:val="18"/>
                <w:lang w:val="sr-Cyrl-CS"/>
              </w:rPr>
              <w:t>Назив предмета</w:t>
            </w:r>
          </w:p>
        </w:tc>
        <w:tc>
          <w:tcPr>
            <w:tcW w:w="5088" w:type="dxa"/>
            <w:gridSpan w:val="5"/>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Врста студија</w:t>
            </w:r>
          </w:p>
        </w:tc>
      </w:tr>
      <w:tr w:rsidR="00D215FA" w:rsidRPr="00A22864" w:rsidTr="00C02819">
        <w:trPr>
          <w:trHeight w:val="227"/>
        </w:trPr>
        <w:tc>
          <w:tcPr>
            <w:tcW w:w="922" w:type="dxa"/>
            <w:gridSpan w:val="2"/>
          </w:tcPr>
          <w:p w:rsidR="00D215FA" w:rsidRPr="00D14824" w:rsidRDefault="00D215FA" w:rsidP="00466775">
            <w:pPr>
              <w:rPr>
                <w:sz w:val="18"/>
                <w:szCs w:val="18"/>
                <w:lang w:val="sr-Cyrl-CS"/>
              </w:rPr>
            </w:pPr>
            <w:r w:rsidRPr="00D14824">
              <w:rPr>
                <w:sz w:val="18"/>
                <w:szCs w:val="18"/>
                <w:lang w:val="sr-Cyrl-CS"/>
              </w:rPr>
              <w:t>1.</w:t>
            </w:r>
          </w:p>
        </w:tc>
        <w:tc>
          <w:tcPr>
            <w:tcW w:w="3488" w:type="dxa"/>
            <w:gridSpan w:val="3"/>
          </w:tcPr>
          <w:p w:rsidR="00D215FA" w:rsidRPr="00D14824" w:rsidRDefault="00D215FA" w:rsidP="00466775">
            <w:pPr>
              <w:rPr>
                <w:sz w:val="18"/>
                <w:szCs w:val="18"/>
                <w:lang w:val="sr-Cyrl-CS"/>
              </w:rPr>
            </w:pPr>
            <w:r w:rsidRPr="00D14824">
              <w:rPr>
                <w:sz w:val="18"/>
                <w:szCs w:val="18"/>
                <w:lang w:val="sr-Cyrl-CS"/>
              </w:rPr>
              <w:t>Физиологија</w:t>
            </w:r>
          </w:p>
        </w:tc>
        <w:tc>
          <w:tcPr>
            <w:tcW w:w="5088" w:type="dxa"/>
            <w:gridSpan w:val="5"/>
          </w:tcPr>
          <w:p w:rsidR="00D215FA" w:rsidRPr="00D14824" w:rsidRDefault="00D215FA" w:rsidP="00C02819">
            <w:pPr>
              <w:rPr>
                <w:sz w:val="18"/>
                <w:szCs w:val="18"/>
                <w:lang w:val="sr-Cyrl-CS"/>
              </w:rPr>
            </w:pPr>
            <w:r w:rsidRPr="00D14824">
              <w:rPr>
                <w:sz w:val="18"/>
                <w:szCs w:val="18"/>
              </w:rPr>
              <w:t xml:space="preserve">Интегрисане академске студије </w:t>
            </w:r>
            <w:r w:rsidR="00C02819" w:rsidRPr="00D14824">
              <w:rPr>
                <w:sz w:val="18"/>
                <w:szCs w:val="18"/>
                <w:lang w:val="sr-Cyrl-CS"/>
              </w:rPr>
              <w:t>м</w:t>
            </w:r>
            <w:r w:rsidRPr="00D14824">
              <w:rPr>
                <w:sz w:val="18"/>
                <w:szCs w:val="18"/>
                <w:lang w:val="sr-Cyrl-CS"/>
              </w:rPr>
              <w:t>едицин</w:t>
            </w:r>
            <w:r w:rsidR="00C02819" w:rsidRPr="00D14824">
              <w:rPr>
                <w:sz w:val="18"/>
                <w:szCs w:val="18"/>
                <w:lang w:val="sr-Cyrl-CS"/>
              </w:rPr>
              <w:t>e, стоматологије и фармације</w:t>
            </w:r>
          </w:p>
        </w:tc>
      </w:tr>
      <w:tr w:rsidR="00D215FA" w:rsidRPr="00A22864" w:rsidTr="00C02819">
        <w:trPr>
          <w:trHeight w:val="227"/>
        </w:trPr>
        <w:tc>
          <w:tcPr>
            <w:tcW w:w="922" w:type="dxa"/>
            <w:gridSpan w:val="2"/>
          </w:tcPr>
          <w:p w:rsidR="00D215FA" w:rsidRPr="00D14824" w:rsidRDefault="00C02819" w:rsidP="00466775">
            <w:pPr>
              <w:rPr>
                <w:sz w:val="18"/>
                <w:szCs w:val="18"/>
                <w:lang w:val="sr-Cyrl-CS"/>
              </w:rPr>
            </w:pPr>
            <w:r w:rsidRPr="00D14824">
              <w:rPr>
                <w:sz w:val="18"/>
                <w:szCs w:val="18"/>
                <w:lang w:val="sr-Cyrl-CS"/>
              </w:rPr>
              <w:t>2</w:t>
            </w:r>
            <w:r w:rsidR="00D215FA" w:rsidRPr="00D14824">
              <w:rPr>
                <w:sz w:val="18"/>
                <w:szCs w:val="18"/>
                <w:lang w:val="sr-Cyrl-CS"/>
              </w:rPr>
              <w:t>.</w:t>
            </w:r>
          </w:p>
        </w:tc>
        <w:tc>
          <w:tcPr>
            <w:tcW w:w="3488" w:type="dxa"/>
            <w:gridSpan w:val="3"/>
          </w:tcPr>
          <w:p w:rsidR="00D215FA" w:rsidRPr="00D14824" w:rsidRDefault="00D215FA" w:rsidP="00466775">
            <w:pPr>
              <w:rPr>
                <w:sz w:val="18"/>
                <w:szCs w:val="18"/>
                <w:lang w:val="sr-Cyrl-CS"/>
              </w:rPr>
            </w:pPr>
            <w:r w:rsidRPr="00D14824">
              <w:rPr>
                <w:sz w:val="18"/>
                <w:szCs w:val="18"/>
                <w:lang w:val="sr-Cyrl-CS"/>
              </w:rPr>
              <w:t xml:space="preserve">Физиологија </w:t>
            </w:r>
          </w:p>
        </w:tc>
        <w:tc>
          <w:tcPr>
            <w:tcW w:w="5088" w:type="dxa"/>
            <w:gridSpan w:val="5"/>
          </w:tcPr>
          <w:p w:rsidR="00D215FA" w:rsidRPr="00D14824" w:rsidRDefault="00C02819" w:rsidP="00466775">
            <w:pPr>
              <w:rPr>
                <w:sz w:val="18"/>
                <w:szCs w:val="18"/>
                <w:lang w:val="sr-Cyrl-CS"/>
              </w:rPr>
            </w:pPr>
            <w:r w:rsidRPr="00D14824">
              <w:rPr>
                <w:sz w:val="18"/>
                <w:szCs w:val="18"/>
                <w:lang w:val="sr-Cyrl-CS"/>
              </w:rPr>
              <w:t>Основне академске студије З</w:t>
            </w:r>
            <w:r w:rsidR="00D215FA" w:rsidRPr="00D14824">
              <w:rPr>
                <w:sz w:val="18"/>
                <w:szCs w:val="18"/>
                <w:lang w:val="sr-Cyrl-CS"/>
              </w:rPr>
              <w:t>дравствена нега</w:t>
            </w:r>
            <w:r w:rsidRPr="00D14824">
              <w:rPr>
                <w:sz w:val="18"/>
                <w:szCs w:val="18"/>
                <w:lang w:val="sr-Cyrl-CS"/>
              </w:rPr>
              <w:t>, Специјална рехабилитација, Специјална едукација, Медицинска рехабилитација</w:t>
            </w:r>
          </w:p>
        </w:tc>
      </w:tr>
      <w:tr w:rsidR="00D215FA" w:rsidRPr="00A22864" w:rsidTr="00C02819">
        <w:trPr>
          <w:trHeight w:val="227"/>
        </w:trPr>
        <w:tc>
          <w:tcPr>
            <w:tcW w:w="922" w:type="dxa"/>
            <w:gridSpan w:val="2"/>
          </w:tcPr>
          <w:p w:rsidR="00D215FA" w:rsidRPr="00D14824" w:rsidRDefault="00C02819" w:rsidP="00466775">
            <w:pPr>
              <w:rPr>
                <w:sz w:val="18"/>
                <w:szCs w:val="18"/>
              </w:rPr>
            </w:pPr>
            <w:r w:rsidRPr="00D14824">
              <w:rPr>
                <w:sz w:val="18"/>
                <w:szCs w:val="18"/>
              </w:rPr>
              <w:t>3</w:t>
            </w:r>
            <w:r w:rsidR="00D215FA" w:rsidRPr="00D14824">
              <w:rPr>
                <w:sz w:val="18"/>
                <w:szCs w:val="18"/>
              </w:rPr>
              <w:t>.</w:t>
            </w:r>
          </w:p>
        </w:tc>
        <w:tc>
          <w:tcPr>
            <w:tcW w:w="3488" w:type="dxa"/>
            <w:gridSpan w:val="3"/>
          </w:tcPr>
          <w:p w:rsidR="00D215FA" w:rsidRPr="00D14824" w:rsidRDefault="00D215FA" w:rsidP="00466775">
            <w:pPr>
              <w:rPr>
                <w:sz w:val="18"/>
                <w:szCs w:val="18"/>
                <w:lang w:val="sr-Cyrl-CS"/>
              </w:rPr>
            </w:pPr>
            <w:r w:rsidRPr="00D14824">
              <w:rPr>
                <w:sz w:val="18"/>
                <w:szCs w:val="18"/>
                <w:lang w:val="sr-Cyrl-CS"/>
              </w:rPr>
              <w:t>Физиологија спорта</w:t>
            </w:r>
          </w:p>
        </w:tc>
        <w:tc>
          <w:tcPr>
            <w:tcW w:w="5088" w:type="dxa"/>
            <w:gridSpan w:val="5"/>
          </w:tcPr>
          <w:p w:rsidR="00D215FA" w:rsidRPr="00D14824" w:rsidRDefault="00D215FA" w:rsidP="00466775">
            <w:pPr>
              <w:rPr>
                <w:sz w:val="18"/>
                <w:szCs w:val="18"/>
                <w:lang w:val="sr-Cyrl-CS"/>
              </w:rPr>
            </w:pPr>
            <w:r w:rsidRPr="00D14824">
              <w:rPr>
                <w:sz w:val="18"/>
                <w:szCs w:val="18"/>
              </w:rPr>
              <w:t xml:space="preserve">Интегрисане академске студије </w:t>
            </w:r>
            <w:r w:rsidRPr="00D14824">
              <w:rPr>
                <w:sz w:val="18"/>
                <w:szCs w:val="18"/>
                <w:lang w:val="sr-Cyrl-CS"/>
              </w:rPr>
              <w:t>Медицина</w:t>
            </w:r>
          </w:p>
        </w:tc>
      </w:tr>
      <w:tr w:rsidR="00D215FA" w:rsidRPr="00A22864" w:rsidTr="00C02819">
        <w:trPr>
          <w:trHeight w:val="227"/>
        </w:trPr>
        <w:tc>
          <w:tcPr>
            <w:tcW w:w="922" w:type="dxa"/>
            <w:gridSpan w:val="2"/>
          </w:tcPr>
          <w:p w:rsidR="00D215FA" w:rsidRPr="00D14824" w:rsidRDefault="00C02819" w:rsidP="00466775">
            <w:pPr>
              <w:rPr>
                <w:sz w:val="18"/>
                <w:szCs w:val="18"/>
                <w:lang w:val="sr-Cyrl-CS"/>
              </w:rPr>
            </w:pPr>
            <w:r w:rsidRPr="00D14824">
              <w:rPr>
                <w:sz w:val="18"/>
                <w:szCs w:val="18"/>
                <w:lang w:val="sr-Cyrl-CS"/>
              </w:rPr>
              <w:t>4</w:t>
            </w:r>
            <w:r w:rsidR="00D215FA" w:rsidRPr="00D14824">
              <w:rPr>
                <w:sz w:val="18"/>
                <w:szCs w:val="18"/>
                <w:lang w:val="sr-Cyrl-CS"/>
              </w:rPr>
              <w:t>.</w:t>
            </w:r>
          </w:p>
        </w:tc>
        <w:tc>
          <w:tcPr>
            <w:tcW w:w="3488" w:type="dxa"/>
            <w:gridSpan w:val="3"/>
          </w:tcPr>
          <w:p w:rsidR="00D215FA" w:rsidRPr="00D14824" w:rsidRDefault="00D215FA" w:rsidP="00466775">
            <w:pPr>
              <w:rPr>
                <w:sz w:val="18"/>
                <w:szCs w:val="18"/>
                <w:lang w:val="sr-Cyrl-CS"/>
              </w:rPr>
            </w:pPr>
            <w:r w:rsidRPr="00D14824">
              <w:rPr>
                <w:sz w:val="18"/>
                <w:szCs w:val="18"/>
                <w:lang w:val="sr-Cyrl-CS"/>
              </w:rPr>
              <w:t>Неурофизиологија</w:t>
            </w:r>
          </w:p>
        </w:tc>
        <w:tc>
          <w:tcPr>
            <w:tcW w:w="5088" w:type="dxa"/>
            <w:gridSpan w:val="5"/>
          </w:tcPr>
          <w:p w:rsidR="00D215FA" w:rsidRPr="00D14824" w:rsidRDefault="00D215FA" w:rsidP="00466775">
            <w:pPr>
              <w:rPr>
                <w:sz w:val="18"/>
                <w:szCs w:val="18"/>
                <w:lang w:val="sr-Cyrl-CS"/>
              </w:rPr>
            </w:pPr>
            <w:r w:rsidRPr="00D14824">
              <w:rPr>
                <w:sz w:val="18"/>
                <w:szCs w:val="18"/>
                <w:lang w:val="sr-Cyrl-CS"/>
              </w:rPr>
              <w:t>Основне академске студије Медицинска рехабилитација</w:t>
            </w:r>
          </w:p>
        </w:tc>
      </w:tr>
      <w:tr w:rsidR="00D215FA" w:rsidRPr="00A22864" w:rsidTr="00C02819">
        <w:trPr>
          <w:trHeight w:val="227"/>
        </w:trPr>
        <w:tc>
          <w:tcPr>
            <w:tcW w:w="922" w:type="dxa"/>
            <w:gridSpan w:val="2"/>
          </w:tcPr>
          <w:p w:rsidR="00D215FA" w:rsidRPr="00D14824" w:rsidRDefault="00C02819" w:rsidP="00466775">
            <w:pPr>
              <w:rPr>
                <w:sz w:val="18"/>
                <w:szCs w:val="18"/>
                <w:lang w:val="sr-Cyrl-CS"/>
              </w:rPr>
            </w:pPr>
            <w:r w:rsidRPr="00D14824">
              <w:rPr>
                <w:sz w:val="18"/>
                <w:szCs w:val="18"/>
                <w:lang w:val="sr-Cyrl-CS"/>
              </w:rPr>
              <w:t>5</w:t>
            </w:r>
            <w:r w:rsidR="00D215FA" w:rsidRPr="00D14824">
              <w:rPr>
                <w:sz w:val="18"/>
                <w:szCs w:val="18"/>
                <w:lang w:val="sr-Cyrl-CS"/>
              </w:rPr>
              <w:t>.</w:t>
            </w:r>
          </w:p>
        </w:tc>
        <w:tc>
          <w:tcPr>
            <w:tcW w:w="3488" w:type="dxa"/>
            <w:gridSpan w:val="3"/>
          </w:tcPr>
          <w:p w:rsidR="00D215FA" w:rsidRPr="00D14824" w:rsidRDefault="00D215FA" w:rsidP="00466775">
            <w:pPr>
              <w:rPr>
                <w:sz w:val="18"/>
                <w:szCs w:val="18"/>
              </w:rPr>
            </w:pPr>
            <w:r w:rsidRPr="00D14824">
              <w:rPr>
                <w:sz w:val="18"/>
                <w:szCs w:val="18"/>
              </w:rPr>
              <w:t>Оцнови ћелијске физиологије</w:t>
            </w:r>
          </w:p>
        </w:tc>
        <w:tc>
          <w:tcPr>
            <w:tcW w:w="5088" w:type="dxa"/>
            <w:gridSpan w:val="5"/>
          </w:tcPr>
          <w:p w:rsidR="00D215FA" w:rsidRPr="00D14824" w:rsidRDefault="00D215FA" w:rsidP="00466775">
            <w:pPr>
              <w:rPr>
                <w:sz w:val="18"/>
                <w:szCs w:val="18"/>
                <w:lang w:val="sr-Cyrl-CS"/>
              </w:rPr>
            </w:pPr>
            <w:r w:rsidRPr="00D14824">
              <w:rPr>
                <w:sz w:val="18"/>
                <w:szCs w:val="18"/>
                <w:lang w:val="sr-Cyrl-CS"/>
              </w:rPr>
              <w:t>Докторске студије – претклиничка истраживања</w:t>
            </w:r>
          </w:p>
        </w:tc>
      </w:tr>
      <w:tr w:rsidR="00D215FA" w:rsidRPr="00A22864" w:rsidTr="00C02819">
        <w:trPr>
          <w:trHeight w:val="227"/>
        </w:trPr>
        <w:tc>
          <w:tcPr>
            <w:tcW w:w="922" w:type="dxa"/>
            <w:gridSpan w:val="2"/>
          </w:tcPr>
          <w:p w:rsidR="00D215FA" w:rsidRPr="00D14824" w:rsidRDefault="00C02819" w:rsidP="00466775">
            <w:pPr>
              <w:rPr>
                <w:sz w:val="18"/>
                <w:szCs w:val="18"/>
                <w:lang w:val="sr-Cyrl-CS"/>
              </w:rPr>
            </w:pPr>
            <w:r w:rsidRPr="00D14824">
              <w:rPr>
                <w:sz w:val="18"/>
                <w:szCs w:val="18"/>
                <w:lang w:val="sr-Cyrl-CS"/>
              </w:rPr>
              <w:t>6</w:t>
            </w:r>
            <w:r w:rsidR="00D215FA" w:rsidRPr="00D14824">
              <w:rPr>
                <w:sz w:val="18"/>
                <w:szCs w:val="18"/>
                <w:lang w:val="sr-Cyrl-CS"/>
              </w:rPr>
              <w:t>.</w:t>
            </w:r>
          </w:p>
        </w:tc>
        <w:tc>
          <w:tcPr>
            <w:tcW w:w="3488" w:type="dxa"/>
            <w:gridSpan w:val="3"/>
          </w:tcPr>
          <w:p w:rsidR="00D215FA" w:rsidRPr="00D14824" w:rsidRDefault="00D215FA" w:rsidP="00466775">
            <w:pPr>
              <w:rPr>
                <w:sz w:val="18"/>
                <w:szCs w:val="18"/>
              </w:rPr>
            </w:pPr>
            <w:r w:rsidRPr="00D14824">
              <w:rPr>
                <w:sz w:val="18"/>
                <w:szCs w:val="18"/>
              </w:rPr>
              <w:t>Написати, објавити и вредновати научни рад 1</w:t>
            </w:r>
          </w:p>
        </w:tc>
        <w:tc>
          <w:tcPr>
            <w:tcW w:w="5088" w:type="dxa"/>
            <w:gridSpan w:val="5"/>
          </w:tcPr>
          <w:p w:rsidR="00D215FA" w:rsidRPr="00D14824" w:rsidRDefault="00D215FA" w:rsidP="00466775">
            <w:pPr>
              <w:rPr>
                <w:sz w:val="18"/>
                <w:szCs w:val="18"/>
                <w:lang w:val="sr-Cyrl-CS"/>
              </w:rPr>
            </w:pPr>
            <w:r w:rsidRPr="00D14824">
              <w:rPr>
                <w:sz w:val="18"/>
                <w:szCs w:val="18"/>
                <w:lang w:val="sr-Cyrl-CS"/>
              </w:rPr>
              <w:t>Докторске студије – претклиничка истраживања</w:t>
            </w:r>
          </w:p>
        </w:tc>
      </w:tr>
      <w:tr w:rsidR="00D215FA" w:rsidRPr="00A22864" w:rsidTr="00C02819">
        <w:trPr>
          <w:trHeight w:val="227"/>
        </w:trPr>
        <w:tc>
          <w:tcPr>
            <w:tcW w:w="922" w:type="dxa"/>
            <w:gridSpan w:val="2"/>
          </w:tcPr>
          <w:p w:rsidR="00D215FA" w:rsidRPr="00D14824" w:rsidRDefault="00C02819" w:rsidP="00466775">
            <w:pPr>
              <w:rPr>
                <w:sz w:val="18"/>
                <w:szCs w:val="18"/>
                <w:lang w:val="sr-Cyrl-CS"/>
              </w:rPr>
            </w:pPr>
            <w:r w:rsidRPr="00D14824">
              <w:rPr>
                <w:sz w:val="18"/>
                <w:szCs w:val="18"/>
                <w:lang w:val="sr-Cyrl-CS"/>
              </w:rPr>
              <w:t>6</w:t>
            </w:r>
            <w:r w:rsidR="00D215FA" w:rsidRPr="00D14824">
              <w:rPr>
                <w:sz w:val="18"/>
                <w:szCs w:val="18"/>
                <w:lang w:val="sr-Cyrl-CS"/>
              </w:rPr>
              <w:t>.</w:t>
            </w:r>
          </w:p>
        </w:tc>
        <w:tc>
          <w:tcPr>
            <w:tcW w:w="3488" w:type="dxa"/>
            <w:gridSpan w:val="3"/>
          </w:tcPr>
          <w:p w:rsidR="00D215FA" w:rsidRPr="00D14824" w:rsidRDefault="00D215FA" w:rsidP="00466775">
            <w:pPr>
              <w:rPr>
                <w:sz w:val="18"/>
                <w:szCs w:val="18"/>
                <w:lang w:val="sr-Cyrl-CS"/>
              </w:rPr>
            </w:pPr>
            <w:r w:rsidRPr="00D14824">
              <w:rPr>
                <w:sz w:val="18"/>
                <w:szCs w:val="18"/>
                <w:lang w:val="sr-Cyrl-CS"/>
              </w:rPr>
              <w:t>Физиологија</w:t>
            </w:r>
            <w:r w:rsidR="00C02819" w:rsidRPr="00D14824">
              <w:rPr>
                <w:sz w:val="18"/>
                <w:szCs w:val="18"/>
                <w:lang w:val="sr-Cyrl-CS"/>
              </w:rPr>
              <w:t xml:space="preserve"> и физиологија спорта</w:t>
            </w:r>
          </w:p>
        </w:tc>
        <w:tc>
          <w:tcPr>
            <w:tcW w:w="5088" w:type="dxa"/>
            <w:gridSpan w:val="5"/>
          </w:tcPr>
          <w:p w:rsidR="00D215FA" w:rsidRPr="00D14824" w:rsidRDefault="00D215FA" w:rsidP="00466775">
            <w:pPr>
              <w:rPr>
                <w:sz w:val="18"/>
                <w:szCs w:val="18"/>
              </w:rPr>
            </w:pPr>
            <w:r w:rsidRPr="00D14824">
              <w:rPr>
                <w:sz w:val="18"/>
                <w:szCs w:val="18"/>
                <w:lang w:val="sr-Cyrl-CS"/>
              </w:rPr>
              <w:t xml:space="preserve">Факултет </w:t>
            </w:r>
            <w:r w:rsidRPr="00D14824">
              <w:rPr>
                <w:sz w:val="18"/>
                <w:szCs w:val="18"/>
              </w:rPr>
              <w:t>спорта и физичког васпитања</w:t>
            </w:r>
          </w:p>
        </w:tc>
      </w:tr>
      <w:tr w:rsidR="00D215FA" w:rsidRPr="00A22864" w:rsidTr="00C02819">
        <w:trPr>
          <w:trHeight w:val="227"/>
        </w:trPr>
        <w:tc>
          <w:tcPr>
            <w:tcW w:w="922" w:type="dxa"/>
            <w:gridSpan w:val="2"/>
          </w:tcPr>
          <w:p w:rsidR="00D215FA" w:rsidRPr="00D14824" w:rsidRDefault="00D215FA" w:rsidP="00466775">
            <w:pPr>
              <w:rPr>
                <w:sz w:val="18"/>
                <w:szCs w:val="18"/>
                <w:lang w:val="sr-Cyrl-CS"/>
              </w:rPr>
            </w:pPr>
            <w:r w:rsidRPr="00D14824">
              <w:rPr>
                <w:sz w:val="18"/>
                <w:szCs w:val="18"/>
                <w:lang w:val="sr-Cyrl-CS"/>
              </w:rPr>
              <w:t>7.</w:t>
            </w:r>
          </w:p>
        </w:tc>
        <w:tc>
          <w:tcPr>
            <w:tcW w:w="3488" w:type="dxa"/>
            <w:gridSpan w:val="3"/>
          </w:tcPr>
          <w:p w:rsidR="00D215FA" w:rsidRPr="00D14824" w:rsidRDefault="00D215FA" w:rsidP="00466775">
            <w:pPr>
              <w:rPr>
                <w:sz w:val="18"/>
                <w:szCs w:val="18"/>
                <w:lang w:val="sr-Cyrl-CS"/>
              </w:rPr>
            </w:pPr>
            <w:r w:rsidRPr="00D14824">
              <w:rPr>
                <w:sz w:val="18"/>
                <w:szCs w:val="18"/>
                <w:lang w:val="sr-Cyrl-CS"/>
              </w:rPr>
              <w:t>Физиолошке основе психичких појава</w:t>
            </w:r>
          </w:p>
        </w:tc>
        <w:tc>
          <w:tcPr>
            <w:tcW w:w="5088" w:type="dxa"/>
            <w:gridSpan w:val="5"/>
          </w:tcPr>
          <w:p w:rsidR="00D215FA" w:rsidRPr="00D14824" w:rsidRDefault="00D215FA" w:rsidP="00466775">
            <w:pPr>
              <w:rPr>
                <w:sz w:val="18"/>
                <w:szCs w:val="18"/>
                <w:lang w:val="sr-Cyrl-CS"/>
              </w:rPr>
            </w:pPr>
            <w:r w:rsidRPr="00D14824">
              <w:rPr>
                <w:sz w:val="18"/>
                <w:szCs w:val="18"/>
                <w:lang w:val="sr-Cyrl-CS"/>
              </w:rPr>
              <w:t>Филозофски факултет, Психологија</w:t>
            </w:r>
          </w:p>
        </w:tc>
      </w:tr>
      <w:tr w:rsidR="00D215FA" w:rsidRPr="00A22864" w:rsidTr="00C02819">
        <w:trPr>
          <w:trHeight w:val="227"/>
        </w:trPr>
        <w:tc>
          <w:tcPr>
            <w:tcW w:w="922" w:type="dxa"/>
            <w:gridSpan w:val="2"/>
          </w:tcPr>
          <w:p w:rsidR="00D215FA" w:rsidRPr="00D14824" w:rsidRDefault="00D215FA" w:rsidP="00466775">
            <w:pPr>
              <w:rPr>
                <w:sz w:val="18"/>
                <w:szCs w:val="18"/>
                <w:lang w:val="sr-Cyrl-CS"/>
              </w:rPr>
            </w:pPr>
            <w:r w:rsidRPr="00D14824">
              <w:rPr>
                <w:sz w:val="18"/>
                <w:szCs w:val="18"/>
                <w:lang w:val="sr-Cyrl-CS"/>
              </w:rPr>
              <w:t>8.</w:t>
            </w:r>
          </w:p>
        </w:tc>
        <w:tc>
          <w:tcPr>
            <w:tcW w:w="3488" w:type="dxa"/>
            <w:gridSpan w:val="3"/>
          </w:tcPr>
          <w:p w:rsidR="00D215FA" w:rsidRPr="00D14824" w:rsidRDefault="00D215FA" w:rsidP="00466775">
            <w:pPr>
              <w:rPr>
                <w:sz w:val="18"/>
                <w:szCs w:val="18"/>
                <w:lang w:val="sr-Cyrl-CS"/>
              </w:rPr>
            </w:pPr>
            <w:r w:rsidRPr="00D14824">
              <w:rPr>
                <w:sz w:val="18"/>
                <w:szCs w:val="18"/>
                <w:lang w:val="sr-Cyrl-CS"/>
              </w:rPr>
              <w:t>Физиолошка оптика</w:t>
            </w:r>
          </w:p>
        </w:tc>
        <w:tc>
          <w:tcPr>
            <w:tcW w:w="5088" w:type="dxa"/>
            <w:gridSpan w:val="5"/>
          </w:tcPr>
          <w:p w:rsidR="00D215FA" w:rsidRPr="00D14824" w:rsidRDefault="00D215FA" w:rsidP="00466775">
            <w:pPr>
              <w:rPr>
                <w:sz w:val="18"/>
                <w:szCs w:val="18"/>
                <w:lang w:val="sr-Cyrl-CS"/>
              </w:rPr>
            </w:pPr>
            <w:r w:rsidRPr="00D14824">
              <w:rPr>
                <w:sz w:val="18"/>
                <w:szCs w:val="18"/>
                <w:lang w:val="sr-Cyrl-CS"/>
              </w:rPr>
              <w:t>Приридноматематички факултет, Оптометрија</w:t>
            </w:r>
          </w:p>
        </w:tc>
      </w:tr>
      <w:tr w:rsidR="00D215FA" w:rsidRPr="00A22864" w:rsidTr="00D54AE5">
        <w:trPr>
          <w:trHeight w:val="227"/>
        </w:trPr>
        <w:tc>
          <w:tcPr>
            <w:tcW w:w="9498" w:type="dxa"/>
            <w:gridSpan w:val="10"/>
            <w:vAlign w:val="center"/>
          </w:tcPr>
          <w:p w:rsidR="00D215FA" w:rsidRPr="00D14824" w:rsidRDefault="00D215FA" w:rsidP="00D54AE5">
            <w:pPr>
              <w:tabs>
                <w:tab w:val="left" w:pos="567"/>
              </w:tabs>
              <w:spacing w:after="60"/>
              <w:rPr>
                <w:b/>
                <w:sz w:val="18"/>
                <w:szCs w:val="18"/>
                <w:lang w:val="sr-Cyrl-CS"/>
              </w:rPr>
            </w:pPr>
            <w:r w:rsidRPr="00D14824">
              <w:rPr>
                <w:sz w:val="18"/>
                <w:szCs w:val="18"/>
                <w:lang w:val="sr-Cyrl-CS"/>
              </w:rPr>
              <w:t xml:space="preserve">Најзначајнији радови </w:t>
            </w:r>
            <w:r w:rsidRPr="00D14824">
              <w:rPr>
                <w:b/>
                <w:sz w:val="18"/>
                <w:szCs w:val="18"/>
                <w:lang w:val="sr-Cyrl-CS"/>
              </w:rPr>
              <w:t xml:space="preserve"> у складу са захтевима допунских стандарда за дато поље (минимално 10 не више од 20)</w:t>
            </w:r>
          </w:p>
        </w:tc>
      </w:tr>
      <w:tr w:rsidR="00D215FA" w:rsidRPr="00A22864" w:rsidTr="00D215FA">
        <w:trPr>
          <w:trHeight w:val="227"/>
        </w:trPr>
        <w:tc>
          <w:tcPr>
            <w:tcW w:w="521"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1.</w:t>
            </w:r>
          </w:p>
        </w:tc>
        <w:tc>
          <w:tcPr>
            <w:tcW w:w="8299" w:type="dxa"/>
            <w:gridSpan w:val="8"/>
            <w:shd w:val="clear" w:color="auto" w:fill="auto"/>
          </w:tcPr>
          <w:p w:rsidR="00D215FA" w:rsidRPr="00D14824" w:rsidRDefault="00D215FA" w:rsidP="00466775">
            <w:pPr>
              <w:rPr>
                <w:sz w:val="18"/>
                <w:szCs w:val="18"/>
                <w:shd w:val="clear" w:color="auto" w:fill="FFFFFF"/>
              </w:rPr>
            </w:pPr>
            <w:r w:rsidRPr="00D14824">
              <w:rPr>
                <w:b/>
                <w:bCs/>
                <w:sz w:val="18"/>
                <w:szCs w:val="18"/>
              </w:rPr>
              <w:t>Barak OF</w:t>
            </w:r>
            <w:r w:rsidRPr="00D14824">
              <w:rPr>
                <w:bCs/>
                <w:sz w:val="18"/>
                <w:szCs w:val="18"/>
              </w:rPr>
              <w:t>, Caljkusic K, Madden D, Ainslie PN, Slavic D, Buca A, Dujic Z. Elevations in intra-cranial blood flow velocities following a SCUBA dive and the influence of dost-dive exercise. Int J Sport Med. 2016;37(8):591-597.</w:t>
            </w:r>
          </w:p>
        </w:tc>
        <w:tc>
          <w:tcPr>
            <w:tcW w:w="678" w:type="dxa"/>
            <w:vAlign w:val="center"/>
          </w:tcPr>
          <w:p w:rsidR="00D215FA" w:rsidRPr="00D14824" w:rsidRDefault="00D215FA" w:rsidP="00D54AE5">
            <w:pPr>
              <w:tabs>
                <w:tab w:val="left" w:pos="567"/>
              </w:tabs>
              <w:spacing w:after="60"/>
              <w:rPr>
                <w:sz w:val="18"/>
                <w:szCs w:val="18"/>
              </w:rPr>
            </w:pPr>
            <w:r w:rsidRPr="00D14824">
              <w:rPr>
                <w:sz w:val="18"/>
                <w:szCs w:val="18"/>
              </w:rPr>
              <w:t>M21</w:t>
            </w:r>
          </w:p>
        </w:tc>
      </w:tr>
      <w:tr w:rsidR="00D215FA" w:rsidRPr="00A22864" w:rsidTr="00D215FA">
        <w:trPr>
          <w:trHeight w:val="227"/>
        </w:trPr>
        <w:tc>
          <w:tcPr>
            <w:tcW w:w="521"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2.</w:t>
            </w:r>
          </w:p>
        </w:tc>
        <w:tc>
          <w:tcPr>
            <w:tcW w:w="8299" w:type="dxa"/>
            <w:gridSpan w:val="8"/>
            <w:shd w:val="clear" w:color="auto" w:fill="auto"/>
          </w:tcPr>
          <w:p w:rsidR="00D215FA" w:rsidRPr="00D14824" w:rsidRDefault="00D215FA" w:rsidP="00466775">
            <w:pPr>
              <w:rPr>
                <w:sz w:val="18"/>
                <w:szCs w:val="18"/>
              </w:rPr>
            </w:pPr>
            <w:r w:rsidRPr="00D14824">
              <w:rPr>
                <w:rFonts w:eastAsia="ＭＳ 明朝"/>
                <w:sz w:val="18"/>
                <w:szCs w:val="18"/>
              </w:rPr>
              <w:t xml:space="preserve">Bain AR, Ainslie PN, Hoiland RL, </w:t>
            </w:r>
            <w:r w:rsidRPr="00D14824">
              <w:rPr>
                <w:rFonts w:eastAsia="ＭＳ 明朝"/>
                <w:b/>
                <w:sz w:val="18"/>
                <w:szCs w:val="18"/>
              </w:rPr>
              <w:t>Barak OF</w:t>
            </w:r>
            <w:r w:rsidRPr="00D14824">
              <w:rPr>
                <w:rFonts w:eastAsia="ＭＳ 明朝"/>
                <w:sz w:val="18"/>
                <w:szCs w:val="18"/>
              </w:rPr>
              <w:t>, Cavar M, Drvis I, Stembridge M, MacLeod DM, Bailey DM, Dujic Z, MacLeod DB. Cerebral oxidative metabolism is decreased with extreme apnea in humans; impact of hypercapnia. J Physiol. 2016;594(18):5317-5328.</w:t>
            </w:r>
          </w:p>
        </w:tc>
        <w:tc>
          <w:tcPr>
            <w:tcW w:w="678"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M21</w:t>
            </w:r>
          </w:p>
        </w:tc>
      </w:tr>
      <w:tr w:rsidR="00D215FA" w:rsidRPr="00A22864" w:rsidTr="00D215FA">
        <w:trPr>
          <w:trHeight w:val="227"/>
        </w:trPr>
        <w:tc>
          <w:tcPr>
            <w:tcW w:w="521"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3.</w:t>
            </w:r>
          </w:p>
        </w:tc>
        <w:tc>
          <w:tcPr>
            <w:tcW w:w="8299" w:type="dxa"/>
            <w:gridSpan w:val="8"/>
            <w:shd w:val="clear" w:color="auto" w:fill="auto"/>
          </w:tcPr>
          <w:p w:rsidR="00D215FA" w:rsidRPr="00D14824" w:rsidRDefault="00D215FA" w:rsidP="00466775">
            <w:pPr>
              <w:rPr>
                <w:rFonts w:eastAsia="ＭＳ 明朝"/>
                <w:sz w:val="18"/>
                <w:szCs w:val="18"/>
              </w:rPr>
            </w:pPr>
            <w:r w:rsidRPr="00D14824">
              <w:rPr>
                <w:sz w:val="18"/>
                <w:szCs w:val="18"/>
              </w:rPr>
              <w:t xml:space="preserve">Norris HC, Mangum TS, Kern JP, Elliott, JE, Beasley KM, Goodman RD, Mladinov S, </w:t>
            </w:r>
            <w:r w:rsidRPr="00D14824">
              <w:rPr>
                <w:b/>
                <w:sz w:val="18"/>
                <w:szCs w:val="18"/>
              </w:rPr>
              <w:t>Barak OF</w:t>
            </w:r>
            <w:r w:rsidRPr="00D14824">
              <w:rPr>
                <w:sz w:val="18"/>
                <w:szCs w:val="18"/>
              </w:rPr>
              <w:t xml:space="preserve">, Bakovic D, Dujic Z, Lovering AT. Intrapulmonary arteriovenous anastomoses in humans with chronic obstructive pulmonary disease: implications for cryptogenic stroke? </w:t>
            </w:r>
            <w:r w:rsidRPr="00D14824">
              <w:rPr>
                <w:rStyle w:val="jrnl"/>
                <w:sz w:val="18"/>
                <w:szCs w:val="18"/>
                <w:shd w:val="clear" w:color="auto" w:fill="FFFFFF"/>
              </w:rPr>
              <w:t>Exp Physiol</w:t>
            </w:r>
            <w:r w:rsidRPr="00D14824">
              <w:rPr>
                <w:sz w:val="18"/>
                <w:szCs w:val="18"/>
                <w:shd w:val="clear" w:color="auto" w:fill="FFFFFF"/>
              </w:rPr>
              <w:t>. 2016;101(8):1128-1142.</w:t>
            </w:r>
          </w:p>
        </w:tc>
        <w:tc>
          <w:tcPr>
            <w:tcW w:w="678"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M22</w:t>
            </w:r>
          </w:p>
        </w:tc>
      </w:tr>
      <w:tr w:rsidR="00D215FA" w:rsidRPr="00A22864" w:rsidTr="00D215FA">
        <w:trPr>
          <w:trHeight w:val="227"/>
        </w:trPr>
        <w:tc>
          <w:tcPr>
            <w:tcW w:w="521"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4.</w:t>
            </w:r>
          </w:p>
        </w:tc>
        <w:tc>
          <w:tcPr>
            <w:tcW w:w="8299" w:type="dxa"/>
            <w:gridSpan w:val="8"/>
            <w:shd w:val="clear" w:color="auto" w:fill="auto"/>
          </w:tcPr>
          <w:p w:rsidR="00D215FA" w:rsidRPr="00D14824" w:rsidRDefault="00D215FA" w:rsidP="00466775">
            <w:pPr>
              <w:spacing w:line="276" w:lineRule="auto"/>
              <w:rPr>
                <w:sz w:val="18"/>
                <w:szCs w:val="18"/>
              </w:rPr>
            </w:pPr>
            <w:r w:rsidRPr="00D14824">
              <w:rPr>
                <w:sz w:val="18"/>
                <w:szCs w:val="18"/>
                <w:shd w:val="clear" w:color="auto" w:fill="FFFFFF"/>
              </w:rPr>
              <w:t>Kyhl K, Drvis I,</w:t>
            </w:r>
            <w:r w:rsidRPr="00D14824">
              <w:rPr>
                <w:rStyle w:val="apple-converted-space"/>
                <w:sz w:val="18"/>
                <w:szCs w:val="18"/>
                <w:shd w:val="clear" w:color="auto" w:fill="FFFFFF"/>
              </w:rPr>
              <w:t> </w:t>
            </w:r>
            <w:r w:rsidRPr="00D14824">
              <w:rPr>
                <w:b/>
                <w:bCs/>
                <w:sz w:val="18"/>
                <w:szCs w:val="18"/>
                <w:shd w:val="clear" w:color="auto" w:fill="FFFFFF"/>
              </w:rPr>
              <w:t>Barak O</w:t>
            </w:r>
            <w:r w:rsidRPr="00D14824">
              <w:rPr>
                <w:sz w:val="18"/>
                <w:szCs w:val="18"/>
                <w:shd w:val="clear" w:color="auto" w:fill="FFFFFF"/>
              </w:rPr>
              <w:t>, Mijacika T, Engstrøm T, Secher NH, Dujic Z, Buca A, Madsen PL. Organ perfusion during voluntary pulmonary hyperinflation; a magnetic resonance imaging study.</w:t>
            </w:r>
            <w:r w:rsidRPr="00D14824">
              <w:rPr>
                <w:rStyle w:val="jrnl"/>
                <w:sz w:val="18"/>
                <w:szCs w:val="18"/>
                <w:shd w:val="clear" w:color="auto" w:fill="FFFFFF"/>
              </w:rPr>
              <w:t>Am J Physiol Heart Circ Physiol</w:t>
            </w:r>
            <w:r w:rsidRPr="00D14824">
              <w:rPr>
                <w:sz w:val="18"/>
                <w:szCs w:val="18"/>
                <w:shd w:val="clear" w:color="auto" w:fill="FFFFFF"/>
              </w:rPr>
              <w:t>. 2016;310(3):H444-51.</w:t>
            </w:r>
          </w:p>
        </w:tc>
        <w:tc>
          <w:tcPr>
            <w:tcW w:w="678"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M21</w:t>
            </w:r>
          </w:p>
        </w:tc>
      </w:tr>
      <w:tr w:rsidR="00D215FA" w:rsidRPr="00A22864" w:rsidTr="00D215FA">
        <w:trPr>
          <w:trHeight w:val="227"/>
        </w:trPr>
        <w:tc>
          <w:tcPr>
            <w:tcW w:w="521"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5.</w:t>
            </w:r>
          </w:p>
        </w:tc>
        <w:tc>
          <w:tcPr>
            <w:tcW w:w="8299" w:type="dxa"/>
            <w:gridSpan w:val="8"/>
            <w:shd w:val="clear" w:color="auto" w:fill="auto"/>
          </w:tcPr>
          <w:p w:rsidR="00D215FA" w:rsidRPr="00D14824" w:rsidRDefault="00D215FA" w:rsidP="00466775">
            <w:pPr>
              <w:rPr>
                <w:bCs/>
                <w:sz w:val="18"/>
                <w:szCs w:val="18"/>
              </w:rPr>
            </w:pPr>
            <w:r w:rsidRPr="00D14824">
              <w:rPr>
                <w:sz w:val="18"/>
                <w:szCs w:val="18"/>
                <w:shd w:val="clear" w:color="auto" w:fill="FFFFFF"/>
              </w:rPr>
              <w:t>Lovering AT, Lozo M,</w:t>
            </w:r>
            <w:r w:rsidRPr="00D14824">
              <w:rPr>
                <w:rStyle w:val="apple-converted-space"/>
                <w:sz w:val="18"/>
                <w:szCs w:val="18"/>
                <w:shd w:val="clear" w:color="auto" w:fill="FFFFFF"/>
              </w:rPr>
              <w:t> </w:t>
            </w:r>
            <w:r w:rsidRPr="00D14824">
              <w:rPr>
                <w:b/>
                <w:bCs/>
                <w:sz w:val="18"/>
                <w:szCs w:val="18"/>
                <w:shd w:val="clear" w:color="auto" w:fill="FFFFFF"/>
              </w:rPr>
              <w:t>Barak O</w:t>
            </w:r>
            <w:r w:rsidRPr="00D14824">
              <w:rPr>
                <w:sz w:val="18"/>
                <w:szCs w:val="18"/>
                <w:shd w:val="clear" w:color="auto" w:fill="FFFFFF"/>
              </w:rPr>
              <w:t>, Davis JT, Lojpur M, Lozo P, Caljkusic K, Dujic Z. Resting arterial hypoxemia in subjects with chronic heart failure, pulmonary hypertension and patent foramen ovale.</w:t>
            </w:r>
            <w:r w:rsidRPr="00D14824">
              <w:rPr>
                <w:rStyle w:val="jrnl"/>
                <w:sz w:val="18"/>
                <w:szCs w:val="18"/>
                <w:shd w:val="clear" w:color="auto" w:fill="FFFFFF"/>
              </w:rPr>
              <w:t>Exp Physiol</w:t>
            </w:r>
            <w:r w:rsidRPr="00D14824">
              <w:rPr>
                <w:sz w:val="18"/>
                <w:szCs w:val="18"/>
                <w:shd w:val="clear" w:color="auto" w:fill="FFFFFF"/>
              </w:rPr>
              <w:t>. 2016;101(5):657-670.</w:t>
            </w:r>
          </w:p>
        </w:tc>
        <w:tc>
          <w:tcPr>
            <w:tcW w:w="678"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M22</w:t>
            </w:r>
          </w:p>
        </w:tc>
      </w:tr>
      <w:tr w:rsidR="00D215FA" w:rsidRPr="00A22864" w:rsidTr="00D215FA">
        <w:trPr>
          <w:trHeight w:val="227"/>
        </w:trPr>
        <w:tc>
          <w:tcPr>
            <w:tcW w:w="521"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6.</w:t>
            </w:r>
          </w:p>
        </w:tc>
        <w:tc>
          <w:tcPr>
            <w:tcW w:w="8299" w:type="dxa"/>
            <w:gridSpan w:val="8"/>
            <w:shd w:val="clear" w:color="auto" w:fill="auto"/>
          </w:tcPr>
          <w:p w:rsidR="00D215FA" w:rsidRPr="00D14824" w:rsidRDefault="00D215FA" w:rsidP="00466775">
            <w:pPr>
              <w:rPr>
                <w:sz w:val="18"/>
                <w:szCs w:val="18"/>
              </w:rPr>
            </w:pPr>
            <w:r w:rsidRPr="00D14824">
              <w:rPr>
                <w:sz w:val="18"/>
                <w:szCs w:val="18"/>
              </w:rPr>
              <w:t xml:space="preserve">Bain AR, Dujic Z, Hoiland RL, </w:t>
            </w:r>
            <w:r w:rsidRPr="00D14824">
              <w:rPr>
                <w:b/>
                <w:sz w:val="18"/>
                <w:szCs w:val="18"/>
              </w:rPr>
              <w:t>Barak OF</w:t>
            </w:r>
            <w:r w:rsidRPr="00D14824">
              <w:rPr>
                <w:sz w:val="18"/>
                <w:szCs w:val="18"/>
              </w:rPr>
              <w:t>, Madden D, Drvis I, Stembridge M, MacLeod DB, MacLeod DM, Ainslie PN. Peripheral chemoreflex inhibition with low-dose dopamine: New insight into mechanisms of extreme apnea.</w:t>
            </w:r>
            <w:r w:rsidRPr="00D14824">
              <w:rPr>
                <w:rStyle w:val="jrnl"/>
                <w:sz w:val="18"/>
                <w:szCs w:val="18"/>
              </w:rPr>
              <w:t>Am J Physiol Regul Integr Comp Physiol</w:t>
            </w:r>
            <w:r w:rsidRPr="00D14824">
              <w:rPr>
                <w:sz w:val="18"/>
                <w:szCs w:val="18"/>
              </w:rPr>
              <w:t>. 2015;309(9):R1162-71.</w:t>
            </w:r>
          </w:p>
        </w:tc>
        <w:tc>
          <w:tcPr>
            <w:tcW w:w="678"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M21</w:t>
            </w:r>
          </w:p>
        </w:tc>
      </w:tr>
      <w:tr w:rsidR="00D215FA" w:rsidRPr="00A22864" w:rsidTr="00D215FA">
        <w:trPr>
          <w:trHeight w:val="227"/>
        </w:trPr>
        <w:tc>
          <w:tcPr>
            <w:tcW w:w="521"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7.</w:t>
            </w:r>
          </w:p>
        </w:tc>
        <w:tc>
          <w:tcPr>
            <w:tcW w:w="8299" w:type="dxa"/>
            <w:gridSpan w:val="8"/>
            <w:shd w:val="clear" w:color="auto" w:fill="auto"/>
          </w:tcPr>
          <w:p w:rsidR="00D215FA" w:rsidRPr="00D14824" w:rsidRDefault="00D215FA" w:rsidP="00466775">
            <w:pPr>
              <w:rPr>
                <w:sz w:val="18"/>
                <w:szCs w:val="18"/>
              </w:rPr>
            </w:pPr>
            <w:r w:rsidRPr="00D14824">
              <w:rPr>
                <w:sz w:val="18"/>
                <w:szCs w:val="18"/>
              </w:rPr>
              <w:t xml:space="preserve">Winklewski PJ, </w:t>
            </w:r>
            <w:r w:rsidRPr="00D14824">
              <w:rPr>
                <w:b/>
                <w:bCs/>
                <w:sz w:val="18"/>
                <w:szCs w:val="18"/>
              </w:rPr>
              <w:t>Barak O</w:t>
            </w:r>
            <w:r w:rsidRPr="00D14824">
              <w:rPr>
                <w:sz w:val="18"/>
                <w:szCs w:val="18"/>
              </w:rPr>
              <w:t>, Madden D, Gruszecka A, Gruszecki M, Guminski W, Kot J, Frydrychowski AF, Drvis I, Dujic Z. Effect of Maximal Apnoea Easy-Going and Struggle Phases on Subarachnoid Width and Pial Artery Pulsation in Elite Breath-Hold Divers.</w:t>
            </w:r>
            <w:r w:rsidRPr="00D14824">
              <w:rPr>
                <w:rStyle w:val="jrnl"/>
                <w:sz w:val="18"/>
                <w:szCs w:val="18"/>
              </w:rPr>
              <w:t>PLoS One</w:t>
            </w:r>
            <w:r w:rsidRPr="00D14824">
              <w:rPr>
                <w:sz w:val="18"/>
                <w:szCs w:val="18"/>
              </w:rPr>
              <w:t>. 2015;10(8):e0135429. doi: 10.1371/journal.pone.0135429.</w:t>
            </w:r>
          </w:p>
        </w:tc>
        <w:tc>
          <w:tcPr>
            <w:tcW w:w="678"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M21</w:t>
            </w:r>
          </w:p>
        </w:tc>
      </w:tr>
      <w:tr w:rsidR="00D215FA" w:rsidRPr="00A22864" w:rsidTr="00D215FA">
        <w:trPr>
          <w:trHeight w:val="227"/>
        </w:trPr>
        <w:tc>
          <w:tcPr>
            <w:tcW w:w="521"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8.</w:t>
            </w:r>
          </w:p>
        </w:tc>
        <w:tc>
          <w:tcPr>
            <w:tcW w:w="8299" w:type="dxa"/>
            <w:gridSpan w:val="8"/>
            <w:shd w:val="clear" w:color="auto" w:fill="auto"/>
          </w:tcPr>
          <w:p w:rsidR="00D215FA" w:rsidRPr="00D14824" w:rsidRDefault="00D215FA" w:rsidP="00466775">
            <w:pPr>
              <w:rPr>
                <w:sz w:val="18"/>
                <w:szCs w:val="18"/>
              </w:rPr>
            </w:pPr>
            <w:r w:rsidRPr="00D14824">
              <w:rPr>
                <w:sz w:val="18"/>
                <w:szCs w:val="18"/>
              </w:rPr>
              <w:t xml:space="preserve">Thom SR, Bennett M, Banham ND, Chin W, Blake DF, Rosen A, Pollock NW, Madden D, </w:t>
            </w:r>
            <w:r w:rsidRPr="00D14824">
              <w:rPr>
                <w:b/>
                <w:bCs/>
                <w:sz w:val="18"/>
                <w:szCs w:val="18"/>
              </w:rPr>
              <w:t>Barak O</w:t>
            </w:r>
            <w:r w:rsidRPr="00D14824">
              <w:rPr>
                <w:sz w:val="18"/>
                <w:szCs w:val="18"/>
              </w:rPr>
              <w:t>, Marroni A, Balestra C, Germonpre P, Pieri M, Cialoni D, Le PN, Logue C, Lambert D, Hardy KR, Sward D, Yang M, Bhopale VB, Dujic Z. Association of microparticles and neutrophil activation with decompression sickness.</w:t>
            </w:r>
            <w:r w:rsidRPr="00D14824">
              <w:rPr>
                <w:rStyle w:val="jrnl"/>
                <w:sz w:val="18"/>
                <w:szCs w:val="18"/>
              </w:rPr>
              <w:t>J Appl Physiol</w:t>
            </w:r>
            <w:r w:rsidRPr="00D14824">
              <w:rPr>
                <w:sz w:val="18"/>
                <w:szCs w:val="18"/>
              </w:rPr>
              <w:t>. 2015;119(5):427-34.</w:t>
            </w:r>
          </w:p>
        </w:tc>
        <w:tc>
          <w:tcPr>
            <w:tcW w:w="678"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M21</w:t>
            </w:r>
          </w:p>
        </w:tc>
      </w:tr>
      <w:tr w:rsidR="00D215FA" w:rsidRPr="00A22864" w:rsidTr="00D215FA">
        <w:trPr>
          <w:trHeight w:val="227"/>
        </w:trPr>
        <w:tc>
          <w:tcPr>
            <w:tcW w:w="521"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9.</w:t>
            </w:r>
          </w:p>
        </w:tc>
        <w:tc>
          <w:tcPr>
            <w:tcW w:w="8299" w:type="dxa"/>
            <w:gridSpan w:val="8"/>
            <w:shd w:val="clear" w:color="auto" w:fill="auto"/>
          </w:tcPr>
          <w:p w:rsidR="00D215FA" w:rsidRPr="00D14824" w:rsidRDefault="00D215FA" w:rsidP="00466775">
            <w:pPr>
              <w:rPr>
                <w:sz w:val="18"/>
                <w:szCs w:val="18"/>
              </w:rPr>
            </w:pPr>
            <w:r w:rsidRPr="00D14824">
              <w:rPr>
                <w:sz w:val="18"/>
                <w:szCs w:val="18"/>
              </w:rPr>
              <w:t xml:space="preserve">Yang M, </w:t>
            </w:r>
            <w:r w:rsidRPr="00D14824">
              <w:rPr>
                <w:b/>
                <w:sz w:val="18"/>
                <w:szCs w:val="18"/>
              </w:rPr>
              <w:t>Barak OF</w:t>
            </w:r>
            <w:r w:rsidRPr="00D14824">
              <w:rPr>
                <w:sz w:val="18"/>
                <w:szCs w:val="18"/>
              </w:rPr>
              <w:t>, Dujic Z, Madden D, Bhopale VM, Bhullar J, Thom SR. Ascorbic acid supplementation diminishes microparticle elevations and neutrophil activation following SCUBA diving.</w:t>
            </w:r>
            <w:r w:rsidRPr="00D14824">
              <w:rPr>
                <w:rStyle w:val="jrnl"/>
                <w:sz w:val="18"/>
                <w:szCs w:val="18"/>
              </w:rPr>
              <w:t>Am J Physiol Regul Integr Comp Physiol</w:t>
            </w:r>
            <w:r w:rsidRPr="00D14824">
              <w:rPr>
                <w:sz w:val="18"/>
                <w:szCs w:val="18"/>
              </w:rPr>
              <w:t xml:space="preserve">. 2015;309(4):R338-44. </w:t>
            </w:r>
          </w:p>
        </w:tc>
        <w:tc>
          <w:tcPr>
            <w:tcW w:w="678"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M21</w:t>
            </w:r>
          </w:p>
        </w:tc>
      </w:tr>
      <w:tr w:rsidR="00D215FA" w:rsidRPr="00A22864" w:rsidTr="00D215FA">
        <w:trPr>
          <w:trHeight w:val="227"/>
        </w:trPr>
        <w:tc>
          <w:tcPr>
            <w:tcW w:w="521"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10.</w:t>
            </w:r>
          </w:p>
        </w:tc>
        <w:tc>
          <w:tcPr>
            <w:tcW w:w="8299" w:type="dxa"/>
            <w:gridSpan w:val="8"/>
            <w:shd w:val="clear" w:color="auto" w:fill="auto"/>
          </w:tcPr>
          <w:p w:rsidR="00D215FA" w:rsidRPr="00D14824" w:rsidRDefault="00D215FA" w:rsidP="00466775">
            <w:pPr>
              <w:rPr>
                <w:sz w:val="18"/>
                <w:szCs w:val="18"/>
              </w:rPr>
            </w:pPr>
            <w:r w:rsidRPr="00D14824">
              <w:rPr>
                <w:b/>
                <w:sz w:val="18"/>
                <w:szCs w:val="18"/>
              </w:rPr>
              <w:t>Barak OF</w:t>
            </w:r>
            <w:r w:rsidRPr="00D14824">
              <w:rPr>
                <w:sz w:val="18"/>
                <w:szCs w:val="18"/>
              </w:rPr>
              <w:t xml:space="preserve">, Madden D, Lovering AT, Lambrechts K, Ljubkovic M, Dujic Z. Very Few Exercise-Induced Arterialized Gas Bubbles Reach the Cerebral Vasculature. </w:t>
            </w:r>
            <w:r w:rsidRPr="00D14824">
              <w:rPr>
                <w:rStyle w:val="jrnl"/>
                <w:sz w:val="18"/>
                <w:szCs w:val="18"/>
              </w:rPr>
              <w:t>Med Sci Sports Exerc</w:t>
            </w:r>
            <w:r w:rsidRPr="00D14824">
              <w:rPr>
                <w:sz w:val="18"/>
                <w:szCs w:val="18"/>
              </w:rPr>
              <w:t>. 2015;47(9):1798-805.</w:t>
            </w:r>
          </w:p>
        </w:tc>
        <w:tc>
          <w:tcPr>
            <w:tcW w:w="678"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M21</w:t>
            </w:r>
          </w:p>
        </w:tc>
      </w:tr>
      <w:tr w:rsidR="00D215FA" w:rsidRPr="00A22864" w:rsidTr="00D54AE5">
        <w:trPr>
          <w:trHeight w:val="227"/>
        </w:trPr>
        <w:tc>
          <w:tcPr>
            <w:tcW w:w="9498" w:type="dxa"/>
            <w:gridSpan w:val="10"/>
            <w:vAlign w:val="center"/>
          </w:tcPr>
          <w:p w:rsidR="00D215FA" w:rsidRPr="00D14824" w:rsidRDefault="00D215FA" w:rsidP="00D54AE5">
            <w:pPr>
              <w:tabs>
                <w:tab w:val="left" w:pos="567"/>
              </w:tabs>
              <w:spacing w:after="60"/>
              <w:rPr>
                <w:sz w:val="18"/>
                <w:szCs w:val="18"/>
                <w:lang w:val="sr-Cyrl-CS"/>
              </w:rPr>
            </w:pPr>
            <w:r w:rsidRPr="00D14824">
              <w:rPr>
                <w:b/>
                <w:sz w:val="18"/>
                <w:szCs w:val="18"/>
                <w:lang w:val="sr-Cyrl-CS"/>
              </w:rPr>
              <w:t>Збирни подаци научне активност наставника</w:t>
            </w:r>
          </w:p>
        </w:tc>
      </w:tr>
      <w:tr w:rsidR="00D215FA" w:rsidRPr="00A22864" w:rsidTr="00D215FA">
        <w:trPr>
          <w:trHeight w:val="227"/>
        </w:trPr>
        <w:tc>
          <w:tcPr>
            <w:tcW w:w="4950" w:type="dxa"/>
            <w:gridSpan w:val="6"/>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Укупан број цитата, без аутоцитата</w:t>
            </w:r>
          </w:p>
        </w:tc>
        <w:tc>
          <w:tcPr>
            <w:tcW w:w="4548" w:type="dxa"/>
            <w:gridSpan w:val="4"/>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130</w:t>
            </w:r>
          </w:p>
        </w:tc>
      </w:tr>
      <w:tr w:rsidR="00D215FA" w:rsidRPr="00A22864" w:rsidTr="00D215FA">
        <w:trPr>
          <w:trHeight w:val="227"/>
        </w:trPr>
        <w:tc>
          <w:tcPr>
            <w:tcW w:w="4950" w:type="dxa"/>
            <w:gridSpan w:val="6"/>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Укупан број радова са SCI (или SSCI) листе</w:t>
            </w:r>
          </w:p>
        </w:tc>
        <w:tc>
          <w:tcPr>
            <w:tcW w:w="4548" w:type="dxa"/>
            <w:gridSpan w:val="4"/>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26</w:t>
            </w:r>
          </w:p>
        </w:tc>
      </w:tr>
      <w:tr w:rsidR="00D215FA" w:rsidRPr="00A22864" w:rsidTr="00D215FA">
        <w:trPr>
          <w:trHeight w:val="227"/>
        </w:trPr>
        <w:tc>
          <w:tcPr>
            <w:tcW w:w="4950" w:type="dxa"/>
            <w:gridSpan w:val="6"/>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Тренутно учешће на пројектима</w:t>
            </w:r>
          </w:p>
        </w:tc>
        <w:tc>
          <w:tcPr>
            <w:tcW w:w="2383" w:type="dxa"/>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Домаћи 2</w:t>
            </w:r>
          </w:p>
        </w:tc>
        <w:tc>
          <w:tcPr>
            <w:tcW w:w="2165" w:type="dxa"/>
            <w:gridSpan w:val="3"/>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Међународни 1</w:t>
            </w:r>
          </w:p>
        </w:tc>
      </w:tr>
      <w:tr w:rsidR="00D215FA" w:rsidRPr="00A22864" w:rsidTr="00D215FA">
        <w:trPr>
          <w:trHeight w:val="227"/>
        </w:trPr>
        <w:tc>
          <w:tcPr>
            <w:tcW w:w="4950" w:type="dxa"/>
            <w:gridSpan w:val="6"/>
            <w:vAlign w:val="center"/>
          </w:tcPr>
          <w:p w:rsidR="00D215FA" w:rsidRPr="00D14824" w:rsidRDefault="00D215FA" w:rsidP="00D54AE5">
            <w:pPr>
              <w:tabs>
                <w:tab w:val="left" w:pos="567"/>
              </w:tabs>
              <w:spacing w:after="60"/>
              <w:rPr>
                <w:sz w:val="18"/>
                <w:szCs w:val="18"/>
                <w:lang w:val="sr-Cyrl-CS"/>
              </w:rPr>
            </w:pPr>
            <w:r w:rsidRPr="00D14824">
              <w:rPr>
                <w:sz w:val="18"/>
                <w:szCs w:val="18"/>
                <w:lang w:val="sr-Cyrl-CS"/>
              </w:rPr>
              <w:t xml:space="preserve">Усавршавања </w:t>
            </w:r>
          </w:p>
        </w:tc>
        <w:tc>
          <w:tcPr>
            <w:tcW w:w="4548" w:type="dxa"/>
            <w:gridSpan w:val="4"/>
            <w:vAlign w:val="center"/>
          </w:tcPr>
          <w:p w:rsidR="00D215FA" w:rsidRPr="00D14824" w:rsidRDefault="00D215FA" w:rsidP="00D54AE5">
            <w:pPr>
              <w:tabs>
                <w:tab w:val="left" w:pos="567"/>
              </w:tabs>
              <w:spacing w:after="60"/>
              <w:rPr>
                <w:sz w:val="18"/>
                <w:szCs w:val="18"/>
                <w:lang w:val="sr-Cyrl-CS"/>
              </w:rPr>
            </w:pPr>
          </w:p>
        </w:tc>
      </w:tr>
    </w:tbl>
    <w:p w:rsidR="00C54C61" w:rsidRDefault="00233269">
      <w:bookmarkStart w:id="0" w:name="_GoBack"/>
      <w:bookmarkEnd w:id="0"/>
    </w:p>
    <w:sectPr w:rsidR="00C54C61" w:rsidSect="0046459B">
      <w:pgSz w:w="11907" w:h="16840"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drawingGridHorizontalSpacing w:val="110"/>
  <w:displayHorizontalDrawingGridEvery w:val="2"/>
  <w:displayVerticalDrawingGridEvery w:val="2"/>
  <w:characterSpacingControl w:val="doNotCompress"/>
  <w:compat/>
  <w:rsids>
    <w:rsidRoot w:val="000727DD"/>
    <w:rsid w:val="000727DD"/>
    <w:rsid w:val="00110685"/>
    <w:rsid w:val="001C7FE2"/>
    <w:rsid w:val="00233269"/>
    <w:rsid w:val="002570BB"/>
    <w:rsid w:val="002C580A"/>
    <w:rsid w:val="00345B3E"/>
    <w:rsid w:val="0046459B"/>
    <w:rsid w:val="006B1990"/>
    <w:rsid w:val="006D4065"/>
    <w:rsid w:val="006F63D7"/>
    <w:rsid w:val="00853B24"/>
    <w:rsid w:val="00901565"/>
    <w:rsid w:val="00981568"/>
    <w:rsid w:val="00AB7F95"/>
    <w:rsid w:val="00BB6224"/>
    <w:rsid w:val="00C02819"/>
    <w:rsid w:val="00C125CF"/>
    <w:rsid w:val="00D14824"/>
    <w:rsid w:val="00D215FA"/>
    <w:rsid w:val="00D31D45"/>
    <w:rsid w:val="00D45BED"/>
    <w:rsid w:val="00EC2E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7DD"/>
    <w:pPr>
      <w:widowControl w:val="0"/>
      <w:autoSpaceDE w:val="0"/>
      <w:autoSpaceDN w:val="0"/>
      <w:adjustRightInd w:val="0"/>
      <w:spacing w:after="0" w:line="240" w:lineRule="auto"/>
    </w:pPr>
    <w:rPr>
      <w:rFonts w:eastAsia="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jrnl">
    <w:name w:val="jrnl"/>
    <w:rsid w:val="00D215FA"/>
  </w:style>
  <w:style w:type="character" w:styleId="Hyperlink">
    <w:name w:val="Hyperlink"/>
    <w:uiPriority w:val="99"/>
    <w:rsid w:val="00D215FA"/>
    <w:rPr>
      <w:color w:val="0000FF"/>
      <w:u w:val="single"/>
    </w:rPr>
  </w:style>
  <w:style w:type="character" w:customStyle="1" w:styleId="apple-converted-space">
    <w:name w:val="apple-converted-space"/>
    <w:rsid w:val="00D215F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7DD"/>
    <w:pPr>
      <w:widowControl w:val="0"/>
      <w:autoSpaceDE w:val="0"/>
      <w:autoSpaceDN w:val="0"/>
      <w:adjustRightInd w:val="0"/>
      <w:spacing w:after="0" w:line="240" w:lineRule="auto"/>
    </w:pPr>
    <w:rPr>
      <w:rFonts w:eastAsia="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jrnl">
    <w:name w:val="jrnl"/>
    <w:rsid w:val="00D215FA"/>
  </w:style>
  <w:style w:type="character" w:styleId="Hyperlink">
    <w:name w:val="Hyperlink"/>
    <w:uiPriority w:val="99"/>
    <w:rsid w:val="00D215FA"/>
    <w:rPr>
      <w:color w:val="0000FF"/>
      <w:u w:val="single"/>
    </w:rPr>
  </w:style>
  <w:style w:type="character" w:customStyle="1" w:styleId="apple-converted-space">
    <w:name w:val="apple-converted-space"/>
    <w:rsid w:val="00D215FA"/>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626</Words>
  <Characters>3569</Characters>
  <Application>Microsoft Office Word</Application>
  <DocSecurity>0</DocSecurity>
  <Lines>29</Lines>
  <Paragraphs>8</Paragraphs>
  <ScaleCrop>false</ScaleCrop>
  <Company>dh</Company>
  <LinksUpToDate>false</LinksUpToDate>
  <CharactersWithSpaces>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suzana</dc:creator>
  <cp:keywords/>
  <dc:description/>
  <cp:lastModifiedBy>suzana</cp:lastModifiedBy>
  <cp:revision>3</cp:revision>
  <dcterms:created xsi:type="dcterms:W3CDTF">2017-06-15T10:27:00Z</dcterms:created>
  <dcterms:modified xsi:type="dcterms:W3CDTF">2017-07-03T12:42:00Z</dcterms:modified>
</cp:coreProperties>
</file>