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513"/>
        <w:gridCol w:w="648"/>
        <w:gridCol w:w="10"/>
        <w:gridCol w:w="1761"/>
        <w:gridCol w:w="948"/>
        <w:gridCol w:w="1110"/>
        <w:gridCol w:w="24"/>
        <w:gridCol w:w="1131"/>
        <w:gridCol w:w="1655"/>
        <w:gridCol w:w="636"/>
      </w:tblGrid>
      <w:tr w:rsidR="00294440" w:rsidRPr="00C2517C" w:rsidTr="005C63F8">
        <w:trPr>
          <w:trHeight w:val="227"/>
          <w:jc w:val="center"/>
        </w:trPr>
        <w:tc>
          <w:tcPr>
            <w:tcW w:w="2701" w:type="dxa"/>
            <w:gridSpan w:val="3"/>
            <w:vAlign w:val="center"/>
          </w:tcPr>
          <w:p w:rsidR="00294440" w:rsidRPr="00C2517C" w:rsidRDefault="00294440" w:rsidP="00E917D5">
            <w:pPr>
              <w:rPr>
                <w:sz w:val="22"/>
                <w:szCs w:val="22"/>
                <w:lang w:val="en-US"/>
              </w:rPr>
            </w:pPr>
            <w:r w:rsidRPr="00C2517C">
              <w:rPr>
                <w:b/>
                <w:sz w:val="22"/>
                <w:szCs w:val="22"/>
                <w:lang w:val="en-US"/>
              </w:rPr>
              <w:t>Name and family name</w:t>
            </w:r>
          </w:p>
        </w:tc>
        <w:tc>
          <w:tcPr>
            <w:tcW w:w="7275" w:type="dxa"/>
            <w:gridSpan w:val="8"/>
          </w:tcPr>
          <w:p w:rsidR="00294440" w:rsidRPr="005C63F8" w:rsidRDefault="00294440" w:rsidP="003256FD">
            <w:pPr>
              <w:pStyle w:val="Heading1"/>
              <w:rPr>
                <w:b w:val="0"/>
                <w:sz w:val="20"/>
                <w:szCs w:val="20"/>
                <w:lang w:val="en-US"/>
              </w:rPr>
            </w:pPr>
            <w:r w:rsidRPr="005C63F8">
              <w:rPr>
                <w:b w:val="0"/>
                <w:sz w:val="20"/>
                <w:szCs w:val="20"/>
                <w:lang w:val="sr-Latn-CS"/>
              </w:rPr>
              <w:t>Sonja Kaišarević</w:t>
            </w:r>
          </w:p>
        </w:tc>
      </w:tr>
      <w:tr w:rsidR="00294440" w:rsidRPr="00C2517C" w:rsidTr="005C63F8">
        <w:trPr>
          <w:trHeight w:val="227"/>
          <w:jc w:val="center"/>
        </w:trPr>
        <w:tc>
          <w:tcPr>
            <w:tcW w:w="2701" w:type="dxa"/>
            <w:gridSpan w:val="3"/>
            <w:vAlign w:val="center"/>
          </w:tcPr>
          <w:p w:rsidR="00294440" w:rsidRPr="00C2517C" w:rsidRDefault="00294440" w:rsidP="00E917D5">
            <w:pPr>
              <w:rPr>
                <w:sz w:val="22"/>
                <w:szCs w:val="22"/>
                <w:lang w:val="en-US"/>
              </w:rPr>
            </w:pPr>
            <w:r w:rsidRPr="00C2517C">
              <w:rPr>
                <w:b/>
                <w:sz w:val="22"/>
                <w:szCs w:val="22"/>
                <w:lang w:val="en-US"/>
              </w:rPr>
              <w:t xml:space="preserve">Title </w:t>
            </w:r>
          </w:p>
        </w:tc>
        <w:tc>
          <w:tcPr>
            <w:tcW w:w="7275" w:type="dxa"/>
            <w:gridSpan w:val="8"/>
          </w:tcPr>
          <w:p w:rsidR="00294440" w:rsidRPr="006A4D9A" w:rsidRDefault="00294440" w:rsidP="003256FD">
            <w:r w:rsidRPr="006A4D9A">
              <w:t>Associate professor</w:t>
            </w:r>
          </w:p>
        </w:tc>
      </w:tr>
      <w:tr w:rsidR="00294440" w:rsidRPr="00C2517C" w:rsidTr="005C63F8">
        <w:trPr>
          <w:trHeight w:val="227"/>
          <w:jc w:val="center"/>
        </w:trPr>
        <w:tc>
          <w:tcPr>
            <w:tcW w:w="2701" w:type="dxa"/>
            <w:gridSpan w:val="3"/>
            <w:vAlign w:val="center"/>
          </w:tcPr>
          <w:p w:rsidR="00294440" w:rsidRPr="00C2517C" w:rsidRDefault="00294440" w:rsidP="00E917D5">
            <w:pPr>
              <w:rPr>
                <w:sz w:val="22"/>
                <w:szCs w:val="22"/>
                <w:lang w:val="en-US"/>
              </w:rPr>
            </w:pPr>
            <w:r w:rsidRPr="00C2517C">
              <w:rPr>
                <w:b/>
                <w:sz w:val="22"/>
                <w:szCs w:val="22"/>
                <w:lang w:val="en-US"/>
              </w:rPr>
              <w:t>Narrow scientific area</w:t>
            </w:r>
          </w:p>
        </w:tc>
        <w:tc>
          <w:tcPr>
            <w:tcW w:w="7275" w:type="dxa"/>
            <w:gridSpan w:val="8"/>
          </w:tcPr>
          <w:p w:rsidR="00294440" w:rsidRPr="006A4D9A" w:rsidRDefault="00294440" w:rsidP="003256FD">
            <w:r w:rsidRPr="006A4D9A">
              <w:t>Animal physiology</w:t>
            </w:r>
          </w:p>
        </w:tc>
      </w:tr>
      <w:tr w:rsidR="005C63F8" w:rsidRPr="00C2517C" w:rsidTr="005C63F8">
        <w:trPr>
          <w:trHeight w:val="227"/>
          <w:jc w:val="center"/>
        </w:trPr>
        <w:tc>
          <w:tcPr>
            <w:tcW w:w="2053" w:type="dxa"/>
            <w:gridSpan w:val="2"/>
            <w:vAlign w:val="center"/>
          </w:tcPr>
          <w:p w:rsidR="005C63F8" w:rsidRPr="00294440" w:rsidRDefault="005C63F8" w:rsidP="00E917D5">
            <w:pPr>
              <w:rPr>
                <w:lang w:val="en-US"/>
              </w:rPr>
            </w:pPr>
            <w:r w:rsidRPr="00294440">
              <w:rPr>
                <w:b/>
                <w:lang w:val="en-US"/>
              </w:rPr>
              <w:t>Academic career</w:t>
            </w:r>
          </w:p>
        </w:tc>
        <w:tc>
          <w:tcPr>
            <w:tcW w:w="648" w:type="dxa"/>
            <w:vAlign w:val="center"/>
          </w:tcPr>
          <w:p w:rsidR="005C63F8" w:rsidRPr="00294440" w:rsidRDefault="005C63F8" w:rsidP="00E917D5">
            <w:pPr>
              <w:rPr>
                <w:lang w:val="en-US"/>
              </w:rPr>
            </w:pPr>
            <w:r w:rsidRPr="00294440">
              <w:rPr>
                <w:lang w:val="en-US"/>
              </w:rPr>
              <w:t xml:space="preserve">Year  </w:t>
            </w:r>
          </w:p>
        </w:tc>
        <w:tc>
          <w:tcPr>
            <w:tcW w:w="3829" w:type="dxa"/>
            <w:gridSpan w:val="4"/>
            <w:vAlign w:val="center"/>
          </w:tcPr>
          <w:p w:rsidR="005C63F8" w:rsidRPr="00294440" w:rsidRDefault="005C63F8" w:rsidP="00E917D5">
            <w:pPr>
              <w:rPr>
                <w:lang w:val="en-US"/>
              </w:rPr>
            </w:pPr>
            <w:r w:rsidRPr="00294440">
              <w:rPr>
                <w:lang w:val="en-US"/>
              </w:rPr>
              <w:t>Institution</w:t>
            </w:r>
          </w:p>
        </w:tc>
        <w:tc>
          <w:tcPr>
            <w:tcW w:w="3446" w:type="dxa"/>
            <w:gridSpan w:val="4"/>
            <w:vAlign w:val="center"/>
          </w:tcPr>
          <w:p w:rsidR="005C63F8" w:rsidRPr="00294440" w:rsidRDefault="005C63F8" w:rsidP="0095547F">
            <w:pPr>
              <w:rPr>
                <w:lang w:val="en-US"/>
              </w:rPr>
            </w:pPr>
            <w:r w:rsidRPr="00294440">
              <w:rPr>
                <w:rStyle w:val="tlid-translation"/>
              </w:rPr>
              <w:t>Narrow scientific field</w:t>
            </w:r>
            <w:r w:rsidRPr="00294440">
              <w:t xml:space="preserve"> </w:t>
            </w:r>
            <w:r w:rsidRPr="00294440">
              <w:rPr>
                <w:rStyle w:val="tlid-translation"/>
              </w:rPr>
              <w:t>or art field</w:t>
            </w:r>
          </w:p>
        </w:tc>
      </w:tr>
      <w:tr w:rsidR="005C63F8" w:rsidRPr="00C2517C" w:rsidTr="00060B37">
        <w:trPr>
          <w:trHeight w:val="227"/>
          <w:jc w:val="center"/>
        </w:trPr>
        <w:tc>
          <w:tcPr>
            <w:tcW w:w="2053" w:type="dxa"/>
            <w:gridSpan w:val="2"/>
            <w:vAlign w:val="center"/>
          </w:tcPr>
          <w:p w:rsidR="005C63F8" w:rsidRPr="00C2517C" w:rsidRDefault="005C63F8" w:rsidP="00E917D5">
            <w:pPr>
              <w:rPr>
                <w:sz w:val="22"/>
                <w:szCs w:val="22"/>
                <w:lang w:val="en-US"/>
              </w:rPr>
            </w:pPr>
            <w:r w:rsidRPr="00C2517C">
              <w:rPr>
                <w:sz w:val="22"/>
                <w:szCs w:val="22"/>
                <w:lang w:val="en-US"/>
              </w:rPr>
              <w:t>Election to the title</w:t>
            </w:r>
          </w:p>
        </w:tc>
        <w:tc>
          <w:tcPr>
            <w:tcW w:w="658" w:type="dxa"/>
            <w:gridSpan w:val="2"/>
            <w:vAlign w:val="center"/>
          </w:tcPr>
          <w:p w:rsidR="005C63F8" w:rsidRPr="006A4D9A" w:rsidRDefault="005C63F8" w:rsidP="003256FD">
            <w:pPr>
              <w:rPr>
                <w:lang w:val="en-US"/>
              </w:rPr>
            </w:pPr>
            <w:r w:rsidRPr="006A4D9A">
              <w:rPr>
                <w:lang w:val="en-US"/>
              </w:rPr>
              <w:t>2017</w:t>
            </w:r>
          </w:p>
        </w:tc>
        <w:tc>
          <w:tcPr>
            <w:tcW w:w="3819" w:type="dxa"/>
            <w:gridSpan w:val="3"/>
            <w:vAlign w:val="center"/>
          </w:tcPr>
          <w:p w:rsidR="005C63F8" w:rsidRPr="006A4D9A" w:rsidRDefault="005C63F8" w:rsidP="003256FD">
            <w:r w:rsidRPr="006A4D9A">
              <w:t>Faculty of Sciences, University of Novi Sad</w:t>
            </w:r>
          </w:p>
        </w:tc>
        <w:tc>
          <w:tcPr>
            <w:tcW w:w="3446" w:type="dxa"/>
            <w:gridSpan w:val="4"/>
            <w:vAlign w:val="center"/>
          </w:tcPr>
          <w:p w:rsidR="005C63F8" w:rsidRPr="006A4D9A" w:rsidRDefault="005C63F8" w:rsidP="003256FD">
            <w:r w:rsidRPr="006A4D9A">
              <w:t>Animal physiology</w:t>
            </w:r>
          </w:p>
        </w:tc>
      </w:tr>
      <w:tr w:rsidR="005C63F8" w:rsidRPr="00C2517C" w:rsidTr="002D2B7E">
        <w:trPr>
          <w:trHeight w:val="227"/>
          <w:jc w:val="center"/>
        </w:trPr>
        <w:tc>
          <w:tcPr>
            <w:tcW w:w="2053" w:type="dxa"/>
            <w:gridSpan w:val="2"/>
            <w:vAlign w:val="center"/>
          </w:tcPr>
          <w:p w:rsidR="005C63F8" w:rsidRPr="00C2517C" w:rsidRDefault="005C63F8" w:rsidP="00E917D5">
            <w:pPr>
              <w:rPr>
                <w:sz w:val="22"/>
                <w:szCs w:val="22"/>
                <w:lang w:val="en-US"/>
              </w:rPr>
            </w:pPr>
            <w:r w:rsidRPr="00C2517C">
              <w:rPr>
                <w:sz w:val="22"/>
                <w:szCs w:val="22"/>
                <w:lang w:val="en-US"/>
              </w:rPr>
              <w:t>PhD</w:t>
            </w:r>
          </w:p>
        </w:tc>
        <w:tc>
          <w:tcPr>
            <w:tcW w:w="658" w:type="dxa"/>
            <w:gridSpan w:val="2"/>
            <w:vAlign w:val="center"/>
          </w:tcPr>
          <w:p w:rsidR="005C63F8" w:rsidRPr="006A4D9A" w:rsidRDefault="005C63F8" w:rsidP="003256FD">
            <w:r w:rsidRPr="006A4D9A">
              <w:t>2011</w:t>
            </w:r>
          </w:p>
        </w:tc>
        <w:tc>
          <w:tcPr>
            <w:tcW w:w="3819" w:type="dxa"/>
            <w:gridSpan w:val="3"/>
            <w:vAlign w:val="center"/>
          </w:tcPr>
          <w:p w:rsidR="005C63F8" w:rsidRPr="006A4D9A" w:rsidRDefault="005C63F8" w:rsidP="003256FD">
            <w:pPr>
              <w:rPr>
                <w:lang w:val="sr-Cyrl-CS"/>
              </w:rPr>
            </w:pPr>
            <w:r w:rsidRPr="006A4D9A">
              <w:t>Faculty of Sciences, University of Novi Sad</w:t>
            </w:r>
          </w:p>
        </w:tc>
        <w:tc>
          <w:tcPr>
            <w:tcW w:w="3446" w:type="dxa"/>
            <w:gridSpan w:val="4"/>
            <w:vAlign w:val="center"/>
          </w:tcPr>
          <w:p w:rsidR="005C63F8" w:rsidRPr="006A4D9A" w:rsidRDefault="005C63F8" w:rsidP="003256FD">
            <w:r w:rsidRPr="006A4D9A">
              <w:t>Animal physiology</w:t>
            </w:r>
          </w:p>
        </w:tc>
      </w:tr>
      <w:tr w:rsidR="005C63F8" w:rsidRPr="00C2517C" w:rsidTr="00113324">
        <w:trPr>
          <w:trHeight w:val="227"/>
          <w:jc w:val="center"/>
        </w:trPr>
        <w:tc>
          <w:tcPr>
            <w:tcW w:w="2053" w:type="dxa"/>
            <w:gridSpan w:val="2"/>
            <w:vAlign w:val="center"/>
          </w:tcPr>
          <w:p w:rsidR="005C63F8" w:rsidRPr="00C2517C" w:rsidRDefault="005C63F8" w:rsidP="00E917D5">
            <w:pPr>
              <w:rPr>
                <w:sz w:val="22"/>
                <w:szCs w:val="22"/>
                <w:lang w:val="en-US"/>
              </w:rPr>
            </w:pPr>
            <w:r w:rsidRPr="00C2517C">
              <w:rPr>
                <w:sz w:val="22"/>
                <w:szCs w:val="22"/>
                <w:lang w:val="en-US"/>
              </w:rPr>
              <w:t>Master degree</w:t>
            </w:r>
          </w:p>
        </w:tc>
        <w:tc>
          <w:tcPr>
            <w:tcW w:w="658" w:type="dxa"/>
            <w:gridSpan w:val="2"/>
            <w:vAlign w:val="center"/>
          </w:tcPr>
          <w:p w:rsidR="005C63F8" w:rsidRPr="006A4D9A" w:rsidRDefault="005C63F8" w:rsidP="003256FD">
            <w:r w:rsidRPr="006A4D9A">
              <w:t>2006</w:t>
            </w:r>
          </w:p>
        </w:tc>
        <w:tc>
          <w:tcPr>
            <w:tcW w:w="3819" w:type="dxa"/>
            <w:gridSpan w:val="3"/>
            <w:vAlign w:val="center"/>
          </w:tcPr>
          <w:p w:rsidR="005C63F8" w:rsidRPr="006A4D9A" w:rsidRDefault="005C63F8" w:rsidP="003256FD">
            <w:r w:rsidRPr="006A4D9A">
              <w:t>Faculty of Biology, University of Belgrade</w:t>
            </w:r>
          </w:p>
        </w:tc>
        <w:tc>
          <w:tcPr>
            <w:tcW w:w="3446" w:type="dxa"/>
            <w:gridSpan w:val="4"/>
            <w:vAlign w:val="center"/>
          </w:tcPr>
          <w:p w:rsidR="005C63F8" w:rsidRPr="006A4D9A" w:rsidRDefault="005C63F8" w:rsidP="003256FD">
            <w:r w:rsidRPr="006A4D9A">
              <w:t>Animal physiology</w:t>
            </w:r>
          </w:p>
        </w:tc>
      </w:tr>
      <w:tr w:rsidR="005C63F8" w:rsidRPr="00C2517C" w:rsidTr="00971BB2">
        <w:trPr>
          <w:trHeight w:val="227"/>
          <w:jc w:val="center"/>
        </w:trPr>
        <w:tc>
          <w:tcPr>
            <w:tcW w:w="2053" w:type="dxa"/>
            <w:gridSpan w:val="2"/>
            <w:vAlign w:val="center"/>
          </w:tcPr>
          <w:p w:rsidR="005C63F8" w:rsidRPr="00C2517C" w:rsidRDefault="005C63F8" w:rsidP="00E917D5">
            <w:pPr>
              <w:rPr>
                <w:sz w:val="22"/>
                <w:szCs w:val="22"/>
                <w:lang w:val="en-US"/>
              </w:rPr>
            </w:pPr>
            <w:r w:rsidRPr="00C2517C">
              <w:rPr>
                <w:sz w:val="22"/>
                <w:szCs w:val="22"/>
                <w:lang w:val="en-US"/>
              </w:rPr>
              <w:t xml:space="preserve">Diploma </w:t>
            </w:r>
          </w:p>
        </w:tc>
        <w:tc>
          <w:tcPr>
            <w:tcW w:w="658" w:type="dxa"/>
            <w:gridSpan w:val="2"/>
            <w:vAlign w:val="center"/>
          </w:tcPr>
          <w:p w:rsidR="005C63F8" w:rsidRPr="006A4D9A" w:rsidRDefault="005C63F8" w:rsidP="003256FD">
            <w:r w:rsidRPr="006A4D9A">
              <w:t>2001</w:t>
            </w:r>
          </w:p>
        </w:tc>
        <w:tc>
          <w:tcPr>
            <w:tcW w:w="3819" w:type="dxa"/>
            <w:gridSpan w:val="3"/>
            <w:vAlign w:val="center"/>
          </w:tcPr>
          <w:p w:rsidR="005C63F8" w:rsidRPr="006A4D9A" w:rsidRDefault="005C63F8" w:rsidP="003256FD">
            <w:pPr>
              <w:rPr>
                <w:lang w:val="sr-Cyrl-CS"/>
              </w:rPr>
            </w:pPr>
            <w:r w:rsidRPr="006A4D9A">
              <w:t>Faculty of Sciences, University of Novi Sad</w:t>
            </w:r>
          </w:p>
        </w:tc>
        <w:tc>
          <w:tcPr>
            <w:tcW w:w="3446" w:type="dxa"/>
            <w:gridSpan w:val="4"/>
            <w:vAlign w:val="center"/>
          </w:tcPr>
          <w:p w:rsidR="005C63F8" w:rsidRPr="006A4D9A" w:rsidRDefault="005C63F8" w:rsidP="003256FD">
            <w:pPr>
              <w:rPr>
                <w:lang w:val="en-US"/>
              </w:rPr>
            </w:pPr>
            <w:r w:rsidRPr="006A4D9A">
              <w:rPr>
                <w:lang w:val="en-US"/>
              </w:rPr>
              <w:t>Biochemistry</w:t>
            </w:r>
          </w:p>
        </w:tc>
      </w:tr>
      <w:tr w:rsidR="00294440" w:rsidRPr="00C2517C" w:rsidTr="00294440">
        <w:trPr>
          <w:trHeight w:val="227"/>
          <w:jc w:val="center"/>
        </w:trPr>
        <w:tc>
          <w:tcPr>
            <w:tcW w:w="9976" w:type="dxa"/>
            <w:gridSpan w:val="11"/>
            <w:vAlign w:val="center"/>
          </w:tcPr>
          <w:p w:rsidR="00294440" w:rsidRPr="00294440" w:rsidRDefault="00294440" w:rsidP="00E917D5">
            <w:pPr>
              <w:spacing w:after="60"/>
              <w:rPr>
                <w:lang w:val="en-US"/>
              </w:rPr>
            </w:pPr>
            <w:r w:rsidRPr="00294440">
              <w:rPr>
                <w:b/>
                <w:lang w:val="en-US"/>
              </w:rPr>
              <w:t xml:space="preserve">A list of dissertations-doctoral art projects in which the teacher is or was a mentor in the past 10 years </w:t>
            </w:r>
          </w:p>
        </w:tc>
      </w:tr>
      <w:tr w:rsidR="00294440" w:rsidRPr="00C2517C" w:rsidTr="005C63F8">
        <w:trPr>
          <w:trHeight w:hRule="exact" w:val="284"/>
          <w:jc w:val="center"/>
        </w:trPr>
        <w:tc>
          <w:tcPr>
            <w:tcW w:w="540" w:type="dxa"/>
            <w:vAlign w:val="center"/>
          </w:tcPr>
          <w:p w:rsidR="00294440" w:rsidRPr="00C2517C" w:rsidRDefault="00294440" w:rsidP="00E917D5">
            <w:pPr>
              <w:spacing w:after="60"/>
              <w:rPr>
                <w:sz w:val="22"/>
                <w:szCs w:val="22"/>
                <w:lang w:val="en-US"/>
              </w:rPr>
            </w:pPr>
            <w:r w:rsidRPr="00C2517C">
              <w:rPr>
                <w:sz w:val="22"/>
                <w:szCs w:val="22"/>
                <w:lang w:val="en-US"/>
              </w:rPr>
              <w:t>No.</w:t>
            </w:r>
          </w:p>
        </w:tc>
        <w:tc>
          <w:tcPr>
            <w:tcW w:w="3932" w:type="dxa"/>
            <w:gridSpan w:val="4"/>
            <w:vAlign w:val="center"/>
          </w:tcPr>
          <w:p w:rsidR="00294440" w:rsidRPr="00294440" w:rsidRDefault="00294440" w:rsidP="00E917D5">
            <w:pPr>
              <w:spacing w:after="60"/>
              <w:rPr>
                <w:lang w:val="en-US"/>
              </w:rPr>
            </w:pPr>
            <w:r w:rsidRPr="00294440">
              <w:rPr>
                <w:lang w:val="en-US"/>
              </w:rPr>
              <w:t>Title of the dissertation – doctoral art project</w:t>
            </w:r>
          </w:p>
        </w:tc>
        <w:tc>
          <w:tcPr>
            <w:tcW w:w="2058" w:type="dxa"/>
            <w:gridSpan w:val="2"/>
            <w:vAlign w:val="center"/>
          </w:tcPr>
          <w:p w:rsidR="00294440" w:rsidRPr="00294440" w:rsidRDefault="00294440" w:rsidP="00E917D5">
            <w:pPr>
              <w:spacing w:after="60"/>
              <w:rPr>
                <w:lang w:val="en-US"/>
              </w:rPr>
            </w:pPr>
            <w:r w:rsidRPr="00294440">
              <w:rPr>
                <w:lang w:val="en-US"/>
              </w:rPr>
              <w:t xml:space="preserve">Name of the candidate </w:t>
            </w:r>
          </w:p>
        </w:tc>
        <w:tc>
          <w:tcPr>
            <w:tcW w:w="1155" w:type="dxa"/>
            <w:gridSpan w:val="2"/>
            <w:vAlign w:val="center"/>
          </w:tcPr>
          <w:p w:rsidR="00294440" w:rsidRPr="00294440" w:rsidRDefault="00294440" w:rsidP="00E917D5">
            <w:pPr>
              <w:spacing w:after="60"/>
              <w:rPr>
                <w:lang w:val="en-US"/>
              </w:rPr>
            </w:pPr>
            <w:r w:rsidRPr="00294440">
              <w:rPr>
                <w:lang w:val="en-US"/>
              </w:rPr>
              <w:t xml:space="preserve">*submitted </w:t>
            </w:r>
          </w:p>
        </w:tc>
        <w:tc>
          <w:tcPr>
            <w:tcW w:w="2291" w:type="dxa"/>
            <w:gridSpan w:val="2"/>
            <w:vAlign w:val="center"/>
          </w:tcPr>
          <w:p w:rsidR="00294440" w:rsidRPr="00294440" w:rsidRDefault="00294440" w:rsidP="00E917D5">
            <w:pPr>
              <w:spacing w:after="60"/>
              <w:rPr>
                <w:lang w:val="en-US"/>
              </w:rPr>
            </w:pPr>
            <w:r w:rsidRPr="00294440">
              <w:rPr>
                <w:lang w:val="en-US"/>
              </w:rPr>
              <w:t>** defended</w:t>
            </w:r>
          </w:p>
        </w:tc>
      </w:tr>
      <w:tr w:rsidR="00294440" w:rsidRPr="00C2517C" w:rsidTr="005C63F8">
        <w:trPr>
          <w:trHeight w:hRule="exact" w:val="284"/>
          <w:jc w:val="center"/>
        </w:trPr>
        <w:tc>
          <w:tcPr>
            <w:tcW w:w="540" w:type="dxa"/>
            <w:vAlign w:val="center"/>
          </w:tcPr>
          <w:p w:rsidR="00294440" w:rsidRPr="00C2517C" w:rsidRDefault="00294440" w:rsidP="00E917D5">
            <w:pPr>
              <w:spacing w:after="60"/>
              <w:rPr>
                <w:sz w:val="22"/>
                <w:szCs w:val="22"/>
                <w:lang w:val="en-US"/>
              </w:rPr>
            </w:pPr>
          </w:p>
        </w:tc>
        <w:tc>
          <w:tcPr>
            <w:tcW w:w="3932" w:type="dxa"/>
            <w:gridSpan w:val="4"/>
            <w:vAlign w:val="center"/>
          </w:tcPr>
          <w:p w:rsidR="00294440" w:rsidRPr="00294440" w:rsidRDefault="00294440" w:rsidP="00E917D5">
            <w:pPr>
              <w:spacing w:after="60"/>
              <w:rPr>
                <w:lang w:val="en-US"/>
              </w:rPr>
            </w:pPr>
          </w:p>
        </w:tc>
        <w:tc>
          <w:tcPr>
            <w:tcW w:w="2058" w:type="dxa"/>
            <w:gridSpan w:val="2"/>
            <w:vAlign w:val="center"/>
          </w:tcPr>
          <w:p w:rsidR="00294440" w:rsidRPr="00294440" w:rsidRDefault="00294440" w:rsidP="00E917D5">
            <w:pPr>
              <w:spacing w:after="60"/>
              <w:rPr>
                <w:lang w:val="en-US"/>
              </w:rPr>
            </w:pPr>
          </w:p>
        </w:tc>
        <w:tc>
          <w:tcPr>
            <w:tcW w:w="1155" w:type="dxa"/>
            <w:gridSpan w:val="2"/>
            <w:vAlign w:val="center"/>
          </w:tcPr>
          <w:p w:rsidR="00294440" w:rsidRPr="00294440" w:rsidRDefault="00294440" w:rsidP="00E917D5">
            <w:pPr>
              <w:spacing w:after="60"/>
              <w:rPr>
                <w:lang w:val="en-US"/>
              </w:rPr>
            </w:pPr>
          </w:p>
        </w:tc>
        <w:tc>
          <w:tcPr>
            <w:tcW w:w="2291" w:type="dxa"/>
            <w:gridSpan w:val="2"/>
            <w:vAlign w:val="center"/>
          </w:tcPr>
          <w:p w:rsidR="00294440" w:rsidRPr="00294440" w:rsidRDefault="00294440" w:rsidP="00E917D5">
            <w:pPr>
              <w:spacing w:after="60"/>
              <w:rPr>
                <w:lang w:val="en-US"/>
              </w:rPr>
            </w:pPr>
          </w:p>
        </w:tc>
      </w:tr>
      <w:tr w:rsidR="00294440" w:rsidRPr="00C2517C" w:rsidTr="00294440">
        <w:trPr>
          <w:trHeight w:val="227"/>
          <w:jc w:val="center"/>
        </w:trPr>
        <w:tc>
          <w:tcPr>
            <w:tcW w:w="9976" w:type="dxa"/>
            <w:gridSpan w:val="11"/>
            <w:vAlign w:val="center"/>
          </w:tcPr>
          <w:p w:rsidR="00294440" w:rsidRPr="00294440" w:rsidRDefault="00294440" w:rsidP="00294440">
            <w:pPr>
              <w:spacing w:after="60"/>
              <w:rPr>
                <w:b/>
                <w:lang w:val="en-US"/>
              </w:rPr>
            </w:pPr>
            <w:r w:rsidRPr="00294440">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1.</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sz w:val="18"/>
                <w:szCs w:val="18"/>
                <w:u w:val="single"/>
              </w:rPr>
              <w:t>Kaisarevic S.</w:t>
            </w:r>
            <w:r w:rsidRPr="00102CE2">
              <w:rPr>
                <w:sz w:val="18"/>
                <w:szCs w:val="18"/>
              </w:rPr>
              <w:t xml:space="preserve">, Tenji D., Mihajlovic V., Micic B., Francija E., Periz-Stanacev J., Krnic Skiljo B., Brkic D., Teodorovic I. (2019) Comparative analyses of cellular physiological responses of non-target species to cypermethrin and its formulated product: Contribution to mode of action research. </w:t>
            </w:r>
            <w:r w:rsidRPr="00102CE2">
              <w:rPr>
                <w:i/>
                <w:sz w:val="18"/>
                <w:szCs w:val="18"/>
              </w:rPr>
              <w:t>Environmental Toxicology and Pharmacology</w:t>
            </w:r>
            <w:r w:rsidRPr="00102CE2">
              <w:rPr>
                <w:sz w:val="18"/>
                <w:szCs w:val="18"/>
              </w:rPr>
              <w:t xml:space="preserve"> 65, 31-39.</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М22</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2.</w:t>
            </w:r>
          </w:p>
        </w:tc>
        <w:tc>
          <w:tcPr>
            <w:tcW w:w="8800" w:type="dxa"/>
            <w:gridSpan w:val="9"/>
            <w:vAlign w:val="center"/>
          </w:tcPr>
          <w:p w:rsidR="00294440" w:rsidRPr="00102CE2" w:rsidRDefault="00294440" w:rsidP="00942994">
            <w:pPr>
              <w:tabs>
                <w:tab w:val="left" w:pos="567"/>
              </w:tabs>
              <w:rPr>
                <w:sz w:val="18"/>
                <w:szCs w:val="18"/>
                <w:u w:val="single"/>
              </w:rPr>
            </w:pPr>
            <w:r w:rsidRPr="00102CE2">
              <w:rPr>
                <w:sz w:val="18"/>
                <w:szCs w:val="18"/>
              </w:rPr>
              <w:t xml:space="preserve">Pejin B., Tesanovic K., Jakovljevic D., </w:t>
            </w:r>
            <w:r w:rsidRPr="00102CE2">
              <w:rPr>
                <w:sz w:val="18"/>
                <w:szCs w:val="18"/>
                <w:u w:val="single"/>
              </w:rPr>
              <w:t>Kaisarevic S.</w:t>
            </w:r>
            <w:r w:rsidRPr="00102CE2">
              <w:rPr>
                <w:sz w:val="18"/>
                <w:szCs w:val="18"/>
              </w:rPr>
              <w:t xml:space="preserve">, Sibul F., Raseta M., Karaman M. (2019) </w:t>
            </w:r>
            <w:r w:rsidRPr="00102CE2">
              <w:rPr>
                <w:rStyle w:val="nlmarticle-title"/>
                <w:sz w:val="18"/>
                <w:szCs w:val="18"/>
              </w:rPr>
              <w:t xml:space="preserve">The polysaccharide extracts from the fungi </w:t>
            </w:r>
            <w:r w:rsidRPr="00102CE2">
              <w:rPr>
                <w:rStyle w:val="nlmarticle-title"/>
                <w:i/>
                <w:iCs/>
                <w:sz w:val="18"/>
                <w:szCs w:val="18"/>
              </w:rPr>
              <w:t>Coprinus comatus</w:t>
            </w:r>
            <w:r w:rsidRPr="00102CE2">
              <w:rPr>
                <w:rStyle w:val="nlmarticle-title"/>
                <w:sz w:val="18"/>
                <w:szCs w:val="18"/>
              </w:rPr>
              <w:t xml:space="preserve"> and </w:t>
            </w:r>
            <w:r w:rsidRPr="00102CE2">
              <w:rPr>
                <w:rStyle w:val="nlmarticle-title"/>
                <w:i/>
                <w:iCs/>
                <w:sz w:val="18"/>
                <w:szCs w:val="18"/>
              </w:rPr>
              <w:t>Coprinellus truncorum</w:t>
            </w:r>
            <w:r w:rsidRPr="00102CE2">
              <w:rPr>
                <w:rStyle w:val="nlmarticle-title"/>
                <w:sz w:val="18"/>
                <w:szCs w:val="18"/>
              </w:rPr>
              <w:t xml:space="preserve"> do exhibit AChE inhibitory activity. </w:t>
            </w:r>
            <w:r w:rsidRPr="00102CE2">
              <w:rPr>
                <w:i/>
                <w:sz w:val="18"/>
                <w:szCs w:val="18"/>
              </w:rPr>
              <w:t xml:space="preserve">Natural Product Research </w:t>
            </w:r>
            <w:r w:rsidRPr="00102CE2">
              <w:rPr>
                <w:sz w:val="18"/>
                <w:szCs w:val="18"/>
                <w:shd w:val="clear" w:color="auto" w:fill="FFFFFF"/>
              </w:rPr>
              <w:t>33, 750-754</w:t>
            </w:r>
            <w:r w:rsidRPr="00102CE2">
              <w:rPr>
                <w:sz w:val="18"/>
                <w:szCs w:val="18"/>
              </w:rPr>
              <w:t>.</w:t>
            </w:r>
          </w:p>
        </w:tc>
        <w:tc>
          <w:tcPr>
            <w:tcW w:w="636" w:type="dxa"/>
            <w:vAlign w:val="center"/>
          </w:tcPr>
          <w:p w:rsidR="00294440" w:rsidRPr="00102CE2" w:rsidRDefault="00294440" w:rsidP="00942994">
            <w:pPr>
              <w:tabs>
                <w:tab w:val="left" w:pos="567"/>
              </w:tabs>
              <w:rPr>
                <w:sz w:val="18"/>
                <w:szCs w:val="18"/>
              </w:rPr>
            </w:pPr>
            <w:r w:rsidRPr="00102CE2">
              <w:rPr>
                <w:sz w:val="18"/>
                <w:szCs w:val="18"/>
              </w:rPr>
              <w:t>M22</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3.</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sz w:val="18"/>
                <w:szCs w:val="18"/>
                <w:u w:val="single"/>
              </w:rPr>
              <w:t>Kaisarevic S.N.</w:t>
            </w:r>
            <w:r w:rsidRPr="00102CE2">
              <w:rPr>
                <w:sz w:val="18"/>
                <w:szCs w:val="18"/>
              </w:rPr>
              <w:t xml:space="preserve">, Andric S.A., Kostic T.S. (2017) Teaching Animal Physiology: a 12-year experience transitioning from a classical to interactive approach with continual assessment and computer alternatives. </w:t>
            </w:r>
            <w:r w:rsidRPr="00102CE2">
              <w:rPr>
                <w:i/>
                <w:sz w:val="18"/>
                <w:szCs w:val="18"/>
              </w:rPr>
              <w:t>Advances in Physiology Education</w:t>
            </w:r>
            <w:r w:rsidRPr="00102CE2">
              <w:rPr>
                <w:sz w:val="18"/>
                <w:szCs w:val="18"/>
              </w:rPr>
              <w:t xml:space="preserve"> 41, 405-414.</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М22</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4.</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color w:val="000000"/>
                <w:sz w:val="18"/>
                <w:szCs w:val="18"/>
              </w:rPr>
              <w:t xml:space="preserve">Deutschmann  B., Kolarevic S., Brack W., </w:t>
            </w:r>
            <w:r w:rsidRPr="00102CE2">
              <w:rPr>
                <w:color w:val="000000"/>
                <w:sz w:val="18"/>
                <w:szCs w:val="18"/>
                <w:u w:val="single"/>
              </w:rPr>
              <w:t>Kaisarevic S.</w:t>
            </w:r>
            <w:r w:rsidRPr="00102CE2">
              <w:rPr>
                <w:color w:val="000000"/>
                <w:sz w:val="18"/>
                <w:szCs w:val="18"/>
              </w:rPr>
              <w:t xml:space="preserve">, Kostic J., Kracun-Kolarevic M., Liska I., Paunovic M., Seiler T-B., Shao Y., Sipos S., Slobodnik J., Teodorovic I., Vukovic-Gacic B.,  Hollert H. (2016) </w:t>
            </w:r>
            <w:r w:rsidRPr="00102CE2">
              <w:rPr>
                <w:sz w:val="18"/>
                <w:szCs w:val="18"/>
              </w:rPr>
              <w:t xml:space="preserve">Longitudinal profile of the genotoxic potential of the River Danube on erythrocytes of wild common bleak (Alburnus alburnus) assessed using the comet and micronucleus assay. </w:t>
            </w:r>
            <w:r w:rsidRPr="00102CE2">
              <w:rPr>
                <w:i/>
                <w:sz w:val="18"/>
                <w:szCs w:val="18"/>
              </w:rPr>
              <w:t>Science of the Total Environment 573,</w:t>
            </w:r>
            <w:r w:rsidRPr="00102CE2">
              <w:rPr>
                <w:sz w:val="18"/>
                <w:szCs w:val="18"/>
              </w:rPr>
              <w:t xml:space="preserve"> 1441-1449.</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М21а</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5</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bCs/>
                <w:sz w:val="18"/>
                <w:szCs w:val="18"/>
              </w:rPr>
              <w:t xml:space="preserve">Hrubik J., Glisic B., Tubic A., Ivancev-Tumbas I., Kovacevic R., Samardzija D., Andric N., </w:t>
            </w:r>
            <w:r w:rsidRPr="00102CE2">
              <w:rPr>
                <w:bCs/>
                <w:sz w:val="18"/>
                <w:szCs w:val="18"/>
                <w:u w:val="single"/>
              </w:rPr>
              <w:t>Kaisarevic S.</w:t>
            </w:r>
            <w:r w:rsidRPr="00102CE2">
              <w:rPr>
                <w:bCs/>
                <w:sz w:val="18"/>
                <w:szCs w:val="18"/>
              </w:rPr>
              <w:t xml:space="preserve"> (2016) Toxicological and chemical investigation of untreated municipal wastewater: Fraction- and species-specific toxicity. </w:t>
            </w:r>
            <w:r w:rsidRPr="00102CE2">
              <w:rPr>
                <w:bCs/>
                <w:i/>
                <w:sz w:val="18"/>
                <w:szCs w:val="18"/>
              </w:rPr>
              <w:t>Ecotoxicology and Environmental Safety</w:t>
            </w:r>
            <w:r w:rsidRPr="00102CE2">
              <w:rPr>
                <w:bCs/>
                <w:sz w:val="18"/>
                <w:szCs w:val="18"/>
              </w:rPr>
              <w:t xml:space="preserve"> 127, 153-162.</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М21</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6.</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sz w:val="18"/>
                <w:szCs w:val="18"/>
                <w:u w:val="single"/>
              </w:rPr>
              <w:t>Kaisarevic S.</w:t>
            </w:r>
            <w:r w:rsidRPr="00102CE2">
              <w:rPr>
                <w:sz w:val="18"/>
                <w:szCs w:val="18"/>
              </w:rPr>
              <w:t xml:space="preserve">, Dakic V., Hrubik J., Glisic B., Lübcke-von Varel U., Pogrmic-Majkic K., Fa S., Teodorovic I., Brack W., Kovacevic R. (2015) Differential expression of </w:t>
            </w:r>
            <w:r w:rsidRPr="00102CE2">
              <w:rPr>
                <w:sz w:val="18"/>
                <w:szCs w:val="18"/>
                <w:lang w:val="en-GB"/>
              </w:rPr>
              <w:t xml:space="preserve">CYP1A1 and CYP1A2 genes in H4IIE rat </w:t>
            </w:r>
            <w:proofErr w:type="spellStart"/>
            <w:r w:rsidRPr="00102CE2">
              <w:rPr>
                <w:sz w:val="18"/>
                <w:szCs w:val="18"/>
                <w:lang w:val="en-GB"/>
              </w:rPr>
              <w:t>hepatoma</w:t>
            </w:r>
            <w:proofErr w:type="spellEnd"/>
            <w:r w:rsidRPr="00102CE2">
              <w:rPr>
                <w:sz w:val="18"/>
                <w:szCs w:val="18"/>
                <w:lang w:val="en-GB"/>
              </w:rPr>
              <w:t xml:space="preserve"> cells exposed to TCDD and PAHs. </w:t>
            </w:r>
            <w:r w:rsidRPr="00102CE2">
              <w:rPr>
                <w:i/>
                <w:sz w:val="18"/>
                <w:szCs w:val="18"/>
                <w:lang w:val="en-GB"/>
              </w:rPr>
              <w:t>Environmental Toxicology and Pharmacology</w:t>
            </w:r>
            <w:r w:rsidRPr="00102CE2">
              <w:rPr>
                <w:sz w:val="18"/>
                <w:szCs w:val="18"/>
                <w:lang w:val="en-GB"/>
              </w:rPr>
              <w:t xml:space="preserve"> 39, 358-368.</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М22</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7.</w:t>
            </w:r>
          </w:p>
        </w:tc>
        <w:tc>
          <w:tcPr>
            <w:tcW w:w="8800" w:type="dxa"/>
            <w:gridSpan w:val="9"/>
            <w:vAlign w:val="center"/>
          </w:tcPr>
          <w:p w:rsidR="00294440" w:rsidRPr="00102CE2" w:rsidRDefault="00294440" w:rsidP="00942994">
            <w:pPr>
              <w:tabs>
                <w:tab w:val="left" w:pos="567"/>
              </w:tabs>
              <w:rPr>
                <w:sz w:val="18"/>
                <w:szCs w:val="18"/>
                <w:u w:val="single"/>
              </w:rPr>
            </w:pPr>
            <w:r w:rsidRPr="00102CE2">
              <w:rPr>
                <w:sz w:val="18"/>
                <w:szCs w:val="18"/>
              </w:rPr>
              <w:t xml:space="preserve">Fa S., Samardzija D., Odzic L., Pogrmic-Majkic K., </w:t>
            </w:r>
            <w:r w:rsidRPr="00102CE2">
              <w:rPr>
                <w:sz w:val="18"/>
                <w:szCs w:val="18"/>
                <w:u w:val="single"/>
              </w:rPr>
              <w:t>Kaisarevic S.</w:t>
            </w:r>
            <w:r w:rsidRPr="00102CE2">
              <w:rPr>
                <w:sz w:val="18"/>
                <w:szCs w:val="18"/>
              </w:rPr>
              <w:t xml:space="preserve">, Kovacevic R., Andric N. (2014) Hexabromocyclododecane facilitates FSH activation of ERK1/2 and AKT through epidermal growth factor receptor in rat granulosa cells. </w:t>
            </w:r>
            <w:r w:rsidRPr="00102CE2">
              <w:rPr>
                <w:i/>
                <w:sz w:val="18"/>
                <w:szCs w:val="18"/>
              </w:rPr>
              <w:t xml:space="preserve">Archives of Toxicology </w:t>
            </w:r>
            <w:r w:rsidRPr="00102CE2">
              <w:rPr>
                <w:sz w:val="18"/>
                <w:szCs w:val="18"/>
              </w:rPr>
              <w:t>88, 345-354.</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М21а</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8.</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sz w:val="18"/>
                <w:szCs w:val="18"/>
              </w:rPr>
              <w:t xml:space="preserve">Tubic A., Leovac A., Hrubik J., Glisic B., </w:t>
            </w:r>
            <w:r w:rsidRPr="00102CE2">
              <w:rPr>
                <w:sz w:val="18"/>
                <w:szCs w:val="18"/>
                <w:u w:val="single"/>
              </w:rPr>
              <w:t>Kaisarevic S.</w:t>
            </w:r>
            <w:r w:rsidRPr="00102CE2">
              <w:rPr>
                <w:sz w:val="18"/>
                <w:szCs w:val="18"/>
              </w:rPr>
              <w:t xml:space="preserve">, Ivancev-Tumbas I., Kovacevic R. (2013) Toxicological profiles assessment of the water and sediments from the Krivaja and Jegrička Rivers, Serbia. </w:t>
            </w:r>
            <w:r w:rsidRPr="00102CE2">
              <w:rPr>
                <w:bCs/>
                <w:i/>
                <w:sz w:val="18"/>
                <w:szCs w:val="18"/>
              </w:rPr>
              <w:t>Journal of Environmental Science and Health, Part A: Toxic/Hazardous Substances and Environmental Engineering</w:t>
            </w:r>
            <w:r w:rsidRPr="00102CE2">
              <w:rPr>
                <w:bCs/>
                <w:sz w:val="18"/>
                <w:szCs w:val="18"/>
              </w:rPr>
              <w:t xml:space="preserve"> 48</w:t>
            </w:r>
            <w:r w:rsidRPr="00102CE2">
              <w:rPr>
                <w:sz w:val="18"/>
                <w:szCs w:val="18"/>
              </w:rPr>
              <w:t>, 1201–1215.</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М23</w:t>
            </w:r>
          </w:p>
        </w:tc>
      </w:tr>
      <w:tr w:rsidR="00294440" w:rsidRPr="00C2517C" w:rsidTr="005C63F8">
        <w:trPr>
          <w:trHeight w:val="227"/>
          <w:jc w:val="center"/>
        </w:trPr>
        <w:tc>
          <w:tcPr>
            <w:tcW w:w="540" w:type="dxa"/>
            <w:vAlign w:val="center"/>
          </w:tcPr>
          <w:p w:rsidR="00294440" w:rsidRPr="008549C2" w:rsidRDefault="00294440" w:rsidP="003256FD">
            <w:pPr>
              <w:tabs>
                <w:tab w:val="left" w:pos="567"/>
              </w:tabs>
              <w:rPr>
                <w:sz w:val="18"/>
                <w:szCs w:val="18"/>
                <w:lang w:val="sr-Cyrl-CS"/>
              </w:rPr>
            </w:pPr>
            <w:r w:rsidRPr="008549C2">
              <w:rPr>
                <w:sz w:val="18"/>
                <w:szCs w:val="18"/>
                <w:lang w:val="sr-Cyrl-CS"/>
              </w:rPr>
              <w:t>9.</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color w:val="131313"/>
                <w:sz w:val="18"/>
                <w:szCs w:val="18"/>
                <w:u w:val="single"/>
              </w:rPr>
              <w:t>Kaisarevic S.</w:t>
            </w:r>
            <w:r w:rsidRPr="00102CE2">
              <w:rPr>
                <w:color w:val="131313"/>
                <w:sz w:val="18"/>
                <w:szCs w:val="18"/>
              </w:rPr>
              <w:t xml:space="preserve">, Hilscherova K., Weber R., Sundqvist K.L., Tysklind M., Voncina E., Bobic S., Andric N., Pogrmic-Majkic K., Vojinovic-Miloradov M., Giesy J.P., Kovacevic R. (2011) Characterization of dioxin-like contamination in soil and sediments from the “hot spot” area of petrochemical plant in Pancevo (Serbia). </w:t>
            </w:r>
            <w:r w:rsidRPr="00102CE2">
              <w:rPr>
                <w:i/>
                <w:color w:val="131313"/>
                <w:sz w:val="18"/>
                <w:szCs w:val="18"/>
              </w:rPr>
              <w:t>Environmental Science and Pollution Research</w:t>
            </w:r>
            <w:r w:rsidRPr="00102CE2">
              <w:rPr>
                <w:color w:val="131313"/>
                <w:sz w:val="18"/>
                <w:szCs w:val="18"/>
              </w:rPr>
              <w:t xml:space="preserve"> 18, 677-686.</w:t>
            </w:r>
          </w:p>
        </w:tc>
        <w:tc>
          <w:tcPr>
            <w:tcW w:w="636" w:type="dxa"/>
            <w:vAlign w:val="center"/>
          </w:tcPr>
          <w:p w:rsidR="00294440" w:rsidRPr="00102CE2" w:rsidRDefault="00294440" w:rsidP="00942994">
            <w:pPr>
              <w:tabs>
                <w:tab w:val="left" w:pos="567"/>
              </w:tabs>
              <w:rPr>
                <w:sz w:val="18"/>
                <w:szCs w:val="18"/>
                <w:lang w:val="sr-Cyrl-CS"/>
              </w:rPr>
            </w:pPr>
            <w:r w:rsidRPr="00102CE2">
              <w:rPr>
                <w:sz w:val="18"/>
                <w:szCs w:val="18"/>
                <w:lang w:val="sr-Cyrl-CS"/>
              </w:rPr>
              <w:t>М21</w:t>
            </w:r>
          </w:p>
        </w:tc>
      </w:tr>
      <w:tr w:rsidR="00294440" w:rsidRPr="00C2517C" w:rsidTr="005C63F8">
        <w:trPr>
          <w:trHeight w:val="227"/>
          <w:jc w:val="center"/>
        </w:trPr>
        <w:tc>
          <w:tcPr>
            <w:tcW w:w="540" w:type="dxa"/>
            <w:vAlign w:val="center"/>
          </w:tcPr>
          <w:p w:rsidR="00294440" w:rsidRPr="00942994" w:rsidRDefault="00294440" w:rsidP="003256FD">
            <w:pPr>
              <w:tabs>
                <w:tab w:val="left" w:pos="567"/>
              </w:tabs>
              <w:rPr>
                <w:sz w:val="18"/>
                <w:szCs w:val="18"/>
              </w:rPr>
            </w:pPr>
            <w:r w:rsidRPr="008549C2">
              <w:rPr>
                <w:sz w:val="18"/>
                <w:szCs w:val="18"/>
                <w:lang w:val="sr-Cyrl-CS"/>
              </w:rPr>
              <w:t>10</w:t>
            </w:r>
            <w:r w:rsidR="00942994">
              <w:rPr>
                <w:sz w:val="18"/>
                <w:szCs w:val="18"/>
              </w:rPr>
              <w:t>.</w:t>
            </w:r>
          </w:p>
        </w:tc>
        <w:tc>
          <w:tcPr>
            <w:tcW w:w="8800" w:type="dxa"/>
            <w:gridSpan w:val="9"/>
            <w:vAlign w:val="center"/>
          </w:tcPr>
          <w:p w:rsidR="00294440" w:rsidRPr="00102CE2" w:rsidRDefault="00294440" w:rsidP="00942994">
            <w:pPr>
              <w:tabs>
                <w:tab w:val="left" w:pos="567"/>
              </w:tabs>
              <w:rPr>
                <w:sz w:val="18"/>
                <w:szCs w:val="18"/>
                <w:lang w:val="sr-Cyrl-CS"/>
              </w:rPr>
            </w:pPr>
            <w:r w:rsidRPr="00102CE2">
              <w:rPr>
                <w:sz w:val="18"/>
                <w:szCs w:val="18"/>
                <w:u w:val="single"/>
              </w:rPr>
              <w:t>Kaisarevic S.</w:t>
            </w:r>
            <w:r w:rsidRPr="00102CE2">
              <w:rPr>
                <w:sz w:val="18"/>
                <w:szCs w:val="18"/>
              </w:rPr>
              <w:t xml:space="preserve">, Lübcke-von Varel U., Orcic D., Streck G., Schulze T., Pogrmic K., Teodorovic I., Brack W., Kovacevic R. (2009) Effect-directed analysis of contaminated sediment from the wastewater canal in Pancevo industrial area, Serbia. </w:t>
            </w:r>
            <w:r w:rsidRPr="00102CE2">
              <w:rPr>
                <w:i/>
                <w:sz w:val="18"/>
                <w:szCs w:val="18"/>
              </w:rPr>
              <w:t>Chemosphere</w:t>
            </w:r>
            <w:r w:rsidRPr="00102CE2">
              <w:rPr>
                <w:sz w:val="18"/>
                <w:szCs w:val="18"/>
              </w:rPr>
              <w:t xml:space="preserve"> 77 (7), 907-913.</w:t>
            </w:r>
          </w:p>
        </w:tc>
        <w:tc>
          <w:tcPr>
            <w:tcW w:w="636" w:type="dxa"/>
            <w:vAlign w:val="center"/>
          </w:tcPr>
          <w:p w:rsidR="00294440" w:rsidRPr="00102CE2" w:rsidRDefault="00294440" w:rsidP="00942994">
            <w:pPr>
              <w:tabs>
                <w:tab w:val="left" w:pos="567"/>
              </w:tabs>
              <w:rPr>
                <w:sz w:val="18"/>
                <w:szCs w:val="18"/>
              </w:rPr>
            </w:pPr>
            <w:r w:rsidRPr="00102CE2">
              <w:rPr>
                <w:sz w:val="18"/>
                <w:szCs w:val="18"/>
              </w:rPr>
              <w:t>M21</w:t>
            </w:r>
          </w:p>
        </w:tc>
      </w:tr>
      <w:tr w:rsidR="00294440" w:rsidRPr="00C2517C" w:rsidTr="00294440">
        <w:trPr>
          <w:trHeight w:val="227"/>
          <w:jc w:val="center"/>
        </w:trPr>
        <w:tc>
          <w:tcPr>
            <w:tcW w:w="9976" w:type="dxa"/>
            <w:gridSpan w:val="11"/>
            <w:vAlign w:val="center"/>
          </w:tcPr>
          <w:p w:rsidR="00294440" w:rsidRPr="00AB3B68" w:rsidRDefault="00294440" w:rsidP="00E917D5">
            <w:pPr>
              <w:spacing w:after="60"/>
              <w:rPr>
                <w:b/>
                <w:lang w:val="en-US"/>
              </w:rPr>
            </w:pPr>
            <w:r w:rsidRPr="00AB3B68">
              <w:rPr>
                <w:b/>
                <w:lang w:val="en-US"/>
              </w:rPr>
              <w:t>Cumulative data of scientific activity of the teacher</w:t>
            </w:r>
          </w:p>
        </w:tc>
      </w:tr>
      <w:tr w:rsidR="00E80782" w:rsidRPr="00C2517C" w:rsidTr="005C63F8">
        <w:trPr>
          <w:trHeight w:val="227"/>
          <w:jc w:val="center"/>
        </w:trPr>
        <w:tc>
          <w:tcPr>
            <w:tcW w:w="5420" w:type="dxa"/>
            <w:gridSpan w:val="6"/>
            <w:vAlign w:val="center"/>
          </w:tcPr>
          <w:p w:rsidR="00294440" w:rsidRPr="00AB3B68" w:rsidRDefault="00294440" w:rsidP="00942994">
            <w:pPr>
              <w:rPr>
                <w:lang w:val="en-US"/>
              </w:rPr>
            </w:pPr>
            <w:r w:rsidRPr="00AB3B68">
              <w:rPr>
                <w:lang w:val="en-US"/>
              </w:rPr>
              <w:t>Total number of citations, without self citations</w:t>
            </w:r>
          </w:p>
        </w:tc>
        <w:tc>
          <w:tcPr>
            <w:tcW w:w="4556" w:type="dxa"/>
            <w:gridSpan w:val="5"/>
            <w:vAlign w:val="center"/>
          </w:tcPr>
          <w:p w:rsidR="00294440" w:rsidRPr="00AB3B68" w:rsidRDefault="007A6DF4" w:rsidP="00942994">
            <w:pPr>
              <w:spacing w:after="60"/>
              <w:rPr>
                <w:lang w:val="en-US"/>
              </w:rPr>
            </w:pPr>
            <w:r w:rsidRPr="00AB3B68">
              <w:rPr>
                <w:lang w:val="en-US"/>
              </w:rPr>
              <w:t>300</w:t>
            </w:r>
          </w:p>
        </w:tc>
      </w:tr>
      <w:tr w:rsidR="00E80782" w:rsidRPr="00C2517C" w:rsidTr="005C63F8">
        <w:trPr>
          <w:trHeight w:val="227"/>
          <w:jc w:val="center"/>
        </w:trPr>
        <w:tc>
          <w:tcPr>
            <w:tcW w:w="5420" w:type="dxa"/>
            <w:gridSpan w:val="6"/>
            <w:vAlign w:val="center"/>
          </w:tcPr>
          <w:p w:rsidR="00294440" w:rsidRPr="00AB3B68" w:rsidRDefault="00294440" w:rsidP="00942994">
            <w:pPr>
              <w:rPr>
                <w:lang w:val="en-US"/>
              </w:rPr>
            </w:pPr>
            <w:r w:rsidRPr="00AB3B68">
              <w:rPr>
                <w:lang w:val="en-US"/>
              </w:rPr>
              <w:t>Total number of papers on the SCI (or SSCI) list</w:t>
            </w:r>
          </w:p>
        </w:tc>
        <w:tc>
          <w:tcPr>
            <w:tcW w:w="4556" w:type="dxa"/>
            <w:gridSpan w:val="5"/>
            <w:vAlign w:val="center"/>
          </w:tcPr>
          <w:p w:rsidR="00294440" w:rsidRPr="00AB3B68" w:rsidRDefault="007A6DF4" w:rsidP="00942994">
            <w:pPr>
              <w:spacing w:after="60"/>
              <w:rPr>
                <w:lang w:val="en-US"/>
              </w:rPr>
            </w:pPr>
            <w:r w:rsidRPr="00AB3B68">
              <w:rPr>
                <w:lang w:val="en-US"/>
              </w:rPr>
              <w:t>29</w:t>
            </w:r>
          </w:p>
        </w:tc>
      </w:tr>
      <w:tr w:rsidR="00294440" w:rsidRPr="00C2517C" w:rsidTr="005C63F8">
        <w:trPr>
          <w:trHeight w:val="227"/>
          <w:jc w:val="center"/>
        </w:trPr>
        <w:tc>
          <w:tcPr>
            <w:tcW w:w="5420" w:type="dxa"/>
            <w:gridSpan w:val="6"/>
            <w:vAlign w:val="center"/>
          </w:tcPr>
          <w:p w:rsidR="00294440" w:rsidRPr="00AB3B68" w:rsidRDefault="00294440" w:rsidP="00942994">
            <w:pPr>
              <w:rPr>
                <w:lang w:val="en-US"/>
              </w:rPr>
            </w:pPr>
            <w:r w:rsidRPr="00AB3B68">
              <w:rPr>
                <w:lang w:val="en-US"/>
              </w:rPr>
              <w:t>Current participation in projects</w:t>
            </w:r>
          </w:p>
        </w:tc>
        <w:tc>
          <w:tcPr>
            <w:tcW w:w="1134" w:type="dxa"/>
            <w:gridSpan w:val="2"/>
            <w:vAlign w:val="center"/>
          </w:tcPr>
          <w:p w:rsidR="00294440" w:rsidRPr="00AB3B68" w:rsidRDefault="00294440" w:rsidP="00942994">
            <w:pPr>
              <w:spacing w:after="60"/>
              <w:rPr>
                <w:b/>
                <w:lang w:val="en-US"/>
              </w:rPr>
            </w:pPr>
            <w:r w:rsidRPr="00AB3B68">
              <w:rPr>
                <w:lang w:val="en-US"/>
              </w:rPr>
              <w:t>Domestic</w:t>
            </w:r>
            <w:r w:rsidR="007A6DF4" w:rsidRPr="00AB3B68">
              <w:rPr>
                <w:lang w:val="en-US"/>
              </w:rPr>
              <w:t xml:space="preserve"> 1</w:t>
            </w:r>
            <w:r w:rsidRPr="00AB3B68">
              <w:rPr>
                <w:lang w:val="en-US"/>
              </w:rPr>
              <w:t xml:space="preserve"> </w:t>
            </w:r>
          </w:p>
        </w:tc>
        <w:tc>
          <w:tcPr>
            <w:tcW w:w="3422" w:type="dxa"/>
            <w:gridSpan w:val="3"/>
            <w:vAlign w:val="center"/>
          </w:tcPr>
          <w:p w:rsidR="00294440" w:rsidRPr="00AB3B68" w:rsidRDefault="007A6DF4" w:rsidP="00942994">
            <w:pPr>
              <w:spacing w:after="60"/>
              <w:rPr>
                <w:b/>
                <w:lang w:val="en-US"/>
              </w:rPr>
            </w:pPr>
            <w:r w:rsidRPr="00AB3B68">
              <w:rPr>
                <w:lang w:val="en-US"/>
              </w:rPr>
              <w:t>I</w:t>
            </w:r>
            <w:r w:rsidR="00294440" w:rsidRPr="00AB3B68">
              <w:rPr>
                <w:lang w:val="en-US"/>
              </w:rPr>
              <w:t>nternational</w:t>
            </w:r>
          </w:p>
        </w:tc>
      </w:tr>
      <w:tr w:rsidR="007A6DF4" w:rsidRPr="00C2517C" w:rsidTr="00797B19">
        <w:trPr>
          <w:trHeight w:val="227"/>
          <w:jc w:val="center"/>
        </w:trPr>
        <w:tc>
          <w:tcPr>
            <w:tcW w:w="9976" w:type="dxa"/>
            <w:gridSpan w:val="11"/>
          </w:tcPr>
          <w:p w:rsidR="007A6DF4" w:rsidRPr="00AB3B68" w:rsidRDefault="007A6DF4" w:rsidP="00E917D5">
            <w:pPr>
              <w:spacing w:after="60"/>
              <w:rPr>
                <w:b/>
                <w:lang w:val="en-US"/>
              </w:rPr>
            </w:pPr>
            <w:r w:rsidRPr="00AB3B68">
              <w:rPr>
                <w:lang w:val="en-US"/>
              </w:rPr>
              <w:t xml:space="preserve">Specialization: </w:t>
            </w:r>
            <w:r w:rsidRPr="00AB3B68">
              <w:t>The Helmholtz Centre for Environmental Research, Dept. Effect-Directed Analysis, Leipzig, Germany. 01. April – 01. June 2007.</w:t>
            </w:r>
            <w:r w:rsidRPr="00AB3B68">
              <w:rPr>
                <w:lang w:val="en-US"/>
              </w:rPr>
              <w:t xml:space="preserve"> </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C0453"/>
    <w:rsid w:val="00294440"/>
    <w:rsid w:val="00364DFB"/>
    <w:rsid w:val="0047415A"/>
    <w:rsid w:val="004D2C20"/>
    <w:rsid w:val="00500C82"/>
    <w:rsid w:val="005C63F8"/>
    <w:rsid w:val="006E16AB"/>
    <w:rsid w:val="00750532"/>
    <w:rsid w:val="007A6DF4"/>
    <w:rsid w:val="00880906"/>
    <w:rsid w:val="008C170D"/>
    <w:rsid w:val="00942994"/>
    <w:rsid w:val="0095547F"/>
    <w:rsid w:val="00AB3B68"/>
    <w:rsid w:val="00E807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paragraph" w:styleId="Heading1">
    <w:name w:val="heading 1"/>
    <w:basedOn w:val="Normal"/>
    <w:next w:val="Normal"/>
    <w:link w:val="Heading1Char"/>
    <w:qFormat/>
    <w:rsid w:val="00294440"/>
    <w:pPr>
      <w:keepNext/>
      <w:widowControl/>
      <w:autoSpaceDE/>
      <w:autoSpaceDN/>
      <w:adjustRightInd/>
      <w:outlineLvl w:val="0"/>
    </w:pPr>
    <w:rPr>
      <w:rFonts w:eastAsia="Times New Roman"/>
      <w:b/>
      <w:bCs/>
      <w:sz w:val="22"/>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customStyle="1" w:styleId="Heading1Char">
    <w:name w:val="Heading 1 Char"/>
    <w:basedOn w:val="DefaultParagraphFont"/>
    <w:link w:val="Heading1"/>
    <w:rsid w:val="00294440"/>
    <w:rPr>
      <w:rFonts w:ascii="Times New Roman" w:eastAsia="Times New Roman" w:hAnsi="Times New Roman" w:cs="Times New Roman"/>
      <w:b/>
      <w:bCs/>
      <w:szCs w:val="24"/>
      <w:lang w:val="ru-RU"/>
    </w:rPr>
  </w:style>
  <w:style w:type="character" w:customStyle="1" w:styleId="nlmarticle-title">
    <w:name w:val="nlm_article-title"/>
    <w:basedOn w:val="DefaultParagraphFont"/>
    <w:rsid w:val="002944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07BF4-F0F8-418F-A1AC-A78027084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3</cp:revision>
  <dcterms:created xsi:type="dcterms:W3CDTF">2019-09-24T08:28:00Z</dcterms:created>
  <dcterms:modified xsi:type="dcterms:W3CDTF">2020-02-22T11:59:00Z</dcterms:modified>
</cp:coreProperties>
</file>