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964"/>
        <w:gridCol w:w="841"/>
        <w:gridCol w:w="1385"/>
        <w:gridCol w:w="1447"/>
        <w:gridCol w:w="122"/>
        <w:gridCol w:w="1207"/>
        <w:gridCol w:w="176"/>
        <w:gridCol w:w="1403"/>
        <w:gridCol w:w="890"/>
      </w:tblGrid>
      <w:tr w:rsidR="006E16AB" w:rsidRPr="00C2517C" w:rsidTr="008A398B">
        <w:trPr>
          <w:trHeight w:val="227"/>
          <w:jc w:val="center"/>
        </w:trPr>
        <w:tc>
          <w:tcPr>
            <w:tcW w:w="1677" w:type="pct"/>
            <w:gridSpan w:val="3"/>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3323" w:type="pct"/>
            <w:gridSpan w:val="7"/>
            <w:vAlign w:val="center"/>
          </w:tcPr>
          <w:p w:rsidR="006E16AB" w:rsidRPr="00822E42" w:rsidRDefault="00822E42" w:rsidP="00E917D5">
            <w:pPr>
              <w:rPr>
                <w:sz w:val="22"/>
                <w:szCs w:val="22"/>
              </w:rPr>
            </w:pPr>
            <w:r>
              <w:rPr>
                <w:sz w:val="22"/>
                <w:szCs w:val="22"/>
              </w:rPr>
              <w:t>Bojana Stanić</w:t>
            </w:r>
          </w:p>
        </w:tc>
      </w:tr>
      <w:tr w:rsidR="006E16AB" w:rsidRPr="00C2517C" w:rsidTr="008A398B">
        <w:trPr>
          <w:trHeight w:val="227"/>
          <w:jc w:val="center"/>
        </w:trPr>
        <w:tc>
          <w:tcPr>
            <w:tcW w:w="1677" w:type="pct"/>
            <w:gridSpan w:val="3"/>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3323" w:type="pct"/>
            <w:gridSpan w:val="7"/>
            <w:vAlign w:val="center"/>
          </w:tcPr>
          <w:p w:rsidR="006E16AB" w:rsidRPr="00C2517C" w:rsidRDefault="00822E42" w:rsidP="00E917D5">
            <w:pPr>
              <w:rPr>
                <w:sz w:val="22"/>
                <w:szCs w:val="22"/>
                <w:lang w:val="en-US"/>
              </w:rPr>
            </w:pPr>
            <w:r>
              <w:rPr>
                <w:sz w:val="22"/>
                <w:szCs w:val="22"/>
                <w:lang w:val="en-US"/>
              </w:rPr>
              <w:t>Scientific Associate</w:t>
            </w:r>
          </w:p>
        </w:tc>
      </w:tr>
      <w:tr w:rsidR="006E16AB" w:rsidRPr="00C2517C" w:rsidTr="008A398B">
        <w:trPr>
          <w:trHeight w:val="227"/>
          <w:jc w:val="center"/>
        </w:trPr>
        <w:tc>
          <w:tcPr>
            <w:tcW w:w="1677" w:type="pct"/>
            <w:gridSpan w:val="3"/>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3323" w:type="pct"/>
            <w:gridSpan w:val="7"/>
            <w:vAlign w:val="center"/>
          </w:tcPr>
          <w:p w:rsidR="006E16AB" w:rsidRPr="00C2517C" w:rsidRDefault="00822E42" w:rsidP="00E917D5">
            <w:pPr>
              <w:rPr>
                <w:sz w:val="22"/>
                <w:szCs w:val="22"/>
                <w:lang w:val="en-US"/>
              </w:rPr>
            </w:pPr>
            <w:r>
              <w:rPr>
                <w:sz w:val="22"/>
                <w:szCs w:val="22"/>
                <w:lang w:val="en-US"/>
              </w:rPr>
              <w:t>Biochemistry</w:t>
            </w:r>
          </w:p>
        </w:tc>
      </w:tr>
      <w:tr w:rsidR="003F60FE" w:rsidRPr="00C2517C" w:rsidTr="003F60FE">
        <w:trPr>
          <w:trHeight w:val="227"/>
          <w:jc w:val="center"/>
        </w:trPr>
        <w:tc>
          <w:tcPr>
            <w:tcW w:w="1256" w:type="pct"/>
            <w:gridSpan w:val="2"/>
            <w:vAlign w:val="center"/>
          </w:tcPr>
          <w:p w:rsidR="003F60FE" w:rsidRPr="00C2517C" w:rsidRDefault="003F60FE" w:rsidP="00E917D5">
            <w:pPr>
              <w:rPr>
                <w:sz w:val="22"/>
                <w:szCs w:val="22"/>
                <w:lang w:val="en-US"/>
              </w:rPr>
            </w:pPr>
            <w:r w:rsidRPr="00C2517C">
              <w:rPr>
                <w:b/>
                <w:sz w:val="22"/>
                <w:szCs w:val="22"/>
                <w:lang w:val="en-US"/>
              </w:rPr>
              <w:t>Academic career</w:t>
            </w:r>
          </w:p>
        </w:tc>
        <w:tc>
          <w:tcPr>
            <w:tcW w:w="422" w:type="pct"/>
            <w:vAlign w:val="center"/>
          </w:tcPr>
          <w:p w:rsidR="003F60FE" w:rsidRPr="00C2517C" w:rsidRDefault="003F60FE" w:rsidP="00E917D5">
            <w:pPr>
              <w:rPr>
                <w:sz w:val="22"/>
                <w:szCs w:val="22"/>
                <w:lang w:val="en-US"/>
              </w:rPr>
            </w:pPr>
            <w:r w:rsidRPr="00C2517C">
              <w:rPr>
                <w:sz w:val="22"/>
                <w:szCs w:val="22"/>
                <w:lang w:val="en-US"/>
              </w:rPr>
              <w:t xml:space="preserve">Year  </w:t>
            </w:r>
          </w:p>
        </w:tc>
        <w:tc>
          <w:tcPr>
            <w:tcW w:w="1419" w:type="pct"/>
            <w:gridSpan w:val="2"/>
            <w:vAlign w:val="center"/>
          </w:tcPr>
          <w:p w:rsidR="003F60FE" w:rsidRPr="0095547F" w:rsidRDefault="003F60FE" w:rsidP="00E917D5">
            <w:pPr>
              <w:rPr>
                <w:sz w:val="22"/>
                <w:szCs w:val="22"/>
                <w:lang w:val="en-US"/>
              </w:rPr>
            </w:pPr>
            <w:r w:rsidRPr="0095547F">
              <w:rPr>
                <w:sz w:val="22"/>
                <w:szCs w:val="22"/>
                <w:lang w:val="en-US"/>
              </w:rPr>
              <w:t>Institution</w:t>
            </w:r>
          </w:p>
        </w:tc>
        <w:tc>
          <w:tcPr>
            <w:tcW w:w="1904" w:type="pct"/>
            <w:gridSpan w:val="5"/>
            <w:vAlign w:val="center"/>
          </w:tcPr>
          <w:p w:rsidR="003F60FE" w:rsidRPr="00C2517C" w:rsidRDefault="003F60FE" w:rsidP="0095547F">
            <w:pPr>
              <w:rPr>
                <w:sz w:val="22"/>
                <w:szCs w:val="22"/>
                <w:lang w:val="en-US"/>
              </w:rPr>
            </w:pPr>
            <w:r>
              <w:rPr>
                <w:rStyle w:val="tlid-translation"/>
              </w:rPr>
              <w:t>Narrow scientific field</w:t>
            </w:r>
            <w:r>
              <w:t xml:space="preserve"> </w:t>
            </w:r>
            <w:r>
              <w:rPr>
                <w:rStyle w:val="tlid-translation"/>
              </w:rPr>
              <w:t>or art field</w:t>
            </w:r>
          </w:p>
        </w:tc>
      </w:tr>
      <w:tr w:rsidR="003F60FE" w:rsidRPr="00C2517C" w:rsidTr="003F60FE">
        <w:trPr>
          <w:trHeight w:val="227"/>
          <w:jc w:val="center"/>
        </w:trPr>
        <w:tc>
          <w:tcPr>
            <w:tcW w:w="1256" w:type="pct"/>
            <w:gridSpan w:val="2"/>
            <w:vAlign w:val="center"/>
          </w:tcPr>
          <w:p w:rsidR="003F60FE" w:rsidRPr="00C2517C" w:rsidRDefault="003F60FE" w:rsidP="00E917D5">
            <w:pPr>
              <w:rPr>
                <w:sz w:val="22"/>
                <w:szCs w:val="22"/>
                <w:lang w:val="en-US"/>
              </w:rPr>
            </w:pPr>
            <w:r w:rsidRPr="00C2517C">
              <w:rPr>
                <w:sz w:val="22"/>
                <w:szCs w:val="22"/>
                <w:lang w:val="en-US"/>
              </w:rPr>
              <w:t>Election to the title</w:t>
            </w:r>
          </w:p>
        </w:tc>
        <w:tc>
          <w:tcPr>
            <w:tcW w:w="422" w:type="pct"/>
            <w:vAlign w:val="center"/>
          </w:tcPr>
          <w:p w:rsidR="003F60FE" w:rsidRPr="00151B33" w:rsidRDefault="003F60FE" w:rsidP="00F23B6D">
            <w:pPr>
              <w:spacing w:after="60"/>
              <w:rPr>
                <w:lang w:val="sr-Cyrl-CS"/>
              </w:rPr>
            </w:pPr>
            <w:r w:rsidRPr="00151B33">
              <w:rPr>
                <w:lang w:val="sr-Cyrl-CS"/>
              </w:rPr>
              <w:t>201</w:t>
            </w:r>
            <w:r>
              <w:rPr>
                <w:lang w:val="sr-Cyrl-CS"/>
              </w:rPr>
              <w:t>4</w:t>
            </w:r>
          </w:p>
        </w:tc>
        <w:tc>
          <w:tcPr>
            <w:tcW w:w="1419" w:type="pct"/>
            <w:gridSpan w:val="2"/>
            <w:vAlign w:val="center"/>
          </w:tcPr>
          <w:p w:rsidR="003F60FE" w:rsidRPr="00C2517C" w:rsidRDefault="003F60FE" w:rsidP="00F23B6D">
            <w:pPr>
              <w:rPr>
                <w:sz w:val="22"/>
                <w:szCs w:val="22"/>
                <w:lang w:val="en-US"/>
              </w:rPr>
            </w:pPr>
            <w:r>
              <w:rPr>
                <w:sz w:val="22"/>
                <w:szCs w:val="22"/>
                <w:lang w:val="en-US"/>
              </w:rPr>
              <w:t>University of Novi Sad, Faculty of Sciences</w:t>
            </w:r>
          </w:p>
        </w:tc>
        <w:tc>
          <w:tcPr>
            <w:tcW w:w="1904" w:type="pct"/>
            <w:gridSpan w:val="5"/>
            <w:vAlign w:val="center"/>
          </w:tcPr>
          <w:p w:rsidR="003F60FE" w:rsidRPr="00C2517C" w:rsidRDefault="003F60FE" w:rsidP="00F23B6D">
            <w:pPr>
              <w:rPr>
                <w:sz w:val="22"/>
                <w:szCs w:val="22"/>
                <w:lang w:val="en-US"/>
              </w:rPr>
            </w:pPr>
            <w:r>
              <w:rPr>
                <w:sz w:val="22"/>
                <w:szCs w:val="22"/>
                <w:lang w:val="en-US"/>
              </w:rPr>
              <w:t>Biochemistry</w:t>
            </w:r>
          </w:p>
        </w:tc>
      </w:tr>
      <w:tr w:rsidR="003F60FE" w:rsidRPr="00C2517C" w:rsidTr="00ED4CF1">
        <w:trPr>
          <w:trHeight w:val="227"/>
          <w:jc w:val="center"/>
        </w:trPr>
        <w:tc>
          <w:tcPr>
            <w:tcW w:w="1256" w:type="pct"/>
            <w:gridSpan w:val="2"/>
            <w:vAlign w:val="center"/>
          </w:tcPr>
          <w:p w:rsidR="003F60FE" w:rsidRPr="00C2517C" w:rsidRDefault="003F60FE" w:rsidP="00E917D5">
            <w:pPr>
              <w:rPr>
                <w:sz w:val="22"/>
                <w:szCs w:val="22"/>
                <w:lang w:val="en-US"/>
              </w:rPr>
            </w:pPr>
            <w:r w:rsidRPr="00C2517C">
              <w:rPr>
                <w:sz w:val="22"/>
                <w:szCs w:val="22"/>
                <w:lang w:val="en-US"/>
              </w:rPr>
              <w:t>PhD</w:t>
            </w:r>
          </w:p>
        </w:tc>
        <w:tc>
          <w:tcPr>
            <w:tcW w:w="422" w:type="pct"/>
            <w:vAlign w:val="center"/>
          </w:tcPr>
          <w:p w:rsidR="003F60FE" w:rsidRPr="00151B33" w:rsidRDefault="003F60FE" w:rsidP="00F23B6D">
            <w:pPr>
              <w:spacing w:after="60"/>
              <w:rPr>
                <w:lang w:val="sr-Cyrl-CS"/>
              </w:rPr>
            </w:pPr>
            <w:r>
              <w:rPr>
                <w:lang w:val="sr-Cyrl-CS"/>
              </w:rPr>
              <w:t>2012</w:t>
            </w:r>
          </w:p>
        </w:tc>
        <w:tc>
          <w:tcPr>
            <w:tcW w:w="1419" w:type="pct"/>
            <w:gridSpan w:val="2"/>
            <w:vAlign w:val="center"/>
          </w:tcPr>
          <w:p w:rsidR="003F60FE" w:rsidRPr="00C2517C" w:rsidRDefault="003F60FE" w:rsidP="00F23B6D">
            <w:pPr>
              <w:rPr>
                <w:sz w:val="22"/>
                <w:szCs w:val="22"/>
                <w:lang w:val="en-US"/>
              </w:rPr>
            </w:pPr>
            <w:r>
              <w:rPr>
                <w:sz w:val="22"/>
                <w:szCs w:val="22"/>
                <w:lang w:val="en-US"/>
              </w:rPr>
              <w:t>University of Novi Sad, Faculty of Sciences</w:t>
            </w:r>
          </w:p>
        </w:tc>
        <w:tc>
          <w:tcPr>
            <w:tcW w:w="1" w:type="pct"/>
            <w:gridSpan w:val="5"/>
            <w:vAlign w:val="center"/>
          </w:tcPr>
          <w:p w:rsidR="003F60FE" w:rsidRPr="00C2517C" w:rsidRDefault="003F60FE" w:rsidP="00F23B6D">
            <w:pPr>
              <w:rPr>
                <w:sz w:val="22"/>
                <w:szCs w:val="22"/>
                <w:lang w:val="en-US"/>
              </w:rPr>
            </w:pPr>
            <w:r>
              <w:rPr>
                <w:sz w:val="22"/>
                <w:szCs w:val="22"/>
                <w:lang w:val="en-US"/>
              </w:rPr>
              <w:t>Biochemistry</w:t>
            </w:r>
          </w:p>
        </w:tc>
      </w:tr>
      <w:tr w:rsidR="003F60FE" w:rsidRPr="00C2517C" w:rsidTr="006E30AD">
        <w:trPr>
          <w:trHeight w:val="227"/>
          <w:jc w:val="center"/>
        </w:trPr>
        <w:tc>
          <w:tcPr>
            <w:tcW w:w="1256" w:type="pct"/>
            <w:gridSpan w:val="2"/>
            <w:vAlign w:val="center"/>
          </w:tcPr>
          <w:p w:rsidR="003F60FE" w:rsidRPr="00C2517C" w:rsidRDefault="003F60FE" w:rsidP="00E917D5">
            <w:pPr>
              <w:rPr>
                <w:sz w:val="22"/>
                <w:szCs w:val="22"/>
                <w:lang w:val="en-US"/>
              </w:rPr>
            </w:pPr>
            <w:r w:rsidRPr="00C2517C">
              <w:rPr>
                <w:sz w:val="22"/>
                <w:szCs w:val="22"/>
                <w:lang w:val="en-US"/>
              </w:rPr>
              <w:t>Master degree</w:t>
            </w:r>
          </w:p>
        </w:tc>
        <w:tc>
          <w:tcPr>
            <w:tcW w:w="422" w:type="pct"/>
            <w:vAlign w:val="center"/>
          </w:tcPr>
          <w:p w:rsidR="003F60FE" w:rsidRPr="00151B33" w:rsidRDefault="003F60FE" w:rsidP="00F23B6D">
            <w:pPr>
              <w:spacing w:after="60"/>
              <w:rPr>
                <w:lang w:val="sr-Cyrl-CS"/>
              </w:rPr>
            </w:pPr>
            <w:r>
              <w:rPr>
                <w:lang w:val="sr-Cyrl-CS"/>
              </w:rPr>
              <w:t>2003</w:t>
            </w:r>
          </w:p>
        </w:tc>
        <w:tc>
          <w:tcPr>
            <w:tcW w:w="1419" w:type="pct"/>
            <w:gridSpan w:val="2"/>
            <w:vAlign w:val="center"/>
          </w:tcPr>
          <w:p w:rsidR="003F60FE" w:rsidRPr="00C2517C" w:rsidRDefault="003F60FE" w:rsidP="00F23B6D">
            <w:pPr>
              <w:rPr>
                <w:sz w:val="22"/>
                <w:szCs w:val="22"/>
                <w:lang w:val="en-US"/>
              </w:rPr>
            </w:pPr>
            <w:r>
              <w:rPr>
                <w:sz w:val="22"/>
                <w:szCs w:val="22"/>
                <w:lang w:val="en-US"/>
              </w:rPr>
              <w:t>University of Novi Sad, Faculty of Sciences</w:t>
            </w:r>
          </w:p>
        </w:tc>
        <w:tc>
          <w:tcPr>
            <w:tcW w:w="1" w:type="pct"/>
            <w:gridSpan w:val="5"/>
            <w:vAlign w:val="center"/>
          </w:tcPr>
          <w:p w:rsidR="003F60FE" w:rsidRPr="00C2517C" w:rsidRDefault="003F60FE" w:rsidP="00F23B6D">
            <w:pPr>
              <w:rPr>
                <w:sz w:val="22"/>
                <w:szCs w:val="22"/>
                <w:lang w:val="en-US"/>
              </w:rPr>
            </w:pPr>
            <w:r>
              <w:rPr>
                <w:sz w:val="22"/>
                <w:szCs w:val="22"/>
                <w:lang w:val="en-US"/>
              </w:rPr>
              <w:t>Biochemistry</w:t>
            </w:r>
          </w:p>
        </w:tc>
      </w:tr>
      <w:tr w:rsidR="003F60FE" w:rsidRPr="00C2517C" w:rsidTr="00451DE5">
        <w:trPr>
          <w:trHeight w:val="227"/>
          <w:jc w:val="center"/>
        </w:trPr>
        <w:tc>
          <w:tcPr>
            <w:tcW w:w="1256" w:type="pct"/>
            <w:gridSpan w:val="2"/>
            <w:vAlign w:val="center"/>
          </w:tcPr>
          <w:p w:rsidR="003F60FE" w:rsidRPr="00C2517C" w:rsidRDefault="003F60FE" w:rsidP="00E917D5">
            <w:pPr>
              <w:rPr>
                <w:sz w:val="22"/>
                <w:szCs w:val="22"/>
                <w:lang w:val="en-US"/>
              </w:rPr>
            </w:pPr>
            <w:r w:rsidRPr="00C2517C">
              <w:rPr>
                <w:sz w:val="22"/>
                <w:szCs w:val="22"/>
                <w:lang w:val="en-US"/>
              </w:rPr>
              <w:t xml:space="preserve">Diploma </w:t>
            </w:r>
          </w:p>
        </w:tc>
        <w:tc>
          <w:tcPr>
            <w:tcW w:w="422" w:type="pct"/>
            <w:vAlign w:val="center"/>
          </w:tcPr>
          <w:p w:rsidR="003F60FE" w:rsidRPr="00151B33" w:rsidRDefault="003F60FE" w:rsidP="00F23B6D">
            <w:pPr>
              <w:spacing w:after="60"/>
              <w:rPr>
                <w:lang w:val="sr-Cyrl-CS"/>
              </w:rPr>
            </w:pPr>
            <w:r>
              <w:rPr>
                <w:lang w:val="sr-Cyrl-CS"/>
              </w:rPr>
              <w:t>1998</w:t>
            </w:r>
          </w:p>
        </w:tc>
        <w:tc>
          <w:tcPr>
            <w:tcW w:w="1419" w:type="pct"/>
            <w:gridSpan w:val="2"/>
            <w:vAlign w:val="center"/>
          </w:tcPr>
          <w:p w:rsidR="003F60FE" w:rsidRPr="00C2517C" w:rsidRDefault="003F60FE" w:rsidP="00F23B6D">
            <w:pPr>
              <w:rPr>
                <w:sz w:val="22"/>
                <w:szCs w:val="22"/>
                <w:lang w:val="en-US"/>
              </w:rPr>
            </w:pPr>
            <w:r>
              <w:rPr>
                <w:sz w:val="22"/>
                <w:szCs w:val="22"/>
                <w:lang w:val="en-US"/>
              </w:rPr>
              <w:t>University of Novi Sad, Faculty of Sciences</w:t>
            </w:r>
          </w:p>
        </w:tc>
        <w:tc>
          <w:tcPr>
            <w:tcW w:w="1" w:type="pct"/>
            <w:gridSpan w:val="5"/>
            <w:vAlign w:val="center"/>
          </w:tcPr>
          <w:p w:rsidR="003F60FE" w:rsidRPr="00C2517C" w:rsidRDefault="003F60FE" w:rsidP="00F23B6D">
            <w:pPr>
              <w:rPr>
                <w:sz w:val="22"/>
                <w:szCs w:val="22"/>
                <w:lang w:val="en-US"/>
              </w:rPr>
            </w:pPr>
          </w:p>
        </w:tc>
      </w:tr>
      <w:tr w:rsidR="00822E42" w:rsidRPr="00C2517C" w:rsidTr="006E16AB">
        <w:trPr>
          <w:trHeight w:val="227"/>
          <w:jc w:val="center"/>
        </w:trPr>
        <w:tc>
          <w:tcPr>
            <w:tcW w:w="5000" w:type="pct"/>
            <w:gridSpan w:val="10"/>
            <w:vAlign w:val="center"/>
          </w:tcPr>
          <w:p w:rsidR="00822E42" w:rsidRPr="00C2517C" w:rsidRDefault="00822E42"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822E42" w:rsidRPr="00C2517C" w:rsidTr="003F60FE">
        <w:trPr>
          <w:trHeight w:val="227"/>
          <w:jc w:val="center"/>
        </w:trPr>
        <w:tc>
          <w:tcPr>
            <w:tcW w:w="271" w:type="pct"/>
            <w:vAlign w:val="center"/>
          </w:tcPr>
          <w:p w:rsidR="00822E42" w:rsidRPr="00C2517C" w:rsidRDefault="00822E42" w:rsidP="00E917D5">
            <w:pPr>
              <w:spacing w:after="60"/>
              <w:rPr>
                <w:sz w:val="22"/>
                <w:szCs w:val="22"/>
                <w:lang w:val="en-US"/>
              </w:rPr>
            </w:pPr>
            <w:r w:rsidRPr="00C2517C">
              <w:rPr>
                <w:sz w:val="22"/>
                <w:szCs w:val="22"/>
                <w:lang w:val="en-US"/>
              </w:rPr>
              <w:t>No.</w:t>
            </w:r>
          </w:p>
        </w:tc>
        <w:tc>
          <w:tcPr>
            <w:tcW w:w="2101" w:type="pct"/>
            <w:gridSpan w:val="3"/>
            <w:vAlign w:val="center"/>
          </w:tcPr>
          <w:p w:rsidR="00822E42" w:rsidRPr="00C2517C" w:rsidRDefault="00822E42" w:rsidP="00E917D5">
            <w:pPr>
              <w:spacing w:after="60"/>
              <w:rPr>
                <w:sz w:val="22"/>
                <w:szCs w:val="22"/>
                <w:lang w:val="en-US"/>
              </w:rPr>
            </w:pPr>
            <w:r w:rsidRPr="00C2517C">
              <w:rPr>
                <w:sz w:val="22"/>
                <w:szCs w:val="22"/>
                <w:lang w:val="en-US"/>
              </w:rPr>
              <w:t>Title of the dissertation – doctoral art project</w:t>
            </w:r>
          </w:p>
        </w:tc>
        <w:tc>
          <w:tcPr>
            <w:tcW w:w="786" w:type="pct"/>
            <w:gridSpan w:val="2"/>
            <w:vAlign w:val="center"/>
          </w:tcPr>
          <w:p w:rsidR="00822E42" w:rsidRPr="00C2517C" w:rsidRDefault="00822E42" w:rsidP="00E917D5">
            <w:pPr>
              <w:spacing w:after="60"/>
              <w:rPr>
                <w:sz w:val="22"/>
                <w:szCs w:val="22"/>
                <w:lang w:val="en-US"/>
              </w:rPr>
            </w:pPr>
            <w:r w:rsidRPr="00C2517C">
              <w:rPr>
                <w:sz w:val="22"/>
                <w:szCs w:val="22"/>
                <w:lang w:val="en-US"/>
              </w:rPr>
              <w:t xml:space="preserve">Name of the candidate </w:t>
            </w:r>
          </w:p>
        </w:tc>
        <w:tc>
          <w:tcPr>
            <w:tcW w:w="605" w:type="pct"/>
            <w:vAlign w:val="center"/>
          </w:tcPr>
          <w:p w:rsidR="00822E42" w:rsidRPr="00C2517C" w:rsidRDefault="00822E42" w:rsidP="00E917D5">
            <w:pPr>
              <w:spacing w:after="60"/>
              <w:rPr>
                <w:sz w:val="22"/>
                <w:szCs w:val="22"/>
                <w:lang w:val="en-US"/>
              </w:rPr>
            </w:pPr>
            <w:r w:rsidRPr="00C2517C">
              <w:rPr>
                <w:sz w:val="22"/>
                <w:szCs w:val="22"/>
                <w:lang w:val="en-US"/>
              </w:rPr>
              <w:t xml:space="preserve">*submitted </w:t>
            </w:r>
          </w:p>
        </w:tc>
        <w:tc>
          <w:tcPr>
            <w:tcW w:w="1236" w:type="pct"/>
            <w:gridSpan w:val="3"/>
            <w:vAlign w:val="center"/>
          </w:tcPr>
          <w:p w:rsidR="00822E42" w:rsidRPr="00C2517C" w:rsidRDefault="00822E42" w:rsidP="00E917D5">
            <w:pPr>
              <w:spacing w:after="60"/>
              <w:rPr>
                <w:sz w:val="22"/>
                <w:szCs w:val="22"/>
                <w:lang w:val="en-US"/>
              </w:rPr>
            </w:pPr>
            <w:r w:rsidRPr="00C2517C">
              <w:rPr>
                <w:sz w:val="22"/>
                <w:szCs w:val="22"/>
                <w:lang w:val="en-US"/>
              </w:rPr>
              <w:t>** defended</w:t>
            </w:r>
          </w:p>
        </w:tc>
      </w:tr>
      <w:tr w:rsidR="00822E42" w:rsidRPr="00C2517C" w:rsidTr="003F60FE">
        <w:trPr>
          <w:trHeight w:val="227"/>
          <w:jc w:val="center"/>
        </w:trPr>
        <w:tc>
          <w:tcPr>
            <w:tcW w:w="271" w:type="pct"/>
            <w:vAlign w:val="center"/>
          </w:tcPr>
          <w:p w:rsidR="00822E42" w:rsidRPr="00C2517C" w:rsidRDefault="00822E42" w:rsidP="00E917D5">
            <w:pPr>
              <w:spacing w:after="60"/>
              <w:rPr>
                <w:sz w:val="22"/>
                <w:szCs w:val="22"/>
                <w:lang w:val="en-US"/>
              </w:rPr>
            </w:pPr>
          </w:p>
        </w:tc>
        <w:tc>
          <w:tcPr>
            <w:tcW w:w="2101" w:type="pct"/>
            <w:gridSpan w:val="3"/>
            <w:vAlign w:val="center"/>
          </w:tcPr>
          <w:p w:rsidR="00822E42" w:rsidRPr="00C2517C" w:rsidRDefault="00822E42" w:rsidP="00E917D5">
            <w:pPr>
              <w:spacing w:after="60"/>
              <w:rPr>
                <w:sz w:val="22"/>
                <w:szCs w:val="22"/>
                <w:lang w:val="en-US"/>
              </w:rPr>
            </w:pPr>
          </w:p>
        </w:tc>
        <w:tc>
          <w:tcPr>
            <w:tcW w:w="786" w:type="pct"/>
            <w:gridSpan w:val="2"/>
            <w:vAlign w:val="center"/>
          </w:tcPr>
          <w:p w:rsidR="00822E42" w:rsidRPr="00C2517C" w:rsidRDefault="00822E42" w:rsidP="00E917D5">
            <w:pPr>
              <w:spacing w:after="60"/>
              <w:rPr>
                <w:sz w:val="22"/>
                <w:szCs w:val="22"/>
                <w:lang w:val="en-US"/>
              </w:rPr>
            </w:pPr>
          </w:p>
        </w:tc>
        <w:tc>
          <w:tcPr>
            <w:tcW w:w="605" w:type="pct"/>
            <w:vAlign w:val="center"/>
          </w:tcPr>
          <w:p w:rsidR="00822E42" w:rsidRPr="00C2517C" w:rsidRDefault="00822E42" w:rsidP="00E917D5">
            <w:pPr>
              <w:spacing w:after="60"/>
              <w:rPr>
                <w:sz w:val="22"/>
                <w:szCs w:val="22"/>
                <w:lang w:val="en-US"/>
              </w:rPr>
            </w:pPr>
          </w:p>
        </w:tc>
        <w:tc>
          <w:tcPr>
            <w:tcW w:w="1236" w:type="pct"/>
            <w:gridSpan w:val="3"/>
            <w:vAlign w:val="center"/>
          </w:tcPr>
          <w:p w:rsidR="00822E42" w:rsidRPr="00C2517C" w:rsidRDefault="00822E42" w:rsidP="00E917D5">
            <w:pPr>
              <w:spacing w:after="60"/>
              <w:rPr>
                <w:sz w:val="22"/>
                <w:szCs w:val="22"/>
                <w:lang w:val="en-US"/>
              </w:rPr>
            </w:pPr>
          </w:p>
        </w:tc>
      </w:tr>
      <w:tr w:rsidR="00822E42" w:rsidRPr="00C2517C" w:rsidTr="006E16AB">
        <w:trPr>
          <w:trHeight w:val="227"/>
          <w:jc w:val="center"/>
        </w:trPr>
        <w:tc>
          <w:tcPr>
            <w:tcW w:w="5000" w:type="pct"/>
            <w:gridSpan w:val="10"/>
            <w:vAlign w:val="center"/>
          </w:tcPr>
          <w:p w:rsidR="00822E42" w:rsidRPr="00C2517C" w:rsidRDefault="00822E42"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822E42" w:rsidRPr="00C2517C" w:rsidTr="006E16AB">
        <w:trPr>
          <w:trHeight w:val="227"/>
          <w:jc w:val="center"/>
        </w:trPr>
        <w:tc>
          <w:tcPr>
            <w:tcW w:w="5000" w:type="pct"/>
            <w:gridSpan w:val="10"/>
            <w:vAlign w:val="center"/>
          </w:tcPr>
          <w:p w:rsidR="00822E42" w:rsidRPr="00C2517C" w:rsidRDefault="00822E42"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1</w:t>
            </w:r>
          </w:p>
        </w:tc>
        <w:tc>
          <w:tcPr>
            <w:tcW w:w="4283" w:type="pct"/>
            <w:gridSpan w:val="8"/>
            <w:vAlign w:val="center"/>
          </w:tcPr>
          <w:p w:rsidR="00822E42" w:rsidRPr="00151B33" w:rsidRDefault="00822E42" w:rsidP="00F23B6D">
            <w:pPr>
              <w:spacing w:after="60"/>
              <w:rPr>
                <w:b/>
                <w:lang w:val="sr-Cyrl-CS"/>
              </w:rPr>
            </w:pPr>
            <w:r w:rsidRPr="0078088D">
              <w:rPr>
                <w:rFonts w:eastAsia="Times New Roman"/>
                <w:bCs/>
                <w:color w:val="000000"/>
              </w:rPr>
              <w:t>Stanic B</w:t>
            </w:r>
            <w:r w:rsidRPr="008322C8">
              <w:rPr>
                <w:rFonts w:eastAsia="Times New Roman"/>
                <w:color w:val="000000"/>
              </w:rPr>
              <w:t xml:space="preserve">, Katsuyama M, Miller FJ Jr (2010): An oxidized extracellular oxidation-reduction state increases Nox1 expression and proliferation in vascular smooth muscle cells via epidermal growth factor receptor activation. </w:t>
            </w:r>
            <w:r w:rsidRPr="008322C8">
              <w:rPr>
                <w:rFonts w:eastAsia="Times New Roman"/>
                <w:i/>
                <w:iCs/>
                <w:color w:val="000000"/>
              </w:rPr>
              <w:t>Arteriosclerosis, Thrombosis and Vascular Biology 30(11):</w:t>
            </w:r>
            <w:r w:rsidRPr="008322C8">
              <w:rPr>
                <w:rFonts w:eastAsia="Times New Roman"/>
                <w:color w:val="000000"/>
              </w:rPr>
              <w:t>2234-2241.</w:t>
            </w:r>
          </w:p>
        </w:tc>
        <w:tc>
          <w:tcPr>
            <w:tcW w:w="446" w:type="pct"/>
            <w:vAlign w:val="center"/>
          </w:tcPr>
          <w:p w:rsidR="00822E42" w:rsidRPr="008A398B" w:rsidRDefault="00822E42" w:rsidP="00F23B6D">
            <w:pPr>
              <w:spacing w:after="60"/>
              <w:rPr>
                <w:lang w:val="sr-Cyrl-CS"/>
              </w:rPr>
            </w:pPr>
            <w:r w:rsidRPr="008A398B">
              <w:rPr>
                <w:lang w:val="sr-Cyrl-CS"/>
              </w:rPr>
              <w:t>М21</w:t>
            </w:r>
            <w:r w:rsidRPr="008A398B">
              <w:rPr>
                <w:lang w:val="en-US"/>
              </w:rPr>
              <w:t>a</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2</w:t>
            </w:r>
          </w:p>
        </w:tc>
        <w:tc>
          <w:tcPr>
            <w:tcW w:w="4283" w:type="pct"/>
            <w:gridSpan w:val="8"/>
            <w:vAlign w:val="center"/>
          </w:tcPr>
          <w:p w:rsidR="00822E42" w:rsidRPr="00151B33" w:rsidRDefault="00822E42" w:rsidP="00F23B6D">
            <w:pPr>
              <w:spacing w:after="60"/>
              <w:rPr>
                <w:b/>
                <w:lang w:val="sr-Cyrl-CS"/>
              </w:rPr>
            </w:pPr>
            <w:r w:rsidRPr="000F217D">
              <w:rPr>
                <w:rFonts w:eastAsia="Times New Roman"/>
                <w:bCs/>
                <w:color w:val="000000"/>
              </w:rPr>
              <w:t>Stanic B</w:t>
            </w:r>
            <w:r w:rsidRPr="008322C8">
              <w:rPr>
                <w:rFonts w:eastAsia="Times New Roman"/>
                <w:color w:val="000000"/>
              </w:rPr>
              <w:t xml:space="preserve">, Pandey D, Fulton DJ, Miller FJ Jr (2012): Increased epidermal growth factor-like ligands are associated with elevated vascular nicotinamide adenine dinucleotide phosphate oxidase in a primate model of atherosclerosis. </w:t>
            </w:r>
            <w:r w:rsidRPr="008322C8">
              <w:rPr>
                <w:rFonts w:eastAsia="Times New Roman"/>
                <w:i/>
                <w:iCs/>
                <w:color w:val="000000"/>
              </w:rPr>
              <w:t>Arteriosclerosis, Thrombosis and Vascular Biology 32(10)</w:t>
            </w:r>
            <w:r w:rsidRPr="008322C8">
              <w:rPr>
                <w:rFonts w:eastAsia="Times New Roman"/>
                <w:color w:val="000000"/>
              </w:rPr>
              <w:t>:2452-2460.</w:t>
            </w:r>
          </w:p>
        </w:tc>
        <w:tc>
          <w:tcPr>
            <w:tcW w:w="446" w:type="pct"/>
            <w:vAlign w:val="center"/>
          </w:tcPr>
          <w:p w:rsidR="00822E42" w:rsidRPr="008A398B" w:rsidRDefault="00822E42" w:rsidP="00F23B6D">
            <w:pPr>
              <w:spacing w:after="60"/>
              <w:rPr>
                <w:lang w:val="sr-Cyrl-CS"/>
              </w:rPr>
            </w:pPr>
            <w:r w:rsidRPr="008A398B">
              <w:rPr>
                <w:lang w:val="sr-Cyrl-CS"/>
              </w:rPr>
              <w:t>М21</w:t>
            </w:r>
            <w:r w:rsidRPr="008A398B">
              <w:rPr>
                <w:lang w:val="en-US"/>
              </w:rPr>
              <w:t>a</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3</w:t>
            </w:r>
          </w:p>
        </w:tc>
        <w:tc>
          <w:tcPr>
            <w:tcW w:w="4283" w:type="pct"/>
            <w:gridSpan w:val="8"/>
          </w:tcPr>
          <w:p w:rsidR="00822E42" w:rsidRPr="00151B33" w:rsidRDefault="00822E42" w:rsidP="00F23B6D">
            <w:pPr>
              <w:spacing w:after="60"/>
              <w:rPr>
                <w:b/>
                <w:lang w:val="sr-Cyrl-CS"/>
              </w:rPr>
            </w:pPr>
            <w:r w:rsidRPr="0078088D">
              <w:rPr>
                <w:rFonts w:eastAsia="Times New Roman"/>
                <w:color w:val="000000"/>
              </w:rPr>
              <w:t xml:space="preserve">Miller FJ Jr, Filali M, Huss GJ, </w:t>
            </w:r>
            <w:r w:rsidRPr="0078088D">
              <w:rPr>
                <w:rFonts w:eastAsia="Times New Roman"/>
                <w:bCs/>
                <w:color w:val="000000"/>
              </w:rPr>
              <w:t>Stanic B</w:t>
            </w:r>
            <w:r w:rsidRPr="0078088D">
              <w:rPr>
                <w:rFonts w:eastAsia="Times New Roman"/>
                <w:color w:val="000000"/>
              </w:rPr>
              <w:t xml:space="preserve">, Chamseddine A, Barna TJ, Lamb FS (2007): Cytokine activation of nuclear factor kappa B in vascular smooth muscle cells requires signaling endosomes containing Nox1 and ClC-3. </w:t>
            </w:r>
            <w:r w:rsidRPr="0078088D">
              <w:rPr>
                <w:rFonts w:eastAsia="Times New Roman"/>
                <w:i/>
                <w:iCs/>
                <w:color w:val="000000"/>
              </w:rPr>
              <w:t>Circulation Research 101(7)</w:t>
            </w:r>
            <w:r w:rsidRPr="0078088D">
              <w:rPr>
                <w:rFonts w:eastAsia="Times New Roman"/>
                <w:color w:val="000000"/>
              </w:rPr>
              <w:t xml:space="preserve">:663-671. </w:t>
            </w:r>
          </w:p>
        </w:tc>
        <w:tc>
          <w:tcPr>
            <w:tcW w:w="446" w:type="pct"/>
            <w:vAlign w:val="center"/>
          </w:tcPr>
          <w:p w:rsidR="00822E42" w:rsidRPr="008A398B" w:rsidRDefault="00822E42" w:rsidP="00F23B6D">
            <w:pPr>
              <w:spacing w:after="60"/>
              <w:rPr>
                <w:lang w:val="sr-Cyrl-CS"/>
              </w:rPr>
            </w:pPr>
            <w:r w:rsidRPr="008A398B">
              <w:rPr>
                <w:lang w:val="sr-Cyrl-CS"/>
              </w:rPr>
              <w:t>М21</w:t>
            </w:r>
            <w:r w:rsidRPr="008A398B">
              <w:rPr>
                <w:lang w:val="en-US"/>
              </w:rPr>
              <w:t>a</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4</w:t>
            </w:r>
          </w:p>
        </w:tc>
        <w:tc>
          <w:tcPr>
            <w:tcW w:w="4283" w:type="pct"/>
            <w:gridSpan w:val="8"/>
          </w:tcPr>
          <w:p w:rsidR="00822E42" w:rsidRPr="00151B33" w:rsidRDefault="00822E42" w:rsidP="00F23B6D">
            <w:pPr>
              <w:spacing w:after="60"/>
              <w:rPr>
                <w:b/>
                <w:lang w:val="sr-Cyrl-CS"/>
              </w:rPr>
            </w:pPr>
            <w:r w:rsidRPr="0078088D">
              <w:rPr>
                <w:rFonts w:eastAsia="Times New Roman"/>
                <w:color w:val="000000"/>
              </w:rPr>
              <w:t xml:space="preserve">Miller FJ Jr, Chu X, </w:t>
            </w:r>
            <w:r w:rsidRPr="000F217D">
              <w:rPr>
                <w:rFonts w:eastAsia="Times New Roman"/>
                <w:bCs/>
                <w:color w:val="000000"/>
              </w:rPr>
              <w:t>Stanic B</w:t>
            </w:r>
            <w:r w:rsidRPr="0078088D">
              <w:rPr>
                <w:rFonts w:eastAsia="Times New Roman"/>
                <w:color w:val="000000"/>
              </w:rPr>
              <w:t xml:space="preserve">, Tian X, Sharma RV, Davisson RL, Lamb FS (2010): A differential role for endocytosis in receptor-mediated activation of Nox1. </w:t>
            </w:r>
            <w:r w:rsidRPr="0078088D">
              <w:rPr>
                <w:rFonts w:eastAsia="Times New Roman"/>
                <w:i/>
                <w:iCs/>
                <w:color w:val="000000"/>
              </w:rPr>
              <w:t>Antioxidants &amp; Redox Signaling 12(5)</w:t>
            </w:r>
            <w:r w:rsidRPr="0078088D">
              <w:rPr>
                <w:rFonts w:eastAsia="Times New Roman"/>
                <w:color w:val="000000"/>
              </w:rPr>
              <w:t>:583-593.</w:t>
            </w:r>
          </w:p>
        </w:tc>
        <w:tc>
          <w:tcPr>
            <w:tcW w:w="446" w:type="pct"/>
            <w:vAlign w:val="center"/>
          </w:tcPr>
          <w:p w:rsidR="00822E42" w:rsidRPr="008A398B" w:rsidRDefault="00822E42" w:rsidP="00F23B6D">
            <w:pPr>
              <w:spacing w:after="60"/>
              <w:rPr>
                <w:lang w:val="sr-Cyrl-CS"/>
              </w:rPr>
            </w:pPr>
            <w:r w:rsidRPr="008A398B">
              <w:rPr>
                <w:lang w:val="sr-Cyrl-CS"/>
              </w:rPr>
              <w:t>М21</w:t>
            </w:r>
            <w:r w:rsidRPr="008A398B">
              <w:rPr>
                <w:lang w:val="en-US"/>
              </w:rPr>
              <w:t>a</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5</w:t>
            </w:r>
          </w:p>
        </w:tc>
        <w:tc>
          <w:tcPr>
            <w:tcW w:w="4283" w:type="pct"/>
            <w:gridSpan w:val="8"/>
          </w:tcPr>
          <w:p w:rsidR="00822E42" w:rsidRPr="00151B33" w:rsidRDefault="00822E42" w:rsidP="00F23B6D">
            <w:pPr>
              <w:spacing w:after="60"/>
              <w:rPr>
                <w:b/>
                <w:lang w:val="sr-Cyrl-CS"/>
              </w:rPr>
            </w:pPr>
            <w:r w:rsidRPr="008322C8">
              <w:rPr>
                <w:rFonts w:eastAsia="Times New Roman"/>
                <w:color w:val="000000"/>
              </w:rPr>
              <w:t xml:space="preserve">Chu X, Filali M, </w:t>
            </w:r>
            <w:r w:rsidRPr="000F217D">
              <w:rPr>
                <w:rFonts w:eastAsia="Times New Roman"/>
                <w:bCs/>
                <w:color w:val="000000"/>
              </w:rPr>
              <w:t>Stanic B</w:t>
            </w:r>
            <w:r w:rsidRPr="008322C8">
              <w:rPr>
                <w:rFonts w:eastAsia="Times New Roman"/>
                <w:color w:val="000000"/>
              </w:rPr>
              <w:t xml:space="preserve">, Takapoo M, Sheehan A, Bhalla R, Lamb FS, Miller FJ Jr (2011): A critical role for ClC-3 in smooth muscle cell activation and neointima formation. </w:t>
            </w:r>
            <w:r w:rsidRPr="008322C8">
              <w:rPr>
                <w:rFonts w:eastAsia="Times New Roman"/>
                <w:i/>
                <w:iCs/>
                <w:color w:val="000000"/>
              </w:rPr>
              <w:t>Arteriosclerosis, Thrombosis and Vascular Biology 31(2):</w:t>
            </w:r>
            <w:r w:rsidRPr="008322C8">
              <w:rPr>
                <w:rFonts w:eastAsia="Times New Roman"/>
                <w:color w:val="000000"/>
              </w:rPr>
              <w:t>345-351.</w:t>
            </w:r>
          </w:p>
        </w:tc>
        <w:tc>
          <w:tcPr>
            <w:tcW w:w="446" w:type="pct"/>
            <w:vAlign w:val="center"/>
          </w:tcPr>
          <w:p w:rsidR="00822E42" w:rsidRPr="008A398B" w:rsidRDefault="00822E42" w:rsidP="00F23B6D">
            <w:pPr>
              <w:spacing w:after="60"/>
              <w:rPr>
                <w:lang w:val="sr-Cyrl-CS"/>
              </w:rPr>
            </w:pPr>
            <w:r w:rsidRPr="008A398B">
              <w:rPr>
                <w:lang w:val="sr-Cyrl-CS"/>
              </w:rPr>
              <w:t>М21</w:t>
            </w:r>
            <w:r w:rsidRPr="008A398B">
              <w:rPr>
                <w:lang w:val="en-US"/>
              </w:rPr>
              <w:t>a</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6</w:t>
            </w:r>
          </w:p>
        </w:tc>
        <w:tc>
          <w:tcPr>
            <w:tcW w:w="4283" w:type="pct"/>
            <w:gridSpan w:val="8"/>
          </w:tcPr>
          <w:p w:rsidR="00822E42" w:rsidRPr="00151B33" w:rsidRDefault="00822E42" w:rsidP="00F23B6D">
            <w:pPr>
              <w:spacing w:after="60"/>
              <w:rPr>
                <w:b/>
                <w:lang w:val="sr-Cyrl-CS"/>
              </w:rPr>
            </w:pPr>
            <w:r w:rsidRPr="000F217D">
              <w:rPr>
                <w:rFonts w:eastAsia="Times New Roman"/>
                <w:color w:val="000000"/>
              </w:rPr>
              <w:t xml:space="preserve">Sheehan AL, Carrell S, Johnson B, </w:t>
            </w:r>
            <w:r w:rsidRPr="000F217D">
              <w:rPr>
                <w:rFonts w:eastAsia="Times New Roman"/>
                <w:bCs/>
                <w:color w:val="000000"/>
              </w:rPr>
              <w:t>Stanic B</w:t>
            </w:r>
            <w:r w:rsidRPr="000F217D">
              <w:rPr>
                <w:rFonts w:eastAsia="Times New Roman"/>
                <w:color w:val="000000"/>
              </w:rPr>
              <w:t xml:space="preserve">, Banfi B, Miller FJ Jr (2011): Role for Nox1 NADPH oxidase in atherosclerosis. </w:t>
            </w:r>
            <w:r w:rsidRPr="000F217D">
              <w:rPr>
                <w:rFonts w:eastAsia="Times New Roman"/>
                <w:i/>
                <w:iCs/>
                <w:color w:val="000000"/>
              </w:rPr>
              <w:t>Atherosclerosis 216(2):</w:t>
            </w:r>
            <w:r w:rsidRPr="000F217D">
              <w:rPr>
                <w:rFonts w:eastAsia="Times New Roman"/>
                <w:color w:val="000000"/>
              </w:rPr>
              <w:t>321-326</w:t>
            </w:r>
            <w:r w:rsidRPr="000F217D">
              <w:rPr>
                <w:rFonts w:eastAsia="Times New Roman"/>
                <w:i/>
                <w:iCs/>
                <w:color w:val="000000"/>
              </w:rPr>
              <w:t xml:space="preserve">. </w:t>
            </w:r>
          </w:p>
        </w:tc>
        <w:tc>
          <w:tcPr>
            <w:tcW w:w="446" w:type="pct"/>
            <w:vAlign w:val="center"/>
          </w:tcPr>
          <w:p w:rsidR="00822E42" w:rsidRPr="008A398B" w:rsidRDefault="00822E42" w:rsidP="00F23B6D">
            <w:pPr>
              <w:spacing w:after="60"/>
              <w:rPr>
                <w:lang w:val="sr-Cyrl-CS"/>
              </w:rPr>
            </w:pPr>
            <w:r w:rsidRPr="008A398B">
              <w:rPr>
                <w:lang w:val="sr-Cyrl-CS"/>
              </w:rPr>
              <w:t>М21</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7</w:t>
            </w:r>
          </w:p>
        </w:tc>
        <w:tc>
          <w:tcPr>
            <w:tcW w:w="4283" w:type="pct"/>
            <w:gridSpan w:val="8"/>
          </w:tcPr>
          <w:p w:rsidR="00822E42" w:rsidRPr="00151B33" w:rsidRDefault="00822E42" w:rsidP="00F23B6D">
            <w:pPr>
              <w:spacing w:after="60"/>
              <w:rPr>
                <w:b/>
                <w:lang w:val="sr-Cyrl-CS"/>
              </w:rPr>
            </w:pPr>
            <w:r w:rsidRPr="008322C8">
              <w:rPr>
                <w:rFonts w:eastAsia="Times New Roman"/>
                <w:color w:val="000000"/>
              </w:rPr>
              <w:t xml:space="preserve">Zimmerman MC, Takapoo M, Jagadeesha DK, </w:t>
            </w:r>
            <w:r w:rsidRPr="000F217D">
              <w:rPr>
                <w:rFonts w:eastAsia="Times New Roman"/>
                <w:bCs/>
                <w:color w:val="000000"/>
              </w:rPr>
              <w:t>Stanic B</w:t>
            </w:r>
            <w:r w:rsidRPr="008322C8">
              <w:rPr>
                <w:rFonts w:eastAsia="Times New Roman"/>
                <w:color w:val="000000"/>
              </w:rPr>
              <w:t xml:space="preserve">, Banfi B, Bhalla R, Miller FJ (2011): Activation of NADPH oxidase 1 increases intracellular calcium and migration of smooth muscle cells. </w:t>
            </w:r>
            <w:r w:rsidRPr="008322C8">
              <w:rPr>
                <w:rFonts w:eastAsia="Times New Roman"/>
                <w:i/>
                <w:iCs/>
                <w:color w:val="000000"/>
              </w:rPr>
              <w:t>Hypertension 58(3)</w:t>
            </w:r>
            <w:r>
              <w:rPr>
                <w:rFonts w:eastAsia="Times New Roman"/>
                <w:color w:val="000000"/>
              </w:rPr>
              <w:t>:</w:t>
            </w:r>
            <w:r w:rsidRPr="008322C8">
              <w:rPr>
                <w:rFonts w:eastAsia="Times New Roman"/>
                <w:color w:val="000000"/>
              </w:rPr>
              <w:t>446-453.</w:t>
            </w:r>
          </w:p>
        </w:tc>
        <w:tc>
          <w:tcPr>
            <w:tcW w:w="446" w:type="pct"/>
            <w:vAlign w:val="center"/>
          </w:tcPr>
          <w:p w:rsidR="00822E42" w:rsidRPr="008A398B" w:rsidRDefault="00822E42" w:rsidP="00F23B6D">
            <w:pPr>
              <w:spacing w:after="60"/>
              <w:rPr>
                <w:lang w:val="sr-Cyrl-CS"/>
              </w:rPr>
            </w:pPr>
            <w:r w:rsidRPr="008A398B">
              <w:rPr>
                <w:lang w:val="sr-Cyrl-CS"/>
              </w:rPr>
              <w:t>М21</w:t>
            </w:r>
            <w:r w:rsidRPr="008A398B">
              <w:rPr>
                <w:lang w:val="en-US"/>
              </w:rPr>
              <w:t>a</w:t>
            </w:r>
          </w:p>
        </w:tc>
      </w:tr>
      <w:tr w:rsidR="00822E42" w:rsidRPr="00C2517C" w:rsidTr="008A398B">
        <w:trPr>
          <w:trHeight w:val="227"/>
          <w:jc w:val="center"/>
        </w:trPr>
        <w:tc>
          <w:tcPr>
            <w:tcW w:w="271" w:type="pct"/>
            <w:vAlign w:val="center"/>
          </w:tcPr>
          <w:p w:rsidR="00822E42" w:rsidRPr="00151B33" w:rsidRDefault="00822E42" w:rsidP="00F23B6D">
            <w:pPr>
              <w:spacing w:after="60"/>
              <w:rPr>
                <w:b/>
                <w:lang w:val="sr-Cyrl-CS"/>
              </w:rPr>
            </w:pPr>
            <w:r w:rsidRPr="00151B33">
              <w:rPr>
                <w:b/>
                <w:lang w:val="sr-Cyrl-CS"/>
              </w:rPr>
              <w:t>8</w:t>
            </w:r>
          </w:p>
        </w:tc>
        <w:tc>
          <w:tcPr>
            <w:tcW w:w="4283" w:type="pct"/>
            <w:gridSpan w:val="8"/>
          </w:tcPr>
          <w:p w:rsidR="00822E42" w:rsidRPr="00151B33" w:rsidRDefault="00822E42" w:rsidP="00F23B6D">
            <w:pPr>
              <w:spacing w:after="60"/>
              <w:rPr>
                <w:b/>
                <w:lang w:val="sr-Cyrl-CS"/>
              </w:rPr>
            </w:pPr>
            <w:r w:rsidRPr="008322C8">
              <w:rPr>
                <w:rFonts w:eastAsia="Times New Roman"/>
                <w:color w:val="000000"/>
              </w:rPr>
              <w:t>Streeter J, Schickling BM, Jiang S,</w:t>
            </w:r>
            <w:r>
              <w:rPr>
                <w:rFonts w:eastAsia="Times New Roman"/>
                <w:color w:val="000000"/>
              </w:rPr>
              <w:t xml:space="preserve"> </w:t>
            </w:r>
            <w:r w:rsidRPr="000F217D">
              <w:rPr>
                <w:rFonts w:eastAsia="Times New Roman"/>
                <w:bCs/>
                <w:color w:val="000000"/>
              </w:rPr>
              <w:t>Stanic B</w:t>
            </w:r>
            <w:r w:rsidRPr="008322C8">
              <w:rPr>
                <w:rFonts w:eastAsia="Times New Roman"/>
                <w:color w:val="000000"/>
              </w:rPr>
              <w:t>, Thiel WH, Gakhar L, Houtman JCD, Miller FJ Jr (2014):</w:t>
            </w:r>
            <w:r w:rsidRPr="008322C8">
              <w:rPr>
                <w:rFonts w:eastAsia="Times New Roman"/>
                <w:color w:val="000000"/>
                <w:shd w:val="clear" w:color="auto" w:fill="FFFFFF"/>
              </w:rPr>
              <w:t xml:space="preserve"> Phosphorylation of Nox1 regulates association with NoxA1 activation domain</w:t>
            </w:r>
            <w:r w:rsidRPr="008322C8">
              <w:rPr>
                <w:rFonts w:eastAsia="Times New Roman"/>
                <w:color w:val="000000"/>
              </w:rPr>
              <w:t>.</w:t>
            </w:r>
            <w:r w:rsidRPr="008322C8">
              <w:rPr>
                <w:rFonts w:eastAsia="Times New Roman"/>
                <w:i/>
                <w:iCs/>
                <w:color w:val="000000"/>
              </w:rPr>
              <w:t xml:space="preserve"> Circulation Research</w:t>
            </w:r>
            <w:r w:rsidRPr="008322C8">
              <w:rPr>
                <w:rFonts w:eastAsia="Times New Roman"/>
                <w:i/>
                <w:iCs/>
                <w:color w:val="000000"/>
                <w:shd w:val="clear" w:color="auto" w:fill="FFFFFF"/>
              </w:rPr>
              <w:t xml:space="preserve"> 115(11)</w:t>
            </w:r>
            <w:r w:rsidRPr="008322C8">
              <w:rPr>
                <w:rFonts w:eastAsia="Times New Roman"/>
                <w:color w:val="000000"/>
                <w:shd w:val="clear" w:color="auto" w:fill="FFFFFF"/>
              </w:rPr>
              <w:t>: 911-</w:t>
            </w:r>
            <w:r>
              <w:rPr>
                <w:rFonts w:eastAsia="Times New Roman"/>
                <w:color w:val="000000"/>
                <w:shd w:val="clear" w:color="auto" w:fill="FFFFFF"/>
              </w:rPr>
              <w:t>91</w:t>
            </w:r>
            <w:r w:rsidRPr="008322C8">
              <w:rPr>
                <w:rFonts w:eastAsia="Times New Roman"/>
                <w:color w:val="000000"/>
                <w:shd w:val="clear" w:color="auto" w:fill="FFFFFF"/>
              </w:rPr>
              <w:t>8</w:t>
            </w:r>
            <w:r w:rsidRPr="008322C8">
              <w:rPr>
                <w:rFonts w:eastAsia="Times New Roman"/>
                <w:color w:val="000000"/>
              </w:rPr>
              <w:t>.</w:t>
            </w:r>
          </w:p>
        </w:tc>
        <w:tc>
          <w:tcPr>
            <w:tcW w:w="446" w:type="pct"/>
            <w:vAlign w:val="center"/>
          </w:tcPr>
          <w:p w:rsidR="00822E42" w:rsidRPr="008A398B" w:rsidRDefault="00822E42" w:rsidP="00F23B6D">
            <w:pPr>
              <w:spacing w:after="60"/>
              <w:rPr>
                <w:lang w:val="sr-Cyrl-CS"/>
              </w:rPr>
            </w:pPr>
            <w:r w:rsidRPr="008A398B">
              <w:rPr>
                <w:lang w:val="sr-Cyrl-CS"/>
              </w:rPr>
              <w:t>М2</w:t>
            </w:r>
            <w:r w:rsidRPr="008A398B">
              <w:rPr>
                <w:lang w:val="en-US"/>
              </w:rPr>
              <w:t>1a</w:t>
            </w:r>
          </w:p>
        </w:tc>
      </w:tr>
      <w:tr w:rsidR="00822E42" w:rsidRPr="00C2517C" w:rsidTr="006E16AB">
        <w:trPr>
          <w:trHeight w:val="227"/>
          <w:jc w:val="center"/>
        </w:trPr>
        <w:tc>
          <w:tcPr>
            <w:tcW w:w="5000" w:type="pct"/>
            <w:gridSpan w:val="10"/>
            <w:vAlign w:val="center"/>
          </w:tcPr>
          <w:p w:rsidR="00822E42" w:rsidRPr="00C2517C" w:rsidRDefault="00822E42" w:rsidP="00E917D5">
            <w:pPr>
              <w:spacing w:after="60"/>
              <w:rPr>
                <w:b/>
                <w:sz w:val="22"/>
                <w:szCs w:val="22"/>
                <w:lang w:val="en-US"/>
              </w:rPr>
            </w:pPr>
            <w:r w:rsidRPr="00C2517C">
              <w:rPr>
                <w:b/>
                <w:sz w:val="22"/>
                <w:szCs w:val="22"/>
                <w:lang w:val="en-US"/>
              </w:rPr>
              <w:t>Cumulative data of scientific activity of the teacher</w:t>
            </w:r>
          </w:p>
        </w:tc>
      </w:tr>
      <w:tr w:rsidR="00822E42" w:rsidRPr="00C2517C" w:rsidTr="003F60FE">
        <w:trPr>
          <w:trHeight w:val="227"/>
          <w:jc w:val="center"/>
        </w:trPr>
        <w:tc>
          <w:tcPr>
            <w:tcW w:w="2372" w:type="pct"/>
            <w:gridSpan w:val="4"/>
          </w:tcPr>
          <w:p w:rsidR="00822E42" w:rsidRPr="00C2517C" w:rsidRDefault="00822E42" w:rsidP="00E917D5">
            <w:pPr>
              <w:rPr>
                <w:sz w:val="22"/>
                <w:szCs w:val="22"/>
                <w:lang w:val="en-US"/>
              </w:rPr>
            </w:pPr>
            <w:r w:rsidRPr="00C2517C">
              <w:rPr>
                <w:sz w:val="22"/>
                <w:szCs w:val="22"/>
                <w:lang w:val="en-US"/>
              </w:rPr>
              <w:t>Total number of citations, without self citations</w:t>
            </w:r>
          </w:p>
        </w:tc>
        <w:tc>
          <w:tcPr>
            <w:tcW w:w="2628" w:type="pct"/>
            <w:gridSpan w:val="6"/>
            <w:vAlign w:val="center"/>
          </w:tcPr>
          <w:p w:rsidR="00822E42" w:rsidRPr="00C2517C" w:rsidRDefault="00822E42" w:rsidP="00E917D5">
            <w:pPr>
              <w:spacing w:after="60"/>
              <w:rPr>
                <w:b/>
                <w:sz w:val="22"/>
                <w:szCs w:val="22"/>
                <w:lang w:val="en-US"/>
              </w:rPr>
            </w:pPr>
            <w:r>
              <w:rPr>
                <w:b/>
                <w:sz w:val="22"/>
                <w:szCs w:val="22"/>
                <w:lang w:val="en-US"/>
              </w:rPr>
              <w:t>591</w:t>
            </w:r>
          </w:p>
        </w:tc>
      </w:tr>
      <w:tr w:rsidR="00822E42" w:rsidRPr="00C2517C" w:rsidTr="003F60FE">
        <w:trPr>
          <w:trHeight w:val="227"/>
          <w:jc w:val="center"/>
        </w:trPr>
        <w:tc>
          <w:tcPr>
            <w:tcW w:w="2372" w:type="pct"/>
            <w:gridSpan w:val="4"/>
          </w:tcPr>
          <w:p w:rsidR="00822E42" w:rsidRPr="00C2517C" w:rsidRDefault="00822E42" w:rsidP="00E917D5">
            <w:pPr>
              <w:rPr>
                <w:sz w:val="22"/>
                <w:szCs w:val="22"/>
                <w:lang w:val="en-US"/>
              </w:rPr>
            </w:pPr>
            <w:r w:rsidRPr="00C2517C">
              <w:rPr>
                <w:sz w:val="22"/>
                <w:szCs w:val="22"/>
                <w:lang w:val="en-US"/>
              </w:rPr>
              <w:lastRenderedPageBreak/>
              <w:t>Total number of papers on the SCI (or SSCI) list</w:t>
            </w:r>
          </w:p>
        </w:tc>
        <w:tc>
          <w:tcPr>
            <w:tcW w:w="2628" w:type="pct"/>
            <w:gridSpan w:val="6"/>
            <w:vAlign w:val="center"/>
          </w:tcPr>
          <w:p w:rsidR="00822E42" w:rsidRPr="00C2517C" w:rsidRDefault="00822E42" w:rsidP="00E917D5">
            <w:pPr>
              <w:spacing w:after="60"/>
              <w:rPr>
                <w:b/>
                <w:sz w:val="22"/>
                <w:szCs w:val="22"/>
                <w:lang w:val="en-US"/>
              </w:rPr>
            </w:pPr>
            <w:r>
              <w:rPr>
                <w:b/>
                <w:sz w:val="22"/>
                <w:szCs w:val="22"/>
                <w:lang w:val="en-US"/>
              </w:rPr>
              <w:t>22</w:t>
            </w:r>
          </w:p>
        </w:tc>
      </w:tr>
      <w:tr w:rsidR="00822E42" w:rsidRPr="00C2517C" w:rsidTr="003F60FE">
        <w:trPr>
          <w:trHeight w:val="227"/>
          <w:jc w:val="center"/>
        </w:trPr>
        <w:tc>
          <w:tcPr>
            <w:tcW w:w="2372" w:type="pct"/>
            <w:gridSpan w:val="4"/>
          </w:tcPr>
          <w:p w:rsidR="00822E42" w:rsidRPr="00C2517C" w:rsidRDefault="00822E42" w:rsidP="00E917D5">
            <w:pPr>
              <w:rPr>
                <w:sz w:val="22"/>
                <w:szCs w:val="22"/>
                <w:lang w:val="en-US"/>
              </w:rPr>
            </w:pPr>
            <w:r w:rsidRPr="00C2517C">
              <w:rPr>
                <w:sz w:val="22"/>
                <w:szCs w:val="22"/>
                <w:lang w:val="en-US"/>
              </w:rPr>
              <w:t>Current participation in projects</w:t>
            </w:r>
          </w:p>
        </w:tc>
        <w:tc>
          <w:tcPr>
            <w:tcW w:w="1479" w:type="pct"/>
            <w:gridSpan w:val="4"/>
            <w:vAlign w:val="center"/>
          </w:tcPr>
          <w:p w:rsidR="00822E42" w:rsidRPr="00C2517C" w:rsidRDefault="00822E42" w:rsidP="00E917D5">
            <w:pPr>
              <w:spacing w:after="60"/>
              <w:rPr>
                <w:b/>
                <w:sz w:val="22"/>
                <w:szCs w:val="22"/>
                <w:lang w:val="en-US"/>
              </w:rPr>
            </w:pPr>
            <w:r w:rsidRPr="00C2517C">
              <w:rPr>
                <w:sz w:val="22"/>
                <w:szCs w:val="22"/>
                <w:lang w:val="en-US"/>
              </w:rPr>
              <w:t xml:space="preserve">Domestic </w:t>
            </w:r>
            <w:r>
              <w:rPr>
                <w:sz w:val="22"/>
                <w:szCs w:val="22"/>
                <w:lang w:val="en-US"/>
              </w:rPr>
              <w:t xml:space="preserve">  </w:t>
            </w:r>
            <w:r w:rsidRPr="00822E42">
              <w:rPr>
                <w:b/>
                <w:sz w:val="22"/>
                <w:szCs w:val="22"/>
                <w:lang w:val="en-US"/>
              </w:rPr>
              <w:t>1</w:t>
            </w:r>
          </w:p>
        </w:tc>
        <w:tc>
          <w:tcPr>
            <w:tcW w:w="1149" w:type="pct"/>
            <w:gridSpan w:val="2"/>
            <w:vAlign w:val="center"/>
          </w:tcPr>
          <w:p w:rsidR="00822E42" w:rsidRPr="00C2517C" w:rsidRDefault="00822E42" w:rsidP="00E917D5">
            <w:pPr>
              <w:spacing w:after="60"/>
              <w:rPr>
                <w:b/>
                <w:sz w:val="22"/>
                <w:szCs w:val="22"/>
                <w:lang w:val="en-US"/>
              </w:rPr>
            </w:pPr>
            <w:r w:rsidRPr="00C2517C">
              <w:rPr>
                <w:sz w:val="22"/>
                <w:szCs w:val="22"/>
                <w:lang w:val="en-US"/>
              </w:rPr>
              <w:t>International</w:t>
            </w:r>
            <w:r>
              <w:rPr>
                <w:sz w:val="22"/>
                <w:szCs w:val="22"/>
                <w:lang w:val="en-US"/>
              </w:rPr>
              <w:t xml:space="preserve">   </w:t>
            </w:r>
            <w:r w:rsidRPr="00822E42">
              <w:rPr>
                <w:b/>
                <w:sz w:val="22"/>
                <w:szCs w:val="22"/>
                <w:lang w:val="en-US"/>
              </w:rPr>
              <w:t>0</w:t>
            </w:r>
          </w:p>
        </w:tc>
      </w:tr>
      <w:tr w:rsidR="00822E42" w:rsidRPr="00C2517C" w:rsidTr="003F60FE">
        <w:trPr>
          <w:trHeight w:val="227"/>
          <w:jc w:val="center"/>
        </w:trPr>
        <w:tc>
          <w:tcPr>
            <w:tcW w:w="2372" w:type="pct"/>
            <w:gridSpan w:val="4"/>
          </w:tcPr>
          <w:p w:rsidR="00822E42" w:rsidRPr="00C2517C" w:rsidRDefault="00822E42" w:rsidP="00E917D5">
            <w:pPr>
              <w:rPr>
                <w:sz w:val="22"/>
                <w:szCs w:val="22"/>
                <w:lang w:val="en-US"/>
              </w:rPr>
            </w:pPr>
            <w:r w:rsidRPr="00C2517C">
              <w:rPr>
                <w:sz w:val="22"/>
                <w:szCs w:val="22"/>
                <w:lang w:val="en-US"/>
              </w:rPr>
              <w:t xml:space="preserve">Specialization </w:t>
            </w:r>
          </w:p>
        </w:tc>
        <w:tc>
          <w:tcPr>
            <w:tcW w:w="1479" w:type="pct"/>
            <w:gridSpan w:val="4"/>
            <w:vAlign w:val="center"/>
          </w:tcPr>
          <w:p w:rsidR="00822E42" w:rsidRPr="00C2517C" w:rsidRDefault="00822E42" w:rsidP="00E917D5">
            <w:pPr>
              <w:spacing w:after="60"/>
              <w:rPr>
                <w:b/>
                <w:sz w:val="22"/>
                <w:szCs w:val="22"/>
                <w:lang w:val="en-US"/>
              </w:rPr>
            </w:pPr>
          </w:p>
        </w:tc>
        <w:tc>
          <w:tcPr>
            <w:tcW w:w="1149" w:type="pct"/>
            <w:gridSpan w:val="2"/>
            <w:vAlign w:val="center"/>
          </w:tcPr>
          <w:p w:rsidR="00822E42" w:rsidRPr="00C2517C" w:rsidRDefault="00822E42" w:rsidP="00E917D5">
            <w:pPr>
              <w:spacing w:after="60"/>
              <w:rPr>
                <w:b/>
                <w:sz w:val="22"/>
                <w:szCs w:val="22"/>
                <w:lang w:val="en-US"/>
              </w:rPr>
            </w:pPr>
          </w:p>
        </w:tc>
      </w:tr>
      <w:tr w:rsidR="00822E42" w:rsidRPr="00C2517C" w:rsidTr="003F60FE">
        <w:trPr>
          <w:trHeight w:val="227"/>
          <w:jc w:val="center"/>
        </w:trPr>
        <w:tc>
          <w:tcPr>
            <w:tcW w:w="2372" w:type="pct"/>
            <w:gridSpan w:val="4"/>
          </w:tcPr>
          <w:p w:rsidR="00822E42" w:rsidRPr="00FA3A2D" w:rsidRDefault="00822E42" w:rsidP="00E917D5">
            <w:pPr>
              <w:rPr>
                <w:b/>
                <w:sz w:val="22"/>
                <w:szCs w:val="22"/>
                <w:lang w:val="en-US"/>
              </w:rPr>
            </w:pPr>
            <w:r w:rsidRPr="00FA3A2D">
              <w:rPr>
                <w:b/>
                <w:sz w:val="22"/>
                <w:szCs w:val="22"/>
                <w:lang w:val="en-US"/>
              </w:rPr>
              <w:t>Other information you consider to be important</w:t>
            </w:r>
          </w:p>
        </w:tc>
        <w:tc>
          <w:tcPr>
            <w:tcW w:w="2628" w:type="pct"/>
            <w:gridSpan w:val="6"/>
            <w:vAlign w:val="center"/>
          </w:tcPr>
          <w:p w:rsidR="00822E42" w:rsidRPr="00822E42" w:rsidRDefault="00822E42" w:rsidP="00E917D5">
            <w:pPr>
              <w:spacing w:after="60"/>
              <w:rPr>
                <w:b/>
                <w:lang w:val="en-US"/>
              </w:rPr>
            </w:pPr>
            <w:r w:rsidRPr="00822E42">
              <w:t xml:space="preserve">From 2005-2012 worked as Research Associate (Natural/Health Sciences) in the Division of Cardiovascular Medicine, </w:t>
            </w:r>
            <w:r w:rsidRPr="00822E42">
              <w:rPr>
                <w:lang w:val="en-US"/>
              </w:rPr>
              <w:t>Department of Internal Medicine, Carver College of Medicine, University of Iowa, Iowa City, USA</w:t>
            </w:r>
            <w:r w:rsidRPr="00822E42">
              <w:t>,</w:t>
            </w:r>
            <w:r w:rsidRPr="00822E42">
              <w:rPr>
                <w:lang w:val="en-US"/>
              </w:rPr>
              <w:t xml:space="preserve"> </w:t>
            </w:r>
            <w:r w:rsidRPr="00822E42">
              <w:t>in the laboratory of Dr. Francis J. Miller, Jr., where she completed experimental part of her Ph.D. Thesis.</w:t>
            </w: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E16AB"/>
    <w:rsid w:val="00055B4C"/>
    <w:rsid w:val="000F018B"/>
    <w:rsid w:val="00345BDF"/>
    <w:rsid w:val="003F60FE"/>
    <w:rsid w:val="0047415A"/>
    <w:rsid w:val="00483399"/>
    <w:rsid w:val="004D2C20"/>
    <w:rsid w:val="006E16AB"/>
    <w:rsid w:val="00822E42"/>
    <w:rsid w:val="00880906"/>
    <w:rsid w:val="008A398B"/>
    <w:rsid w:val="008C170D"/>
    <w:rsid w:val="0095547F"/>
    <w:rsid w:val="009A6E08"/>
    <w:rsid w:val="00B01D36"/>
    <w:rsid w:val="00BA044A"/>
    <w:rsid w:val="00EA7B23"/>
    <w:rsid w:val="00FA3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B8FD7-3E2A-43E5-9613-E690EEB8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4</cp:revision>
  <dcterms:created xsi:type="dcterms:W3CDTF">2019-09-24T13:00:00Z</dcterms:created>
  <dcterms:modified xsi:type="dcterms:W3CDTF">2020-04-23T13:02:00Z</dcterms:modified>
</cp:coreProperties>
</file>