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03" w:type="dxa"/>
        <w:jc w:val="center"/>
        <w:tblInd w:w="-1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768"/>
        <w:gridCol w:w="720"/>
        <w:gridCol w:w="1410"/>
        <w:gridCol w:w="470"/>
        <w:gridCol w:w="1060"/>
        <w:gridCol w:w="1400"/>
        <w:gridCol w:w="50"/>
        <w:gridCol w:w="10"/>
        <w:gridCol w:w="1430"/>
        <w:gridCol w:w="790"/>
        <w:gridCol w:w="956"/>
      </w:tblGrid>
      <w:tr w:rsidR="00350111" w:rsidTr="00302061">
        <w:trPr>
          <w:trHeight w:val="227"/>
          <w:jc w:val="center"/>
        </w:trPr>
        <w:tc>
          <w:tcPr>
            <w:tcW w:w="3127" w:type="dxa"/>
            <w:gridSpan w:val="3"/>
            <w:vAlign w:val="center"/>
          </w:tcPr>
          <w:p w:rsidR="00350111" w:rsidRDefault="002744BA" w:rsidP="00302061">
            <w:pPr>
              <w:spacing w:after="0" w:line="240" w:lineRule="auto"/>
              <w:rPr>
                <w:sz w:val="22"/>
                <w:szCs w:val="22"/>
                <w:lang w:val="en-US"/>
              </w:rPr>
            </w:pPr>
            <w:r>
              <w:rPr>
                <w:b/>
                <w:sz w:val="22"/>
                <w:szCs w:val="22"/>
                <w:lang w:val="en-US"/>
              </w:rPr>
              <w:t>Name and family name</w:t>
            </w:r>
          </w:p>
        </w:tc>
        <w:tc>
          <w:tcPr>
            <w:tcW w:w="7576" w:type="dxa"/>
            <w:gridSpan w:val="9"/>
            <w:vAlign w:val="center"/>
          </w:tcPr>
          <w:p w:rsidR="00350111" w:rsidRDefault="00D775F1" w:rsidP="00302061">
            <w:pPr>
              <w:spacing w:after="0" w:line="240" w:lineRule="auto"/>
              <w:rPr>
                <w:sz w:val="22"/>
                <w:szCs w:val="22"/>
                <w:lang w:val="en-GB"/>
              </w:rPr>
            </w:pPr>
            <w:proofErr w:type="spellStart"/>
            <w:r>
              <w:rPr>
                <w:sz w:val="22"/>
                <w:szCs w:val="22"/>
                <w:lang w:val="en-GB"/>
              </w:rPr>
              <w:t>Ivana</w:t>
            </w:r>
            <w:proofErr w:type="spellEnd"/>
            <w:r>
              <w:rPr>
                <w:sz w:val="22"/>
                <w:szCs w:val="22"/>
                <w:lang w:val="en-GB"/>
              </w:rPr>
              <w:t xml:space="preserve"> Teodorović</w:t>
            </w:r>
          </w:p>
        </w:tc>
      </w:tr>
      <w:tr w:rsidR="00350111" w:rsidTr="00302061">
        <w:trPr>
          <w:trHeight w:val="227"/>
          <w:jc w:val="center"/>
        </w:trPr>
        <w:tc>
          <w:tcPr>
            <w:tcW w:w="3127" w:type="dxa"/>
            <w:gridSpan w:val="3"/>
            <w:vAlign w:val="center"/>
          </w:tcPr>
          <w:p w:rsidR="00350111" w:rsidRDefault="002744BA" w:rsidP="00302061">
            <w:pPr>
              <w:spacing w:after="0" w:line="240" w:lineRule="auto"/>
              <w:rPr>
                <w:sz w:val="22"/>
                <w:szCs w:val="22"/>
                <w:lang w:val="en-US"/>
              </w:rPr>
            </w:pPr>
            <w:r>
              <w:rPr>
                <w:b/>
                <w:sz w:val="22"/>
                <w:szCs w:val="22"/>
                <w:lang w:val="en-US"/>
              </w:rPr>
              <w:t xml:space="preserve">Title </w:t>
            </w:r>
          </w:p>
        </w:tc>
        <w:tc>
          <w:tcPr>
            <w:tcW w:w="7576" w:type="dxa"/>
            <w:gridSpan w:val="9"/>
            <w:vAlign w:val="center"/>
          </w:tcPr>
          <w:p w:rsidR="00350111" w:rsidRDefault="002744BA" w:rsidP="00302061">
            <w:pPr>
              <w:spacing w:after="0" w:line="240" w:lineRule="auto"/>
              <w:rPr>
                <w:sz w:val="22"/>
                <w:szCs w:val="22"/>
                <w:lang w:val="en-GB"/>
              </w:rPr>
            </w:pPr>
            <w:r>
              <w:rPr>
                <w:sz w:val="22"/>
                <w:szCs w:val="22"/>
                <w:lang w:val="en-GB"/>
              </w:rPr>
              <w:t>Full professor</w:t>
            </w:r>
          </w:p>
        </w:tc>
      </w:tr>
      <w:tr w:rsidR="00350111" w:rsidTr="00302061">
        <w:trPr>
          <w:trHeight w:val="227"/>
          <w:jc w:val="center"/>
        </w:trPr>
        <w:tc>
          <w:tcPr>
            <w:tcW w:w="3127" w:type="dxa"/>
            <w:gridSpan w:val="3"/>
            <w:vAlign w:val="center"/>
          </w:tcPr>
          <w:p w:rsidR="00350111" w:rsidRDefault="002744BA" w:rsidP="00302061">
            <w:pPr>
              <w:spacing w:after="0" w:line="240" w:lineRule="auto"/>
              <w:rPr>
                <w:sz w:val="22"/>
                <w:szCs w:val="22"/>
                <w:lang w:val="en-US"/>
              </w:rPr>
            </w:pPr>
            <w:r>
              <w:rPr>
                <w:b/>
                <w:sz w:val="22"/>
                <w:szCs w:val="22"/>
                <w:lang w:val="en-US"/>
              </w:rPr>
              <w:t>Narrow scientific area</w:t>
            </w:r>
          </w:p>
        </w:tc>
        <w:tc>
          <w:tcPr>
            <w:tcW w:w="7576" w:type="dxa"/>
            <w:gridSpan w:val="9"/>
            <w:vAlign w:val="center"/>
          </w:tcPr>
          <w:p w:rsidR="00350111" w:rsidRDefault="002744BA" w:rsidP="00302061">
            <w:pPr>
              <w:spacing w:after="0" w:line="240" w:lineRule="auto"/>
              <w:rPr>
                <w:sz w:val="22"/>
                <w:szCs w:val="22"/>
                <w:lang w:val="en-GB"/>
              </w:rPr>
            </w:pPr>
            <w:r>
              <w:rPr>
                <w:sz w:val="22"/>
                <w:szCs w:val="22"/>
                <w:lang w:val="en-GB"/>
              </w:rPr>
              <w:t>Environmental Sciences</w:t>
            </w:r>
          </w:p>
        </w:tc>
      </w:tr>
      <w:tr w:rsidR="00911B6D" w:rsidTr="002D1B51">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b/>
                <w:sz w:val="22"/>
                <w:szCs w:val="22"/>
                <w:lang w:val="en-US"/>
              </w:rPr>
              <w:t>Academic career</w:t>
            </w:r>
          </w:p>
        </w:tc>
        <w:tc>
          <w:tcPr>
            <w:tcW w:w="720" w:type="dxa"/>
            <w:vAlign w:val="center"/>
          </w:tcPr>
          <w:p w:rsidR="00911B6D" w:rsidRPr="002B0AA2" w:rsidRDefault="00911B6D" w:rsidP="00302061">
            <w:pPr>
              <w:spacing w:after="0" w:line="240" w:lineRule="auto"/>
              <w:rPr>
                <w:b/>
                <w:sz w:val="22"/>
                <w:szCs w:val="22"/>
                <w:lang w:val="en-US"/>
              </w:rPr>
            </w:pPr>
            <w:r w:rsidRPr="002B0AA2">
              <w:rPr>
                <w:b/>
                <w:sz w:val="22"/>
                <w:szCs w:val="22"/>
                <w:lang w:val="en-US"/>
              </w:rPr>
              <w:t xml:space="preserve">Year  </w:t>
            </w:r>
          </w:p>
        </w:tc>
        <w:tc>
          <w:tcPr>
            <w:tcW w:w="4340" w:type="dxa"/>
            <w:gridSpan w:val="4"/>
            <w:vAlign w:val="center"/>
          </w:tcPr>
          <w:p w:rsidR="00911B6D" w:rsidRPr="002B0AA2" w:rsidRDefault="00911B6D" w:rsidP="00302061">
            <w:pPr>
              <w:spacing w:after="0" w:line="240" w:lineRule="auto"/>
              <w:rPr>
                <w:b/>
                <w:sz w:val="22"/>
                <w:szCs w:val="22"/>
                <w:lang w:val="en-US"/>
              </w:rPr>
            </w:pPr>
            <w:r w:rsidRPr="002B0AA2">
              <w:rPr>
                <w:b/>
                <w:sz w:val="22"/>
                <w:szCs w:val="22"/>
                <w:lang w:val="en-US"/>
              </w:rPr>
              <w:t>Institution</w:t>
            </w:r>
          </w:p>
        </w:tc>
        <w:tc>
          <w:tcPr>
            <w:tcW w:w="3236" w:type="dxa"/>
            <w:gridSpan w:val="5"/>
            <w:vAlign w:val="center"/>
          </w:tcPr>
          <w:p w:rsidR="00911B6D" w:rsidRPr="002B0AA2" w:rsidRDefault="00911B6D" w:rsidP="00302061">
            <w:pPr>
              <w:spacing w:after="0" w:line="240" w:lineRule="auto"/>
              <w:rPr>
                <w:b/>
                <w:sz w:val="22"/>
                <w:szCs w:val="22"/>
                <w:lang w:val="en-US"/>
              </w:rPr>
            </w:pPr>
            <w:r w:rsidRPr="002B0AA2">
              <w:rPr>
                <w:rStyle w:val="tlid-translation"/>
                <w:b/>
              </w:rPr>
              <w:t>Narrow scientific field</w:t>
            </w:r>
            <w:r w:rsidRPr="002B0AA2">
              <w:rPr>
                <w:b/>
              </w:rPr>
              <w:t xml:space="preserve"> </w:t>
            </w:r>
            <w:r w:rsidRPr="002B0AA2">
              <w:rPr>
                <w:rStyle w:val="tlid-translation"/>
                <w:b/>
              </w:rPr>
              <w:t>or art field</w:t>
            </w:r>
          </w:p>
        </w:tc>
      </w:tr>
      <w:tr w:rsidR="00911B6D" w:rsidTr="00330911">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sz w:val="22"/>
                <w:szCs w:val="22"/>
                <w:lang w:val="en-US"/>
              </w:rPr>
              <w:t>Election to the title</w:t>
            </w:r>
          </w:p>
        </w:tc>
        <w:tc>
          <w:tcPr>
            <w:tcW w:w="720" w:type="dxa"/>
          </w:tcPr>
          <w:p w:rsidR="00911B6D" w:rsidRDefault="00911B6D" w:rsidP="00302061">
            <w:pPr>
              <w:spacing w:after="0" w:line="240" w:lineRule="auto"/>
              <w:rPr>
                <w:sz w:val="22"/>
                <w:szCs w:val="22"/>
                <w:lang w:val="en-US"/>
              </w:rPr>
            </w:pPr>
            <w:r>
              <w:t>2016</w:t>
            </w:r>
          </w:p>
        </w:tc>
        <w:tc>
          <w:tcPr>
            <w:tcW w:w="4340" w:type="dxa"/>
            <w:gridSpan w:val="4"/>
          </w:tcPr>
          <w:p w:rsidR="00911B6D" w:rsidRDefault="00911B6D" w:rsidP="00302061">
            <w:pPr>
              <w:spacing w:after="0" w:line="240" w:lineRule="auto"/>
              <w:rPr>
                <w:sz w:val="22"/>
                <w:szCs w:val="22"/>
                <w:lang w:val="en-US"/>
              </w:rPr>
            </w:pPr>
            <w:r>
              <w:t>University of Novi Sad Faculty of Sciences</w:t>
            </w:r>
          </w:p>
        </w:tc>
        <w:tc>
          <w:tcPr>
            <w:tcW w:w="3236" w:type="dxa"/>
            <w:gridSpan w:val="5"/>
          </w:tcPr>
          <w:p w:rsidR="00911B6D" w:rsidRDefault="00911B6D" w:rsidP="00302061">
            <w:pPr>
              <w:spacing w:after="0" w:line="240" w:lineRule="auto"/>
              <w:rPr>
                <w:sz w:val="22"/>
                <w:szCs w:val="22"/>
                <w:lang w:val="en-US"/>
              </w:rPr>
            </w:pPr>
            <w:r>
              <w:t>Environmental Sciences</w:t>
            </w:r>
          </w:p>
        </w:tc>
      </w:tr>
      <w:tr w:rsidR="00911B6D" w:rsidTr="00CF5E4B">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sz w:val="22"/>
                <w:szCs w:val="22"/>
                <w:lang w:val="en-US"/>
              </w:rPr>
              <w:t>PhD</w:t>
            </w:r>
          </w:p>
        </w:tc>
        <w:tc>
          <w:tcPr>
            <w:tcW w:w="720" w:type="dxa"/>
          </w:tcPr>
          <w:p w:rsidR="00911B6D" w:rsidRDefault="00911B6D" w:rsidP="00302061">
            <w:pPr>
              <w:spacing w:after="0" w:line="240" w:lineRule="auto"/>
              <w:rPr>
                <w:sz w:val="22"/>
                <w:szCs w:val="22"/>
                <w:lang w:val="en-US"/>
              </w:rPr>
            </w:pPr>
            <w:r>
              <w:t>2003</w:t>
            </w:r>
          </w:p>
        </w:tc>
        <w:tc>
          <w:tcPr>
            <w:tcW w:w="4340" w:type="dxa"/>
            <w:gridSpan w:val="4"/>
          </w:tcPr>
          <w:p w:rsidR="00911B6D" w:rsidRDefault="00911B6D" w:rsidP="00302061">
            <w:pPr>
              <w:spacing w:after="0" w:line="240" w:lineRule="auto"/>
              <w:rPr>
                <w:sz w:val="22"/>
                <w:szCs w:val="22"/>
                <w:lang w:val="en-US"/>
              </w:rPr>
            </w:pPr>
            <w:r>
              <w:t>University of Novi Sad, Associationof the Centers for Interdisciplinary and Multidisciplinary Studies and Research</w:t>
            </w:r>
          </w:p>
        </w:tc>
        <w:tc>
          <w:tcPr>
            <w:tcW w:w="3236" w:type="dxa"/>
            <w:gridSpan w:val="5"/>
          </w:tcPr>
          <w:p w:rsidR="00911B6D" w:rsidRDefault="00911B6D" w:rsidP="00302061">
            <w:pPr>
              <w:spacing w:after="0" w:line="240" w:lineRule="auto"/>
              <w:rPr>
                <w:sz w:val="22"/>
                <w:szCs w:val="22"/>
                <w:lang w:val="en-US"/>
              </w:rPr>
            </w:pPr>
            <w:r>
              <w:t xml:space="preserve">Environmental </w:t>
            </w:r>
            <w:r>
              <w:rPr>
                <w:lang w:val="en-GB"/>
              </w:rPr>
              <w:t>Sciences</w:t>
            </w:r>
          </w:p>
        </w:tc>
      </w:tr>
      <w:tr w:rsidR="00911B6D" w:rsidTr="00D00A5E">
        <w:trPr>
          <w:trHeight w:val="227"/>
          <w:jc w:val="center"/>
        </w:trPr>
        <w:tc>
          <w:tcPr>
            <w:tcW w:w="2407" w:type="dxa"/>
            <w:gridSpan w:val="2"/>
            <w:vAlign w:val="center"/>
          </w:tcPr>
          <w:p w:rsidR="00911B6D" w:rsidRDefault="00911B6D" w:rsidP="00302061">
            <w:pPr>
              <w:spacing w:after="0" w:line="240" w:lineRule="auto"/>
              <w:rPr>
                <w:sz w:val="22"/>
                <w:szCs w:val="22"/>
                <w:lang w:val="en-US"/>
              </w:rPr>
            </w:pPr>
            <w:r>
              <w:rPr>
                <w:sz w:val="22"/>
                <w:szCs w:val="22"/>
                <w:lang w:val="en-US"/>
              </w:rPr>
              <w:t>Master degree</w:t>
            </w:r>
          </w:p>
        </w:tc>
        <w:tc>
          <w:tcPr>
            <w:tcW w:w="720" w:type="dxa"/>
            <w:vAlign w:val="center"/>
          </w:tcPr>
          <w:p w:rsidR="00911B6D" w:rsidRDefault="00911B6D" w:rsidP="00302061">
            <w:pPr>
              <w:spacing w:after="0" w:line="240" w:lineRule="auto"/>
              <w:rPr>
                <w:sz w:val="22"/>
                <w:szCs w:val="22"/>
                <w:lang w:val="en-GB"/>
              </w:rPr>
            </w:pPr>
            <w:r>
              <w:rPr>
                <w:sz w:val="22"/>
                <w:szCs w:val="22"/>
                <w:lang w:val="en-GB"/>
              </w:rPr>
              <w:t>1999</w:t>
            </w:r>
          </w:p>
        </w:tc>
        <w:tc>
          <w:tcPr>
            <w:tcW w:w="4340" w:type="dxa"/>
            <w:gridSpan w:val="4"/>
            <w:vAlign w:val="center"/>
          </w:tcPr>
          <w:p w:rsidR="00911B6D" w:rsidRDefault="00911B6D" w:rsidP="00302061">
            <w:pPr>
              <w:spacing w:after="0" w:line="240" w:lineRule="auto"/>
              <w:rPr>
                <w:sz w:val="22"/>
                <w:szCs w:val="22"/>
                <w:lang w:val="en-US"/>
              </w:rPr>
            </w:pPr>
            <w:r>
              <w:t>University of Novi Sad, Center for Interdisciplinary and Multidisciplinary Studies and Research</w:t>
            </w:r>
          </w:p>
        </w:tc>
        <w:tc>
          <w:tcPr>
            <w:tcW w:w="3236" w:type="dxa"/>
            <w:gridSpan w:val="5"/>
            <w:vAlign w:val="center"/>
          </w:tcPr>
          <w:p w:rsidR="00911B6D" w:rsidRDefault="00911B6D" w:rsidP="00302061">
            <w:pPr>
              <w:spacing w:after="0" w:line="240" w:lineRule="auto"/>
              <w:rPr>
                <w:sz w:val="22"/>
                <w:szCs w:val="22"/>
                <w:lang w:val="en-US"/>
              </w:rPr>
            </w:pPr>
            <w:r>
              <w:t xml:space="preserve">Environmental </w:t>
            </w:r>
            <w:r>
              <w:rPr>
                <w:lang w:val="en-GB"/>
              </w:rPr>
              <w:t>Sciences</w:t>
            </w:r>
          </w:p>
        </w:tc>
      </w:tr>
      <w:tr w:rsidR="00350111" w:rsidTr="00302061">
        <w:trPr>
          <w:trHeight w:val="227"/>
          <w:jc w:val="center"/>
        </w:trPr>
        <w:tc>
          <w:tcPr>
            <w:tcW w:w="2407" w:type="dxa"/>
            <w:gridSpan w:val="2"/>
            <w:vAlign w:val="center"/>
          </w:tcPr>
          <w:p w:rsidR="00350111" w:rsidRDefault="002744BA" w:rsidP="00302061">
            <w:pPr>
              <w:spacing w:after="0" w:line="240" w:lineRule="auto"/>
              <w:rPr>
                <w:sz w:val="22"/>
                <w:szCs w:val="22"/>
                <w:lang w:val="en-US"/>
              </w:rPr>
            </w:pPr>
            <w:r>
              <w:rPr>
                <w:sz w:val="22"/>
                <w:szCs w:val="22"/>
                <w:lang w:val="en-US"/>
              </w:rPr>
              <w:t xml:space="preserve">Diploma </w:t>
            </w:r>
          </w:p>
        </w:tc>
        <w:tc>
          <w:tcPr>
            <w:tcW w:w="720" w:type="dxa"/>
            <w:vAlign w:val="center"/>
          </w:tcPr>
          <w:p w:rsidR="00350111" w:rsidRDefault="002744BA" w:rsidP="00302061">
            <w:pPr>
              <w:spacing w:after="0" w:line="240" w:lineRule="auto"/>
              <w:rPr>
                <w:sz w:val="22"/>
                <w:szCs w:val="22"/>
                <w:lang w:val="en-GB"/>
              </w:rPr>
            </w:pPr>
            <w:r>
              <w:rPr>
                <w:sz w:val="22"/>
                <w:szCs w:val="22"/>
                <w:lang w:val="en-GB"/>
              </w:rPr>
              <w:t>1994</w:t>
            </w:r>
          </w:p>
        </w:tc>
        <w:tc>
          <w:tcPr>
            <w:tcW w:w="4340" w:type="dxa"/>
            <w:gridSpan w:val="4"/>
            <w:vAlign w:val="center"/>
          </w:tcPr>
          <w:p w:rsidR="00350111" w:rsidRDefault="002744BA" w:rsidP="00302061">
            <w:pPr>
              <w:spacing w:after="0" w:line="240" w:lineRule="auto"/>
              <w:rPr>
                <w:sz w:val="22"/>
                <w:szCs w:val="22"/>
                <w:lang w:val="en-US"/>
              </w:rPr>
            </w:pPr>
            <w:r>
              <w:t>University of Novi Sad Faculty of Sciences</w:t>
            </w:r>
          </w:p>
        </w:tc>
        <w:tc>
          <w:tcPr>
            <w:tcW w:w="1490" w:type="dxa"/>
            <w:gridSpan w:val="3"/>
            <w:vAlign w:val="center"/>
          </w:tcPr>
          <w:p w:rsidR="00350111" w:rsidRDefault="00350111" w:rsidP="00302061">
            <w:pPr>
              <w:spacing w:after="0" w:line="240" w:lineRule="auto"/>
              <w:rPr>
                <w:sz w:val="22"/>
                <w:szCs w:val="22"/>
                <w:lang w:val="en-GB"/>
              </w:rPr>
            </w:pPr>
          </w:p>
        </w:tc>
        <w:tc>
          <w:tcPr>
            <w:tcW w:w="1746" w:type="dxa"/>
            <w:gridSpan w:val="2"/>
            <w:vAlign w:val="center"/>
          </w:tcPr>
          <w:p w:rsidR="00350111" w:rsidRDefault="002744BA" w:rsidP="00302061">
            <w:pPr>
              <w:spacing w:after="0" w:line="240" w:lineRule="auto"/>
              <w:rPr>
                <w:sz w:val="22"/>
                <w:szCs w:val="22"/>
                <w:lang w:val="en-GB"/>
              </w:rPr>
            </w:pPr>
            <w:r>
              <w:rPr>
                <w:sz w:val="22"/>
                <w:szCs w:val="22"/>
                <w:lang w:val="en-GB"/>
              </w:rPr>
              <w:t>Biology</w:t>
            </w:r>
          </w:p>
        </w:tc>
      </w:tr>
      <w:tr w:rsidR="00350111" w:rsidTr="00302061">
        <w:trPr>
          <w:trHeight w:val="227"/>
          <w:jc w:val="center"/>
        </w:trPr>
        <w:tc>
          <w:tcPr>
            <w:tcW w:w="10703" w:type="dxa"/>
            <w:gridSpan w:val="12"/>
            <w:vAlign w:val="center"/>
          </w:tcPr>
          <w:p w:rsidR="00350111" w:rsidRDefault="002744BA" w:rsidP="00302061">
            <w:pPr>
              <w:spacing w:after="0" w:line="240" w:lineRule="auto"/>
              <w:rPr>
                <w:sz w:val="22"/>
                <w:szCs w:val="22"/>
                <w:lang w:val="en-US"/>
              </w:rPr>
            </w:pPr>
            <w:r>
              <w:rPr>
                <w:b/>
                <w:sz w:val="22"/>
                <w:szCs w:val="22"/>
                <w:lang w:val="en-US"/>
              </w:rPr>
              <w:t xml:space="preserve">A list of dissertations-doctoral art projects in which the teacher is or was a mentor in the past 10 years </w:t>
            </w:r>
          </w:p>
        </w:tc>
      </w:tr>
      <w:tr w:rsidR="00350111" w:rsidTr="00302061">
        <w:trPr>
          <w:trHeight w:val="227"/>
          <w:jc w:val="center"/>
        </w:trPr>
        <w:tc>
          <w:tcPr>
            <w:tcW w:w="639" w:type="dxa"/>
            <w:vAlign w:val="center"/>
          </w:tcPr>
          <w:p w:rsidR="00350111" w:rsidRDefault="002744BA" w:rsidP="00302061">
            <w:pPr>
              <w:spacing w:after="0" w:line="240" w:lineRule="auto"/>
              <w:rPr>
                <w:sz w:val="22"/>
                <w:szCs w:val="22"/>
                <w:lang w:val="en-US"/>
              </w:rPr>
            </w:pPr>
            <w:r>
              <w:rPr>
                <w:sz w:val="22"/>
                <w:szCs w:val="22"/>
                <w:lang w:val="en-US"/>
              </w:rPr>
              <w:t>No.</w:t>
            </w:r>
          </w:p>
        </w:tc>
        <w:tc>
          <w:tcPr>
            <w:tcW w:w="5428" w:type="dxa"/>
            <w:gridSpan w:val="5"/>
            <w:vAlign w:val="center"/>
          </w:tcPr>
          <w:p w:rsidR="00350111" w:rsidRDefault="002744BA" w:rsidP="00302061">
            <w:pPr>
              <w:spacing w:after="0" w:line="240" w:lineRule="auto"/>
              <w:rPr>
                <w:sz w:val="22"/>
                <w:szCs w:val="22"/>
                <w:lang w:val="en-US"/>
              </w:rPr>
            </w:pPr>
            <w:r>
              <w:rPr>
                <w:sz w:val="22"/>
                <w:szCs w:val="22"/>
                <w:lang w:val="en-US"/>
              </w:rPr>
              <w:t>Title of the dissertation – doctoral art project</w:t>
            </w:r>
          </w:p>
        </w:tc>
        <w:tc>
          <w:tcPr>
            <w:tcW w:w="1460" w:type="dxa"/>
            <w:gridSpan w:val="3"/>
            <w:vAlign w:val="center"/>
          </w:tcPr>
          <w:p w:rsidR="00350111" w:rsidRDefault="002744BA" w:rsidP="00302061">
            <w:pPr>
              <w:spacing w:after="0" w:line="240" w:lineRule="auto"/>
              <w:rPr>
                <w:sz w:val="22"/>
                <w:szCs w:val="22"/>
                <w:lang w:val="en-US"/>
              </w:rPr>
            </w:pPr>
            <w:r>
              <w:rPr>
                <w:sz w:val="22"/>
                <w:szCs w:val="22"/>
                <w:lang w:val="en-US"/>
              </w:rPr>
              <w:t xml:space="preserve">Name of the candidate </w:t>
            </w:r>
          </w:p>
        </w:tc>
        <w:tc>
          <w:tcPr>
            <w:tcW w:w="1430" w:type="dxa"/>
            <w:vAlign w:val="center"/>
          </w:tcPr>
          <w:p w:rsidR="00350111" w:rsidRDefault="002744BA" w:rsidP="00302061">
            <w:pPr>
              <w:spacing w:after="0" w:line="240" w:lineRule="auto"/>
              <w:rPr>
                <w:sz w:val="22"/>
                <w:szCs w:val="22"/>
                <w:lang w:val="en-US"/>
              </w:rPr>
            </w:pPr>
            <w:r>
              <w:rPr>
                <w:sz w:val="22"/>
                <w:szCs w:val="22"/>
                <w:lang w:val="en-US"/>
              </w:rPr>
              <w:t xml:space="preserve">*submitted </w:t>
            </w:r>
          </w:p>
        </w:tc>
        <w:tc>
          <w:tcPr>
            <w:tcW w:w="1746" w:type="dxa"/>
            <w:gridSpan w:val="2"/>
            <w:vAlign w:val="center"/>
          </w:tcPr>
          <w:p w:rsidR="00350111" w:rsidRDefault="002744BA" w:rsidP="00302061">
            <w:pPr>
              <w:spacing w:after="0" w:line="240" w:lineRule="auto"/>
              <w:rPr>
                <w:sz w:val="22"/>
                <w:szCs w:val="22"/>
                <w:lang w:val="en-US"/>
              </w:rPr>
            </w:pPr>
            <w:r>
              <w:rPr>
                <w:sz w:val="22"/>
                <w:szCs w:val="22"/>
                <w:lang w:val="en-US"/>
              </w:rPr>
              <w:t>** defended</w:t>
            </w:r>
          </w:p>
        </w:tc>
      </w:tr>
      <w:tr w:rsidR="00350111" w:rsidTr="00302061">
        <w:trPr>
          <w:trHeight w:val="227"/>
          <w:jc w:val="center"/>
        </w:trPr>
        <w:tc>
          <w:tcPr>
            <w:tcW w:w="639" w:type="dxa"/>
          </w:tcPr>
          <w:p w:rsidR="00350111" w:rsidRDefault="002744BA" w:rsidP="00302061">
            <w:pPr>
              <w:spacing w:after="0" w:line="240" w:lineRule="auto"/>
              <w:rPr>
                <w:sz w:val="22"/>
                <w:szCs w:val="22"/>
                <w:lang w:val="en-US"/>
              </w:rPr>
            </w:pPr>
            <w:r>
              <w:rPr>
                <w:sz w:val="22"/>
                <w:szCs w:val="22"/>
              </w:rPr>
              <w:t>1</w:t>
            </w:r>
          </w:p>
        </w:tc>
        <w:tc>
          <w:tcPr>
            <w:tcW w:w="5428" w:type="dxa"/>
            <w:gridSpan w:val="5"/>
            <w:vAlign w:val="center"/>
          </w:tcPr>
          <w:p w:rsidR="00350111" w:rsidRDefault="002744BA" w:rsidP="00302061">
            <w:pPr>
              <w:spacing w:after="0" w:line="240" w:lineRule="auto"/>
              <w:rPr>
                <w:lang w:val="en-US"/>
              </w:rPr>
            </w:pPr>
            <w:r>
              <w:t xml:space="preserve">Razvoj testova inhibicije rasta vrste </w:t>
            </w:r>
            <w:r>
              <w:rPr>
                <w:i/>
              </w:rPr>
              <w:t>Myriophyllum</w:t>
            </w:r>
            <w:r>
              <w:t xml:space="preserve"> L. 1754 (Saxifragales, Haloragaceae) za potrebe ekološke procene rizika id herbicida I kontrole kvaliteta sedimenta </w:t>
            </w:r>
          </w:p>
        </w:tc>
        <w:tc>
          <w:tcPr>
            <w:tcW w:w="1460" w:type="dxa"/>
            <w:gridSpan w:val="3"/>
          </w:tcPr>
          <w:p w:rsidR="00350111" w:rsidRDefault="002744BA" w:rsidP="00302061">
            <w:pPr>
              <w:spacing w:after="0" w:line="240" w:lineRule="auto"/>
              <w:jc w:val="both"/>
              <w:rPr>
                <w:sz w:val="22"/>
                <w:szCs w:val="22"/>
                <w:lang w:val="en-US"/>
              </w:rPr>
            </w:pPr>
            <w:r>
              <w:rPr>
                <w:sz w:val="22"/>
                <w:szCs w:val="22"/>
              </w:rPr>
              <w:t>Tanja Tunić</w:t>
            </w:r>
          </w:p>
        </w:tc>
        <w:tc>
          <w:tcPr>
            <w:tcW w:w="1430" w:type="dxa"/>
          </w:tcPr>
          <w:p w:rsidR="00350111" w:rsidRDefault="00350111" w:rsidP="00302061">
            <w:pPr>
              <w:spacing w:after="0" w:line="240" w:lineRule="auto"/>
              <w:jc w:val="center"/>
              <w:rPr>
                <w:sz w:val="22"/>
                <w:szCs w:val="22"/>
                <w:lang w:val="en-US"/>
              </w:rPr>
            </w:pPr>
          </w:p>
        </w:tc>
        <w:tc>
          <w:tcPr>
            <w:tcW w:w="1746" w:type="dxa"/>
            <w:gridSpan w:val="2"/>
          </w:tcPr>
          <w:p w:rsidR="00350111" w:rsidRDefault="002744BA" w:rsidP="00302061">
            <w:pPr>
              <w:spacing w:after="0" w:line="240" w:lineRule="auto"/>
              <w:jc w:val="center"/>
              <w:rPr>
                <w:sz w:val="22"/>
                <w:szCs w:val="22"/>
                <w:lang w:val="en-US"/>
              </w:rPr>
            </w:pPr>
            <w:r>
              <w:rPr>
                <w:sz w:val="22"/>
                <w:szCs w:val="22"/>
              </w:rPr>
              <w:t>2015</w:t>
            </w:r>
          </w:p>
        </w:tc>
      </w:tr>
      <w:tr w:rsidR="00350111" w:rsidTr="00302061">
        <w:trPr>
          <w:trHeight w:val="227"/>
          <w:jc w:val="center"/>
        </w:trPr>
        <w:tc>
          <w:tcPr>
            <w:tcW w:w="639" w:type="dxa"/>
          </w:tcPr>
          <w:p w:rsidR="00350111" w:rsidRDefault="002744BA" w:rsidP="00302061">
            <w:pPr>
              <w:spacing w:after="0" w:line="240" w:lineRule="auto"/>
              <w:rPr>
                <w:sz w:val="22"/>
                <w:szCs w:val="22"/>
                <w:lang w:val="en-US"/>
              </w:rPr>
            </w:pPr>
            <w:r>
              <w:rPr>
                <w:sz w:val="22"/>
                <w:szCs w:val="22"/>
              </w:rPr>
              <w:t>2</w:t>
            </w:r>
          </w:p>
        </w:tc>
        <w:tc>
          <w:tcPr>
            <w:tcW w:w="5428" w:type="dxa"/>
            <w:gridSpan w:val="5"/>
            <w:vAlign w:val="center"/>
          </w:tcPr>
          <w:p w:rsidR="00350111" w:rsidRDefault="002744BA" w:rsidP="00302061">
            <w:pPr>
              <w:spacing w:after="0" w:line="240" w:lineRule="auto"/>
              <w:rPr>
                <w:lang w:val="en-US"/>
              </w:rPr>
            </w:pPr>
            <w:r>
              <w:rPr>
                <w:color w:val="000000"/>
              </w:rPr>
              <w:t xml:space="preserve">Potencijal oporavka akvatičnih vrsta makrofota  </w:t>
            </w:r>
            <w:r>
              <w:rPr>
                <w:i/>
                <w:color w:val="000000"/>
              </w:rPr>
              <w:t>Lemna</w:t>
            </w:r>
            <w:r>
              <w:rPr>
                <w:i/>
                <w:color w:val="000000"/>
                <w:lang w:val="sr-Cyrl-CS"/>
              </w:rPr>
              <w:t xml:space="preserve"> </w:t>
            </w:r>
            <w:r>
              <w:rPr>
                <w:i/>
                <w:color w:val="000000"/>
              </w:rPr>
              <w:t>minor</w:t>
            </w:r>
            <w:r>
              <w:rPr>
                <w:i/>
                <w:color w:val="000000"/>
                <w:lang w:val="sr-Cyrl-CS"/>
              </w:rPr>
              <w:t xml:space="preserve"> </w:t>
            </w:r>
            <w:r>
              <w:rPr>
                <w:color w:val="000000"/>
              </w:rPr>
              <w:t>Linnaeus</w:t>
            </w:r>
            <w:r>
              <w:rPr>
                <w:color w:val="000000"/>
                <w:lang w:val="sr-Cyrl-CS"/>
              </w:rPr>
              <w:t xml:space="preserve"> (</w:t>
            </w:r>
            <w:r>
              <w:rPr>
                <w:color w:val="000000"/>
              </w:rPr>
              <w:t>Lemnaceae</w:t>
            </w:r>
            <w:r>
              <w:rPr>
                <w:color w:val="000000"/>
                <w:lang w:val="sr-Cyrl-CS"/>
              </w:rPr>
              <w:t xml:space="preserve">, 1753) </w:t>
            </w:r>
            <w:r>
              <w:rPr>
                <w:color w:val="000000"/>
              </w:rPr>
              <w:t>i</w:t>
            </w:r>
            <w:r>
              <w:rPr>
                <w:color w:val="000000"/>
                <w:lang w:val="sr-Cyrl-CS"/>
              </w:rPr>
              <w:t xml:space="preserve"> </w:t>
            </w:r>
            <w:r>
              <w:rPr>
                <w:i/>
                <w:color w:val="000000"/>
              </w:rPr>
              <w:t>Myriophyllum</w:t>
            </w:r>
            <w:r>
              <w:rPr>
                <w:i/>
                <w:color w:val="000000"/>
                <w:lang w:val="sr-Cyrl-CS"/>
              </w:rPr>
              <w:t xml:space="preserve"> </w:t>
            </w:r>
            <w:r>
              <w:rPr>
                <w:i/>
                <w:color w:val="000000"/>
              </w:rPr>
              <w:t>aquaticum</w:t>
            </w:r>
            <w:r>
              <w:rPr>
                <w:i/>
                <w:color w:val="000000"/>
                <w:lang w:val="sr-Cyrl-CS"/>
              </w:rPr>
              <w:t xml:space="preserve"> </w:t>
            </w:r>
            <w:r>
              <w:rPr>
                <w:color w:val="000000"/>
                <w:lang w:val="sr-Cyrl-CS"/>
              </w:rPr>
              <w:t>(</w:t>
            </w:r>
            <w:r>
              <w:rPr>
                <w:color w:val="000000"/>
              </w:rPr>
              <w:t>Vellosco</w:t>
            </w:r>
            <w:r>
              <w:rPr>
                <w:color w:val="000000"/>
                <w:lang w:val="sr-Cyrl-CS"/>
              </w:rPr>
              <w:t xml:space="preserve">) </w:t>
            </w:r>
            <w:r>
              <w:rPr>
                <w:color w:val="000000"/>
              </w:rPr>
              <w:t>Verdcourt</w:t>
            </w:r>
            <w:r>
              <w:rPr>
                <w:color w:val="000000"/>
                <w:lang w:val="sr-Cyrl-CS"/>
              </w:rPr>
              <w:t xml:space="preserve"> (</w:t>
            </w:r>
            <w:r>
              <w:rPr>
                <w:color w:val="000000"/>
              </w:rPr>
              <w:t>Haloragaceae</w:t>
            </w:r>
            <w:r>
              <w:rPr>
                <w:color w:val="000000"/>
                <w:lang w:val="sr-Cyrl-CS"/>
              </w:rPr>
              <w:t xml:space="preserve">, </w:t>
            </w:r>
            <w:r>
              <w:rPr>
                <w:color w:val="000000"/>
              </w:rPr>
              <w:t>c</w:t>
            </w:r>
            <w:r>
              <w:rPr>
                <w:color w:val="000000"/>
                <w:lang w:val="sr-Cyrl-CS"/>
              </w:rPr>
              <w:t xml:space="preserve">. 1880), </w:t>
            </w:r>
            <w:r>
              <w:rPr>
                <w:color w:val="000000"/>
              </w:rPr>
              <w:t xml:space="preserve">od tokisčnog stresa nakon izčaganja odabranim herbicidima i njihovim smešama </w:t>
            </w:r>
            <w:r>
              <w:rPr>
                <w:color w:val="000000"/>
                <w:lang w:val="sr-Cyrl-CS"/>
              </w:rPr>
              <w:t xml:space="preserve"> </w:t>
            </w:r>
          </w:p>
        </w:tc>
        <w:tc>
          <w:tcPr>
            <w:tcW w:w="1460" w:type="dxa"/>
            <w:gridSpan w:val="3"/>
          </w:tcPr>
          <w:p w:rsidR="00350111" w:rsidRDefault="002744BA" w:rsidP="00302061">
            <w:pPr>
              <w:spacing w:after="0" w:line="240" w:lineRule="auto"/>
              <w:jc w:val="both"/>
              <w:rPr>
                <w:sz w:val="22"/>
                <w:szCs w:val="22"/>
                <w:lang w:val="en-US"/>
              </w:rPr>
            </w:pPr>
            <w:r>
              <w:rPr>
                <w:sz w:val="22"/>
                <w:szCs w:val="22"/>
              </w:rPr>
              <w:t>Varja Knežević</w:t>
            </w:r>
          </w:p>
        </w:tc>
        <w:tc>
          <w:tcPr>
            <w:tcW w:w="1430" w:type="dxa"/>
          </w:tcPr>
          <w:p w:rsidR="00350111" w:rsidRDefault="00350111" w:rsidP="00302061">
            <w:pPr>
              <w:spacing w:after="0" w:line="240" w:lineRule="auto"/>
              <w:jc w:val="center"/>
              <w:rPr>
                <w:sz w:val="22"/>
                <w:szCs w:val="22"/>
                <w:lang w:val="en-US"/>
              </w:rPr>
            </w:pPr>
          </w:p>
        </w:tc>
        <w:tc>
          <w:tcPr>
            <w:tcW w:w="1746" w:type="dxa"/>
            <w:gridSpan w:val="2"/>
          </w:tcPr>
          <w:p w:rsidR="00350111" w:rsidRDefault="002744BA" w:rsidP="00302061">
            <w:pPr>
              <w:spacing w:after="0" w:line="240" w:lineRule="auto"/>
              <w:jc w:val="center"/>
              <w:rPr>
                <w:sz w:val="22"/>
                <w:szCs w:val="22"/>
                <w:lang w:val="en-US"/>
              </w:rPr>
            </w:pPr>
            <w:r>
              <w:rPr>
                <w:sz w:val="22"/>
                <w:szCs w:val="22"/>
              </w:rPr>
              <w:t>2017</w:t>
            </w:r>
          </w:p>
        </w:tc>
      </w:tr>
      <w:tr w:rsidR="00350111" w:rsidTr="00302061">
        <w:trPr>
          <w:trHeight w:val="227"/>
          <w:jc w:val="center"/>
        </w:trPr>
        <w:tc>
          <w:tcPr>
            <w:tcW w:w="639" w:type="dxa"/>
          </w:tcPr>
          <w:p w:rsidR="00350111" w:rsidRDefault="002744BA" w:rsidP="00302061">
            <w:pPr>
              <w:spacing w:after="0" w:line="240" w:lineRule="auto"/>
              <w:rPr>
                <w:sz w:val="22"/>
                <w:szCs w:val="22"/>
                <w:lang w:val="en-US"/>
              </w:rPr>
            </w:pPr>
            <w:r>
              <w:rPr>
                <w:sz w:val="22"/>
                <w:szCs w:val="22"/>
              </w:rPr>
              <w:t>3</w:t>
            </w:r>
          </w:p>
        </w:tc>
        <w:tc>
          <w:tcPr>
            <w:tcW w:w="5428" w:type="dxa"/>
            <w:gridSpan w:val="5"/>
            <w:vAlign w:val="center"/>
          </w:tcPr>
          <w:p w:rsidR="00350111" w:rsidRDefault="002744BA" w:rsidP="00302061">
            <w:pPr>
              <w:spacing w:after="0" w:line="240" w:lineRule="auto"/>
              <w:rPr>
                <w:lang w:val="en-US"/>
              </w:rPr>
            </w:pPr>
            <w:r>
              <w:t xml:space="preserve">Biomarkeri kod riba u monitoring statusa akvatičnih ekosistema  I identifikaciji efekata hemijskog stresa  </w:t>
            </w:r>
            <w:r>
              <w:rPr>
                <w:i/>
              </w:rPr>
              <w:t>in situ</w:t>
            </w:r>
          </w:p>
        </w:tc>
        <w:tc>
          <w:tcPr>
            <w:tcW w:w="1460" w:type="dxa"/>
            <w:gridSpan w:val="3"/>
          </w:tcPr>
          <w:p w:rsidR="00350111" w:rsidRDefault="002744BA" w:rsidP="00302061">
            <w:pPr>
              <w:spacing w:after="0" w:line="240" w:lineRule="auto"/>
              <w:jc w:val="both"/>
              <w:rPr>
                <w:sz w:val="22"/>
                <w:szCs w:val="22"/>
                <w:lang w:val="en-US"/>
              </w:rPr>
            </w:pPr>
            <w:r>
              <w:rPr>
                <w:sz w:val="22"/>
                <w:szCs w:val="22"/>
              </w:rPr>
              <w:t>Dina Tenji</w:t>
            </w:r>
          </w:p>
        </w:tc>
        <w:tc>
          <w:tcPr>
            <w:tcW w:w="1430" w:type="dxa"/>
          </w:tcPr>
          <w:p w:rsidR="00350111" w:rsidRDefault="002744BA" w:rsidP="00302061">
            <w:pPr>
              <w:spacing w:after="0" w:line="240" w:lineRule="auto"/>
              <w:jc w:val="center"/>
              <w:rPr>
                <w:sz w:val="22"/>
                <w:szCs w:val="22"/>
                <w:lang w:val="en-US"/>
              </w:rPr>
            </w:pPr>
            <w:r>
              <w:rPr>
                <w:bCs/>
                <w:sz w:val="22"/>
                <w:szCs w:val="22"/>
              </w:rPr>
              <w:t>2018</w:t>
            </w:r>
          </w:p>
        </w:tc>
        <w:tc>
          <w:tcPr>
            <w:tcW w:w="1746" w:type="dxa"/>
            <w:gridSpan w:val="2"/>
          </w:tcPr>
          <w:p w:rsidR="00350111" w:rsidRDefault="00350111" w:rsidP="00302061">
            <w:pPr>
              <w:spacing w:after="0" w:line="240" w:lineRule="auto"/>
              <w:jc w:val="center"/>
              <w:rPr>
                <w:sz w:val="22"/>
                <w:szCs w:val="22"/>
                <w:lang w:val="en-US"/>
              </w:rPr>
            </w:pPr>
          </w:p>
        </w:tc>
      </w:tr>
      <w:tr w:rsidR="00350111" w:rsidTr="00302061">
        <w:trPr>
          <w:trHeight w:val="227"/>
          <w:jc w:val="center"/>
        </w:trPr>
        <w:tc>
          <w:tcPr>
            <w:tcW w:w="10703" w:type="dxa"/>
            <w:gridSpan w:val="12"/>
            <w:vAlign w:val="center"/>
          </w:tcPr>
          <w:p w:rsidR="00350111" w:rsidRDefault="002744BA" w:rsidP="00302061">
            <w:pPr>
              <w:spacing w:after="0" w:line="240" w:lineRule="auto"/>
              <w:rPr>
                <w:sz w:val="22"/>
                <w:szCs w:val="22"/>
                <w:lang w:val="en-US"/>
              </w:rPr>
            </w:pPr>
            <w:r>
              <w:rPr>
                <w:sz w:val="22"/>
                <w:szCs w:val="22"/>
                <w:lang w:val="en-US"/>
              </w:rPr>
              <w:t>*</w:t>
            </w:r>
            <w:r>
              <w:rPr>
                <w:lang w:val="en-US"/>
              </w:rPr>
              <w:t xml:space="preserve"> </w:t>
            </w:r>
            <w:r>
              <w:rPr>
                <w:sz w:val="22"/>
                <w:szCs w:val="22"/>
                <w:lang w:val="en-US"/>
              </w:rPr>
              <w:t>Year in which the dissertation</w:t>
            </w:r>
            <w:r>
              <w:rPr>
                <w:sz w:val="22"/>
                <w:szCs w:val="22"/>
                <w:lang w:val="en-GB"/>
              </w:rPr>
              <w:t xml:space="preserve"> </w:t>
            </w:r>
            <w:r>
              <w:rPr>
                <w:sz w:val="22"/>
                <w:szCs w:val="22"/>
                <w:lang w:val="en-US"/>
              </w:rPr>
              <w:t>was submitted (for dissertations in progress) ** The year in which the dissertation was defended (only for dissertations</w:t>
            </w:r>
            <w:r>
              <w:rPr>
                <w:sz w:val="22"/>
                <w:szCs w:val="22"/>
                <w:lang w:val="en-GB"/>
              </w:rPr>
              <w:t xml:space="preserve"> </w:t>
            </w:r>
            <w:r>
              <w:rPr>
                <w:sz w:val="22"/>
                <w:szCs w:val="22"/>
                <w:lang w:val="en-US"/>
              </w:rPr>
              <w:t>from the previous period)</w:t>
            </w:r>
          </w:p>
        </w:tc>
      </w:tr>
      <w:tr w:rsidR="00350111" w:rsidTr="00302061">
        <w:trPr>
          <w:trHeight w:val="227"/>
          <w:jc w:val="center"/>
        </w:trPr>
        <w:tc>
          <w:tcPr>
            <w:tcW w:w="10703" w:type="dxa"/>
            <w:gridSpan w:val="12"/>
            <w:vAlign w:val="center"/>
          </w:tcPr>
          <w:p w:rsidR="00350111" w:rsidRDefault="002744BA" w:rsidP="00302061">
            <w:pPr>
              <w:spacing w:after="0" w:line="240" w:lineRule="auto"/>
              <w:rPr>
                <w:b/>
                <w:sz w:val="22"/>
                <w:szCs w:val="22"/>
                <w:lang w:val="en-US"/>
              </w:rPr>
            </w:pPr>
            <w:r>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w:t>
            </w:r>
          </w:p>
        </w:tc>
        <w:tc>
          <w:tcPr>
            <w:tcW w:w="9108" w:type="dxa"/>
            <w:gridSpan w:val="10"/>
            <w:vAlign w:val="center"/>
          </w:tcPr>
          <w:p w:rsidR="00350111" w:rsidRDefault="002744BA" w:rsidP="00302061">
            <w:pPr>
              <w:spacing w:after="0" w:line="240" w:lineRule="auto"/>
              <w:rPr>
                <w:b/>
                <w:sz w:val="22"/>
                <w:szCs w:val="22"/>
                <w:lang w:val="en-US"/>
              </w:rPr>
            </w:pPr>
            <w:r>
              <w:t xml:space="preserve">Tomić, T ... </w:t>
            </w:r>
            <w:r>
              <w:rPr>
                <w:u w:val="single"/>
              </w:rPr>
              <w:t>Teodorović I</w:t>
            </w:r>
            <w:r>
              <w:t xml:space="preserve"> (2019) A contribution towards improving the applicability of the Myriophyllum aquaticum sediment contact test. Environmental Sciences Europe, 31 (20)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2</w:t>
            </w:r>
          </w:p>
        </w:tc>
        <w:tc>
          <w:tcPr>
            <w:tcW w:w="9108" w:type="dxa"/>
            <w:gridSpan w:val="10"/>
            <w:vAlign w:val="center"/>
          </w:tcPr>
          <w:p w:rsidR="00350111" w:rsidRDefault="002744BA" w:rsidP="00302061">
            <w:pPr>
              <w:spacing w:after="0" w:line="240" w:lineRule="auto"/>
              <w:jc w:val="both"/>
              <w:rPr>
                <w:b/>
                <w:sz w:val="22"/>
                <w:szCs w:val="22"/>
                <w:lang w:val="en-US"/>
              </w:rPr>
            </w:pPr>
            <w:r>
              <w:t xml:space="preserve">Altenburger R, ... </w:t>
            </w:r>
            <w:r>
              <w:rPr>
                <w:u w:val="single"/>
              </w:rPr>
              <w:t>Teodorović  I,</w:t>
            </w:r>
            <w:r>
              <w:t xml:space="preserve"> ... Krauss M (2019) </w:t>
            </w:r>
            <w:r>
              <w:rPr>
                <w:iCs/>
              </w:rPr>
              <w:t xml:space="preserve">Future water quality monitoring: improving the balance between exposure and toxicity assessments of real-world pollutant mixtures. </w:t>
            </w:r>
            <w:r>
              <w:t>Environmental Sciences Europe</w:t>
            </w:r>
            <w:r>
              <w:rPr>
                <w:i/>
              </w:rPr>
              <w:t xml:space="preserve"> </w:t>
            </w:r>
            <w:r>
              <w:t xml:space="preserve">31:12. </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3</w:t>
            </w:r>
          </w:p>
        </w:tc>
        <w:tc>
          <w:tcPr>
            <w:tcW w:w="9108" w:type="dxa"/>
            <w:gridSpan w:val="10"/>
            <w:vAlign w:val="center"/>
          </w:tcPr>
          <w:p w:rsidR="00350111" w:rsidRDefault="002744BA" w:rsidP="00302061">
            <w:pPr>
              <w:spacing w:after="0" w:line="240" w:lineRule="auto"/>
              <w:jc w:val="both"/>
              <w:rPr>
                <w:b/>
                <w:sz w:val="22"/>
                <w:szCs w:val="22"/>
                <w:lang w:val="en-US"/>
              </w:rPr>
            </w:pPr>
            <w:r>
              <w:t xml:space="preserve">Brack W, ... </w:t>
            </w:r>
            <w:r>
              <w:rPr>
                <w:u w:val="single"/>
              </w:rPr>
              <w:t>Teodorović I,</w:t>
            </w:r>
            <w:r>
              <w:t xml:space="preserve"> ... Altenburger R (2019) </w:t>
            </w:r>
            <w:r>
              <w:rPr>
                <w:iCs/>
              </w:rPr>
              <w:t xml:space="preserve">Effect-based methods are key. The European Collaborative Project SOLUTIONS recommends integrating effect-based methods for diagnosis and monitoring of water quality. </w:t>
            </w:r>
            <w:r>
              <w:t>Environmental Sciences Europe 31:10.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4</w:t>
            </w:r>
          </w:p>
        </w:tc>
        <w:tc>
          <w:tcPr>
            <w:tcW w:w="9108" w:type="dxa"/>
            <w:gridSpan w:val="10"/>
            <w:vAlign w:val="center"/>
          </w:tcPr>
          <w:p w:rsidR="00350111" w:rsidRDefault="002744BA" w:rsidP="00302061">
            <w:pPr>
              <w:spacing w:after="0" w:line="240" w:lineRule="auto"/>
              <w:jc w:val="both"/>
              <w:rPr>
                <w:b/>
                <w:sz w:val="22"/>
                <w:szCs w:val="22"/>
                <w:lang w:val="en-US"/>
              </w:rPr>
            </w:pPr>
            <w:r>
              <w:rPr>
                <w:lang w:val="ru-RU"/>
              </w:rPr>
              <w:t>Kaisarevic S, ...</w:t>
            </w:r>
            <w:r>
              <w:rPr>
                <w:u w:val="single"/>
                <w:lang w:val="ru-RU"/>
              </w:rPr>
              <w:t xml:space="preserve"> Teodorovic I.</w:t>
            </w:r>
            <w:r>
              <w:rPr>
                <w:lang w:val="ru-RU"/>
              </w:rPr>
              <w:t xml:space="preserve"> 2019. Comparative analyses of cellular physiological responses of non-target species to cypermethrin and its formulated product: Contribution to mode of action research, Environmental Toxicology and Pharmacology (65) 31-39</w:t>
            </w:r>
            <w:r>
              <w:t>.</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5</w:t>
            </w:r>
          </w:p>
        </w:tc>
        <w:tc>
          <w:tcPr>
            <w:tcW w:w="9108" w:type="dxa"/>
            <w:gridSpan w:val="10"/>
            <w:vAlign w:val="center"/>
          </w:tcPr>
          <w:p w:rsidR="00350111" w:rsidRDefault="002744BA" w:rsidP="00302061">
            <w:pPr>
              <w:spacing w:after="0" w:line="240" w:lineRule="auto"/>
              <w:jc w:val="both"/>
              <w:rPr>
                <w:b/>
                <w:sz w:val="22"/>
                <w:szCs w:val="22"/>
                <w:lang w:val="en-US"/>
              </w:rPr>
            </w:pPr>
            <w:r>
              <w:rPr>
                <w:shd w:val="clear" w:color="auto" w:fill="FFFFFF"/>
              </w:rPr>
              <w:t xml:space="preserve">Mihajlović, V., Tomić, T., ... </w:t>
            </w:r>
            <w:r>
              <w:rPr>
                <w:u w:val="single"/>
                <w:shd w:val="clear" w:color="auto" w:fill="FFFFFF"/>
              </w:rPr>
              <w:t>Teodorović, I.</w:t>
            </w:r>
            <w:r>
              <w:rPr>
                <w:shd w:val="clear" w:color="auto" w:fill="FFFFFF"/>
              </w:rPr>
              <w:t xml:space="preserve"> (2019) The impact of humic acid on toxicity of individual herbicides and their mixtures to aquatic macrophytes. </w:t>
            </w:r>
            <w:r>
              <w:rPr>
                <w:i/>
                <w:shd w:val="clear" w:color="auto" w:fill="FFFFFF"/>
              </w:rPr>
              <w:t xml:space="preserve">Environmental Science and Pollution Research </w:t>
            </w:r>
            <w:r>
              <w:t>DOI: 10.1007/s11356-019-05629-6</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6</w:t>
            </w:r>
          </w:p>
        </w:tc>
        <w:tc>
          <w:tcPr>
            <w:tcW w:w="9108" w:type="dxa"/>
            <w:gridSpan w:val="10"/>
            <w:vAlign w:val="center"/>
          </w:tcPr>
          <w:p w:rsidR="00350111" w:rsidRDefault="002744BA" w:rsidP="00302061">
            <w:pPr>
              <w:spacing w:after="0" w:line="240" w:lineRule="auto"/>
              <w:jc w:val="both"/>
              <w:rPr>
                <w:b/>
                <w:sz w:val="22"/>
                <w:szCs w:val="22"/>
                <w:lang w:val="en-US"/>
              </w:rPr>
            </w:pPr>
            <w:r>
              <w:t>Nikolić, M.</w:t>
            </w:r>
            <w:r>
              <w:rPr>
                <w:rFonts w:eastAsia="ArialMT"/>
              </w:rPr>
              <w:t xml:space="preserve">, Kuznetsova, T., ... </w:t>
            </w:r>
            <w:r>
              <w:rPr>
                <w:rFonts w:eastAsia="ArialMT"/>
                <w:u w:val="single"/>
              </w:rPr>
              <w:t>Teodorović, I.</w:t>
            </w:r>
            <w:r>
              <w:rPr>
                <w:rFonts w:eastAsia="ArialMT"/>
              </w:rPr>
              <w:t xml:space="preserve"> 2019: Cardiac activity in the Mediterranean mussel (</w:t>
            </w:r>
            <w:r>
              <w:rPr>
                <w:i/>
                <w:iCs/>
              </w:rPr>
              <w:t xml:space="preserve">Mytilus galloprovincialis </w:t>
            </w:r>
            <w:r>
              <w:rPr>
                <w:rFonts w:eastAsia="ArialMT"/>
              </w:rPr>
              <w:t xml:space="preserve">Lamarck, 1819) as a biomarker for assessing sea water quality in Boka Kotorska Bay, South Adriatic Sea. </w:t>
            </w:r>
            <w:r>
              <w:rPr>
                <w:rFonts w:eastAsia="ArialMT"/>
                <w:i/>
              </w:rPr>
              <w:t>Mediterranean Marine Science</w:t>
            </w:r>
            <w:r>
              <w:rPr>
                <w:rFonts w:eastAsia="ArialMT"/>
              </w:rPr>
              <w:t xml:space="preserve">  doi:</w:t>
            </w:r>
            <w:r>
              <w:rPr>
                <w:rFonts w:eastAsia="ArialMT"/>
                <w:u w:val="single"/>
              </w:rPr>
              <w:t>http://dx.doi.org/10.12681/mms.18119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7</w:t>
            </w:r>
          </w:p>
        </w:tc>
        <w:tc>
          <w:tcPr>
            <w:tcW w:w="9108" w:type="dxa"/>
            <w:gridSpan w:val="10"/>
            <w:vAlign w:val="center"/>
          </w:tcPr>
          <w:p w:rsidR="00350111" w:rsidRDefault="002744BA" w:rsidP="00302061">
            <w:pPr>
              <w:spacing w:after="0" w:line="240" w:lineRule="auto"/>
              <w:rPr>
                <w:b/>
                <w:sz w:val="22"/>
                <w:szCs w:val="22"/>
                <w:lang w:val="en-US"/>
              </w:rPr>
            </w:pPr>
            <w:proofErr w:type="spellStart"/>
            <w:r>
              <w:rPr>
                <w:color w:val="000000"/>
                <w:lang w:val="en-GB" w:eastAsia="en-GB"/>
              </w:rPr>
              <w:t>Hashmi</w:t>
            </w:r>
            <w:proofErr w:type="spellEnd"/>
            <w:r>
              <w:rPr>
                <w:color w:val="000000"/>
                <w:lang w:val="en-GB" w:eastAsia="en-GB"/>
              </w:rPr>
              <w:t xml:space="preserve"> </w:t>
            </w:r>
            <w:proofErr w:type="gramStart"/>
            <w:r>
              <w:rPr>
                <w:color w:val="000000"/>
                <w:lang w:val="en-GB" w:eastAsia="en-GB"/>
              </w:rPr>
              <w:t xml:space="preserve">MAK, </w:t>
            </w:r>
            <w:r>
              <w:rPr>
                <w:color w:val="000000"/>
                <w:lang w:eastAsia="en-GB"/>
              </w:rPr>
              <w:t>...</w:t>
            </w:r>
            <w:proofErr w:type="gramEnd"/>
            <w:r>
              <w:rPr>
                <w:color w:val="000000"/>
                <w:lang w:val="en-GB" w:eastAsia="en-GB"/>
              </w:rPr>
              <w:t xml:space="preserve"> </w:t>
            </w:r>
            <w:proofErr w:type="spellStart"/>
            <w:r>
              <w:rPr>
                <w:color w:val="000000"/>
                <w:u w:val="single"/>
                <w:lang w:val="en-GB" w:eastAsia="en-GB"/>
              </w:rPr>
              <w:t>Teodorovic</w:t>
            </w:r>
            <w:proofErr w:type="spellEnd"/>
            <w:r>
              <w:rPr>
                <w:color w:val="000000"/>
                <w:u w:val="single"/>
                <w:lang w:val="en-GB" w:eastAsia="en-GB"/>
              </w:rPr>
              <w:t xml:space="preserve"> I,</w:t>
            </w:r>
            <w:r>
              <w:rPr>
                <w:color w:val="000000"/>
                <w:lang w:val="en-GB" w:eastAsia="en-GB"/>
              </w:rPr>
              <w:t xml:space="preserve"> </w:t>
            </w:r>
            <w:proofErr w:type="spellStart"/>
            <w:r>
              <w:rPr>
                <w:color w:val="000000"/>
                <w:lang w:val="en-GB" w:eastAsia="en-GB"/>
              </w:rPr>
              <w:t>Brack</w:t>
            </w:r>
            <w:proofErr w:type="spellEnd"/>
            <w:r>
              <w:rPr>
                <w:color w:val="000000"/>
                <w:lang w:val="en-GB" w:eastAsia="en-GB"/>
              </w:rPr>
              <w:t xml:space="preserve"> W. </w:t>
            </w:r>
            <w:r>
              <w:rPr>
                <w:color w:val="000000"/>
                <w:lang w:eastAsia="en-GB"/>
              </w:rPr>
              <w:t>(</w:t>
            </w:r>
            <w:r>
              <w:rPr>
                <w:color w:val="000000"/>
                <w:lang w:val="en-GB" w:eastAsia="en-GB"/>
              </w:rPr>
              <w:t>2018</w:t>
            </w:r>
            <w:r>
              <w:rPr>
                <w:color w:val="000000"/>
                <w:lang w:eastAsia="en-GB"/>
              </w:rPr>
              <w:t>)</w:t>
            </w:r>
            <w:r>
              <w:rPr>
                <w:color w:val="000000"/>
                <w:lang w:val="en-GB" w:eastAsia="en-GB"/>
              </w:rPr>
              <w:t xml:space="preserve"> </w:t>
            </w:r>
            <w:r>
              <w:rPr>
                <w:lang w:val="en-GB" w:eastAsia="en-GB"/>
              </w:rPr>
              <w:t xml:space="preserve">Effect-directed analysis (EDA) of Danube River water sample receiving untreated municipal wastewater from Novi Sad, Serbia. </w:t>
            </w:r>
            <w:r>
              <w:rPr>
                <w:iCs/>
              </w:rPr>
              <w:t>Science of the Total Environment</w:t>
            </w:r>
            <w:r>
              <w:rPr>
                <w:i/>
              </w:rPr>
              <w:t xml:space="preserve">, </w:t>
            </w:r>
            <w:r>
              <w:rPr>
                <w:iCs/>
              </w:rPr>
              <w:t>624</w:t>
            </w:r>
            <w:r>
              <w:t xml:space="preserve">, </w:t>
            </w:r>
            <w:r>
              <w:rPr>
                <w:iCs/>
              </w:rPr>
              <w:t>1072-1081</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8</w:t>
            </w:r>
          </w:p>
        </w:tc>
        <w:tc>
          <w:tcPr>
            <w:tcW w:w="9108" w:type="dxa"/>
            <w:gridSpan w:val="10"/>
            <w:vAlign w:val="center"/>
          </w:tcPr>
          <w:p w:rsidR="00350111" w:rsidRDefault="002744BA" w:rsidP="00302061">
            <w:pPr>
              <w:widowControl/>
              <w:autoSpaceDE/>
              <w:autoSpaceDN/>
              <w:adjustRightInd/>
              <w:spacing w:after="0" w:line="240" w:lineRule="auto"/>
              <w:jc w:val="both"/>
              <w:rPr>
                <w:b/>
                <w:sz w:val="22"/>
                <w:szCs w:val="22"/>
                <w:lang w:val="en-US"/>
              </w:rPr>
            </w:pPr>
            <w:r>
              <w:t>EFSA PPR Panel (EFSA Panel on Plant Protection Products and their Residues), Ockleford C, Adriaanse P, … and</w:t>
            </w:r>
            <w:r>
              <w:rPr>
                <w:u w:val="single"/>
              </w:rPr>
              <w:t xml:space="preserve"> Teodorovic I,</w:t>
            </w:r>
            <w:r>
              <w:t xml:space="preserve"> 2018. Scientific Opinion on the state of the art of Toxicokinetic/Toxicodynamic (TKTD) effect models for regulatory risk assessment of pesticides for aquatic organisms.</w:t>
            </w:r>
            <w:r>
              <w:rPr>
                <w:rFonts w:eastAsia="AdvTT62f2e734"/>
              </w:rPr>
              <w:t xml:space="preserve"> EFSA Journal 16(8):5377</w:t>
            </w:r>
            <w:r>
              <w:t xml:space="preserve">, </w:t>
            </w:r>
            <w:r w:rsidR="00490CAF">
              <w:fldChar w:fldCharType="begin"/>
            </w:r>
            <w:r>
              <w:instrText xml:space="preserve"> NUMPAGES  \# "0"  \* MERGEFORMAT </w:instrText>
            </w:r>
            <w:r w:rsidR="00490CAF">
              <w:fldChar w:fldCharType="separate"/>
            </w:r>
            <w:r>
              <w:t>187</w:t>
            </w:r>
            <w:r w:rsidR="00490CAF">
              <w:fldChar w:fldCharType="end"/>
            </w:r>
            <w:r>
              <w:t xml:space="preserve"> pp.</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51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lastRenderedPageBreak/>
              <w:t>9</w:t>
            </w:r>
          </w:p>
        </w:tc>
        <w:tc>
          <w:tcPr>
            <w:tcW w:w="9108" w:type="dxa"/>
            <w:gridSpan w:val="10"/>
            <w:vAlign w:val="center"/>
          </w:tcPr>
          <w:p w:rsidR="00350111" w:rsidRDefault="002744BA" w:rsidP="00302061">
            <w:pPr>
              <w:spacing w:after="0" w:line="240" w:lineRule="auto"/>
              <w:rPr>
                <w:b/>
                <w:sz w:val="22"/>
                <w:szCs w:val="22"/>
                <w:lang w:val="en-US"/>
              </w:rPr>
            </w:pPr>
            <w:r>
              <w:t xml:space="preserve">König M,… </w:t>
            </w:r>
            <w:r>
              <w:rPr>
                <w:u w:val="single"/>
              </w:rPr>
              <w:t>Teodorović I,</w:t>
            </w:r>
            <w:r>
              <w:t xml:space="preserve"> .. </w:t>
            </w:r>
            <w:r>
              <w:rPr>
                <w:rStyle w:val="hit"/>
              </w:rPr>
              <w:t xml:space="preserve">Brack W. (2017) </w:t>
            </w:r>
            <w:r>
              <w:t xml:space="preserve">Impact of untreated wastewater on a major European river evaluated with a combination of </w:t>
            </w:r>
            <w:r>
              <w:rPr>
                <w:i/>
                <w:iCs/>
              </w:rPr>
              <w:t>in vitro</w:t>
            </w:r>
            <w:r>
              <w:t xml:space="preserve"> bioassays and chemical analysis, </w:t>
            </w:r>
            <w:r>
              <w:rPr>
                <w:iCs/>
              </w:rPr>
              <w:t>Environmental Pollution</w:t>
            </w:r>
            <w:r>
              <w:t xml:space="preserve">, </w:t>
            </w:r>
            <w:r>
              <w:rPr>
                <w:iCs/>
              </w:rPr>
              <w:t>220, B</w:t>
            </w:r>
            <w:r>
              <w:t xml:space="preserve">, </w:t>
            </w:r>
            <w:r>
              <w:rPr>
                <w:iCs/>
              </w:rPr>
              <w:t>1220-1230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10</w:t>
            </w:r>
          </w:p>
        </w:tc>
        <w:tc>
          <w:tcPr>
            <w:tcW w:w="9108" w:type="dxa"/>
            <w:gridSpan w:val="10"/>
            <w:vAlign w:val="center"/>
          </w:tcPr>
          <w:p w:rsidR="00350111" w:rsidRDefault="002744BA" w:rsidP="00302061">
            <w:pPr>
              <w:spacing w:after="0" w:line="240" w:lineRule="auto"/>
              <w:rPr>
                <w:b/>
                <w:sz w:val="22"/>
                <w:szCs w:val="22"/>
                <w:lang w:val="en-US"/>
              </w:rPr>
            </w:pPr>
            <w:r>
              <w:t xml:space="preserve">Bogunovic M, ... </w:t>
            </w:r>
            <w:r>
              <w:rPr>
                <w:u w:val="single"/>
              </w:rPr>
              <w:t xml:space="preserve">Teodorovic I, </w:t>
            </w:r>
            <w:r>
              <w:t xml:space="preserve">Ivancev-Tumbas I </w:t>
            </w:r>
            <w:r>
              <w:rPr>
                <w:lang w:val="en-GB" w:eastAsia="en-GB"/>
              </w:rPr>
              <w:t xml:space="preserve">(2017) </w:t>
            </w:r>
            <w:r>
              <w:t xml:space="preserve">Biodegradation of a mixture of benzophenone, benzophenone-3, caffeine and carbamazepine in a laboratory test filter. </w:t>
            </w:r>
            <w:r>
              <w:rPr>
                <w:i/>
              </w:rPr>
              <w:t>Journal of the Serbian Chemical Society</w:t>
            </w:r>
            <w:r>
              <w:t>, 82 (12), 1445-1459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23</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11</w:t>
            </w:r>
          </w:p>
        </w:tc>
        <w:tc>
          <w:tcPr>
            <w:tcW w:w="9108" w:type="dxa"/>
            <w:gridSpan w:val="10"/>
            <w:vAlign w:val="center"/>
          </w:tcPr>
          <w:p w:rsidR="00350111" w:rsidRDefault="002744BA" w:rsidP="00302061">
            <w:pPr>
              <w:spacing w:after="0" w:line="240" w:lineRule="auto"/>
              <w:jc w:val="both"/>
              <w:rPr>
                <w:b/>
                <w:sz w:val="22"/>
                <w:szCs w:val="22"/>
                <w:lang w:val="en-US"/>
              </w:rPr>
            </w:pPr>
            <w:r>
              <w:t>Deutschmann B, …</w:t>
            </w:r>
            <w:r>
              <w:rPr>
                <w:u w:val="single"/>
              </w:rPr>
              <w:t>Teodorovic I</w:t>
            </w:r>
            <w:r>
              <w:t xml:space="preserve">, ... </w:t>
            </w:r>
            <w:r>
              <w:rPr>
                <w:rStyle w:val="hit"/>
              </w:rPr>
              <w:t xml:space="preserve">Hollert H (2016) </w:t>
            </w:r>
            <w:r>
              <w:t>Longitudinal profile of the genotoxic potential of the River Danube on erythrocytes of wild common bleak (</w:t>
            </w:r>
            <w:r>
              <w:rPr>
                <w:i/>
                <w:iCs/>
              </w:rPr>
              <w:t>Alburnus alburnus</w:t>
            </w:r>
            <w:r>
              <w:t>) assessed using the comet and micronucleus assay.</w:t>
            </w:r>
            <w:r>
              <w:rPr>
                <w:i/>
              </w:rPr>
              <w:t xml:space="preserve"> </w:t>
            </w:r>
            <w:r>
              <w:rPr>
                <w:iCs/>
              </w:rPr>
              <w:t>Science of the Total Environment</w:t>
            </w:r>
            <w:r>
              <w:rPr>
                <w:i/>
              </w:rPr>
              <w:t xml:space="preserve">, </w:t>
            </w:r>
            <w:r>
              <w:rPr>
                <w:iCs/>
              </w:rPr>
              <w:t>573</w:t>
            </w:r>
            <w:r>
              <w:t xml:space="preserve">, </w:t>
            </w:r>
            <w:r>
              <w:rPr>
                <w:iCs/>
              </w:rPr>
              <w:t>1441-1449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21а</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12</w:t>
            </w:r>
          </w:p>
        </w:tc>
        <w:tc>
          <w:tcPr>
            <w:tcW w:w="9108" w:type="dxa"/>
            <w:gridSpan w:val="10"/>
            <w:vAlign w:val="center"/>
          </w:tcPr>
          <w:p w:rsidR="00350111" w:rsidRDefault="002744BA" w:rsidP="00302061">
            <w:pPr>
              <w:widowControl/>
              <w:autoSpaceDE/>
              <w:autoSpaceDN/>
              <w:adjustRightInd/>
              <w:spacing w:after="0" w:line="240" w:lineRule="auto"/>
              <w:jc w:val="both"/>
              <w:rPr>
                <w:b/>
                <w:sz w:val="22"/>
                <w:szCs w:val="22"/>
                <w:lang w:val="en-US"/>
              </w:rPr>
            </w:pPr>
            <w:r>
              <w:t xml:space="preserve">Knežević V, ... </w:t>
            </w:r>
            <w:r>
              <w:rPr>
                <w:u w:val="single"/>
              </w:rPr>
              <w:t>Teodorović I</w:t>
            </w:r>
            <w:r>
              <w:t xml:space="preserve"> (2016) </w:t>
            </w:r>
            <w:r>
              <w:rPr>
                <w:iCs/>
              </w:rPr>
              <w:t xml:space="preserve">Getting More Ecologically Relevant Information from Laboratory Tests: Recovery of </w:t>
            </w:r>
            <w:r>
              <w:rPr>
                <w:i/>
                <w:iCs/>
              </w:rPr>
              <w:t>Lemna minor</w:t>
            </w:r>
            <w:r>
              <w:rPr>
                <w:iCs/>
              </w:rPr>
              <w:t xml:space="preserve"> After Exposure to Herbicides and Their Mixtures.</w:t>
            </w:r>
            <w:r>
              <w:t xml:space="preserve"> Archives of Environmental Contamination and Toxicology 71(4), 572-588</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13</w:t>
            </w:r>
          </w:p>
        </w:tc>
        <w:tc>
          <w:tcPr>
            <w:tcW w:w="9108" w:type="dxa"/>
            <w:gridSpan w:val="10"/>
            <w:vAlign w:val="center"/>
          </w:tcPr>
          <w:p w:rsidR="00350111" w:rsidRDefault="002744BA" w:rsidP="00302061">
            <w:pPr>
              <w:spacing w:after="0" w:line="240" w:lineRule="auto"/>
              <w:jc w:val="both"/>
              <w:rPr>
                <w:b/>
                <w:sz w:val="22"/>
                <w:szCs w:val="22"/>
                <w:lang w:val="en-US"/>
              </w:rPr>
            </w:pPr>
            <w:r>
              <w:rPr>
                <w:rFonts w:eastAsia="AdvP6F00"/>
              </w:rPr>
              <w:t>Tunić T,...</w:t>
            </w:r>
            <w:proofErr w:type="spellStart"/>
            <w:r>
              <w:rPr>
                <w:rFonts w:eastAsia="AdvP6F00"/>
                <w:u w:val="single"/>
                <w:lang w:val="en-GB"/>
              </w:rPr>
              <w:t>Teodorović</w:t>
            </w:r>
            <w:proofErr w:type="spellEnd"/>
            <w:r>
              <w:rPr>
                <w:rFonts w:eastAsia="AdvP6F00"/>
                <w:u w:val="single"/>
              </w:rPr>
              <w:t xml:space="preserve"> I</w:t>
            </w:r>
            <w:r>
              <w:rPr>
                <w:rFonts w:eastAsia="AdvP6F00"/>
              </w:rPr>
              <w:t xml:space="preserve">. (2015) </w:t>
            </w:r>
            <w:r>
              <w:rPr>
                <w:rFonts w:eastAsia="AdvP6F00"/>
                <w:lang w:val="en-GB"/>
              </w:rPr>
              <w:t xml:space="preserve">Some arguments in favour of </w:t>
            </w:r>
            <w:proofErr w:type="spellStart"/>
            <w:r>
              <w:rPr>
                <w:rFonts w:eastAsia="AdvP6F00"/>
                <w:i/>
                <w:lang w:val="en-GB"/>
              </w:rPr>
              <w:t>Myriophyllum</w:t>
            </w:r>
            <w:proofErr w:type="spellEnd"/>
            <w:r>
              <w:rPr>
                <w:rFonts w:eastAsia="AdvP6F00"/>
                <w:i/>
                <w:lang w:val="en-GB"/>
              </w:rPr>
              <w:t xml:space="preserve"> </w:t>
            </w:r>
            <w:proofErr w:type="spellStart"/>
            <w:r>
              <w:rPr>
                <w:rFonts w:eastAsia="AdvP6F00"/>
                <w:i/>
                <w:lang w:val="en-GB"/>
              </w:rPr>
              <w:t>aquaticum</w:t>
            </w:r>
            <w:proofErr w:type="spellEnd"/>
            <w:r>
              <w:rPr>
                <w:rFonts w:eastAsia="AdvP6F00"/>
                <w:i/>
                <w:lang w:val="en-GB"/>
              </w:rPr>
              <w:t xml:space="preserve"> </w:t>
            </w:r>
            <w:r>
              <w:rPr>
                <w:rFonts w:eastAsia="AdvP6F00"/>
                <w:lang w:val="en-GB"/>
              </w:rPr>
              <w:t>growth inhibition test in water–sediment system as an additional test in risk assessment of herbicides</w:t>
            </w:r>
            <w:r>
              <w:t>. Environmental Toxicology and Chemistry</w:t>
            </w:r>
            <w:r>
              <w:rPr>
                <w:i/>
              </w:rPr>
              <w:t xml:space="preserve"> </w:t>
            </w:r>
            <w:r>
              <w:rPr>
                <w:rFonts w:eastAsia="AdvP6F00"/>
                <w:lang w:val="en-GB" w:eastAsia="en-GB"/>
              </w:rPr>
              <w:t>34(9), 2104–2115</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14</w:t>
            </w:r>
          </w:p>
        </w:tc>
        <w:tc>
          <w:tcPr>
            <w:tcW w:w="9108" w:type="dxa"/>
            <w:gridSpan w:val="10"/>
            <w:vAlign w:val="center"/>
          </w:tcPr>
          <w:p w:rsidR="00350111" w:rsidRDefault="002744BA" w:rsidP="00302061">
            <w:pPr>
              <w:widowControl/>
              <w:spacing w:after="0" w:line="240" w:lineRule="auto"/>
              <w:rPr>
                <w:b/>
                <w:sz w:val="22"/>
                <w:szCs w:val="22"/>
                <w:lang w:val="en-US"/>
              </w:rPr>
            </w:pPr>
            <w:r>
              <w:t>Kaisarevic S ...</w:t>
            </w:r>
            <w:r>
              <w:rPr>
                <w:u w:val="single"/>
              </w:rPr>
              <w:t>Teodorovic I</w:t>
            </w:r>
            <w:r>
              <w:t xml:space="preserve">, Brack W, Kovacevic R (2015). </w:t>
            </w:r>
            <w:r>
              <w:rPr>
                <w:lang w:val="en-GB" w:eastAsia="en-GB"/>
              </w:rPr>
              <w:t xml:space="preserve">Differential expression of CYP1A1 and CYP1A2 genes in H4IIE rat </w:t>
            </w:r>
            <w:proofErr w:type="spellStart"/>
            <w:r>
              <w:rPr>
                <w:lang w:val="en-GB" w:eastAsia="en-GB"/>
              </w:rPr>
              <w:t>hepatoma</w:t>
            </w:r>
            <w:proofErr w:type="spellEnd"/>
            <w:r>
              <w:rPr>
                <w:lang w:val="en-GB" w:eastAsia="en-GB"/>
              </w:rPr>
              <w:t xml:space="preserve"> cell line: A possible biomarker for discrimination between PCDD and PAH contamination </w:t>
            </w:r>
            <w:r>
              <w:rPr>
                <w:lang w:val="en-GB"/>
              </w:rPr>
              <w:t>Environmental Toxicology and Pharmacology 39, 358-368</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15</w:t>
            </w:r>
          </w:p>
        </w:tc>
        <w:tc>
          <w:tcPr>
            <w:tcW w:w="9108" w:type="dxa"/>
            <w:gridSpan w:val="10"/>
            <w:vAlign w:val="center"/>
          </w:tcPr>
          <w:p w:rsidR="00350111" w:rsidRDefault="002744BA" w:rsidP="00302061">
            <w:pPr>
              <w:widowControl/>
              <w:spacing w:after="0" w:line="240" w:lineRule="auto"/>
              <w:rPr>
                <w:b/>
                <w:sz w:val="22"/>
                <w:szCs w:val="22"/>
                <w:lang w:val="en-US"/>
              </w:rPr>
            </w:pPr>
            <w:r>
              <w:rPr>
                <w:lang w:eastAsia="en-GB"/>
              </w:rPr>
              <w:t xml:space="preserve">Brkić D, ... </w:t>
            </w:r>
            <w:r>
              <w:rPr>
                <w:u w:val="single"/>
                <w:lang w:eastAsia="en-GB"/>
              </w:rPr>
              <w:t>Teodorović I</w:t>
            </w:r>
            <w:r>
              <w:rPr>
                <w:lang w:eastAsia="en-GB"/>
              </w:rPr>
              <w:t xml:space="preserve">, ... Nešković N. (2015) </w:t>
            </w:r>
            <w:r>
              <w:t>Subacute and subchronic toxicity of Avalon</w:t>
            </w:r>
            <w:r>
              <w:sym w:font="Symbol" w:char="F0D2"/>
            </w:r>
            <w:r>
              <w:t xml:space="preserve"> mixture (bentazone+dicamba) to rats. </w:t>
            </w:r>
            <w:r>
              <w:rPr>
                <w:lang w:val="en-GB"/>
              </w:rPr>
              <w:t xml:space="preserve">Environmental Toxicology and Pharmacology </w:t>
            </w:r>
            <w:r>
              <w:rPr>
                <w:lang w:val="en-GB" w:eastAsia="en-GB"/>
              </w:rPr>
              <w:t>39, 1057-1066.</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22</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16</w:t>
            </w:r>
          </w:p>
        </w:tc>
        <w:tc>
          <w:tcPr>
            <w:tcW w:w="9108" w:type="dxa"/>
            <w:gridSpan w:val="10"/>
            <w:vAlign w:val="center"/>
          </w:tcPr>
          <w:p w:rsidR="00350111" w:rsidRDefault="002744BA" w:rsidP="00302061">
            <w:pPr>
              <w:spacing w:after="0" w:line="240" w:lineRule="auto"/>
              <w:rPr>
                <w:b/>
                <w:sz w:val="22"/>
                <w:szCs w:val="22"/>
                <w:lang w:val="en-US"/>
              </w:rPr>
            </w:pPr>
            <w:r>
              <w:t xml:space="preserve">Feiler U, ... </w:t>
            </w:r>
            <w:r>
              <w:rPr>
                <w:u w:val="single"/>
              </w:rPr>
              <w:t>Teodorovic I,</w:t>
            </w:r>
            <w:r>
              <w:t xml:space="preserve"> ... Pluta HJ. (2014) Inter-laboratory trial of a standardized sediment contact test with the aquatic plant </w:t>
            </w:r>
            <w:r>
              <w:rPr>
                <w:i/>
              </w:rPr>
              <w:t>Myriophyllum aquaticum</w:t>
            </w:r>
            <w:r>
              <w:t xml:space="preserve"> (ISO 16191)</w:t>
            </w:r>
            <w:r>
              <w:rPr>
                <w:i/>
              </w:rPr>
              <w:t xml:space="preserve"> </w:t>
            </w:r>
            <w:r>
              <w:t>Environmental Toxicology and Chemistry</w:t>
            </w:r>
            <w:r>
              <w:rPr>
                <w:i/>
              </w:rPr>
              <w:t xml:space="preserve"> </w:t>
            </w:r>
            <w:r>
              <w:t>33, (3), 662–670</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17</w:t>
            </w:r>
          </w:p>
        </w:tc>
        <w:tc>
          <w:tcPr>
            <w:tcW w:w="9108" w:type="dxa"/>
            <w:gridSpan w:val="10"/>
            <w:vAlign w:val="center"/>
          </w:tcPr>
          <w:p w:rsidR="00350111" w:rsidRDefault="002744BA" w:rsidP="00302061">
            <w:pPr>
              <w:spacing w:after="0" w:line="240" w:lineRule="auto"/>
              <w:rPr>
                <w:b/>
                <w:sz w:val="22"/>
                <w:szCs w:val="22"/>
                <w:lang w:val="en-US"/>
              </w:rPr>
            </w:pPr>
            <w:proofErr w:type="spellStart"/>
            <w:r>
              <w:rPr>
                <w:u w:val="single"/>
                <w:lang w:val="en-GB" w:eastAsia="en-GB"/>
              </w:rPr>
              <w:t>Teodorovic</w:t>
            </w:r>
            <w:proofErr w:type="spellEnd"/>
            <w:r>
              <w:rPr>
                <w:u w:val="single"/>
                <w:lang w:val="en-GB" w:eastAsia="en-GB"/>
              </w:rPr>
              <w:t xml:space="preserve"> </w:t>
            </w:r>
            <w:proofErr w:type="gramStart"/>
            <w:r>
              <w:rPr>
                <w:u w:val="single"/>
                <w:lang w:val="en-GB" w:eastAsia="en-GB"/>
              </w:rPr>
              <w:t>I,</w:t>
            </w:r>
            <w:r>
              <w:rPr>
                <w:lang w:val="en-GB" w:eastAsia="en-GB"/>
              </w:rPr>
              <w:t xml:space="preserve"> </w:t>
            </w:r>
            <w:r>
              <w:rPr>
                <w:lang w:eastAsia="en-GB"/>
              </w:rPr>
              <w:t>...</w:t>
            </w:r>
            <w:proofErr w:type="spellStart"/>
            <w:r>
              <w:rPr>
                <w:lang w:val="en-GB" w:eastAsia="en-GB"/>
              </w:rPr>
              <w:t>Ivancev</w:t>
            </w:r>
            <w:proofErr w:type="spellEnd"/>
            <w:proofErr w:type="gramEnd"/>
            <w:r>
              <w:rPr>
                <w:lang w:val="en-GB" w:eastAsia="en-GB"/>
              </w:rPr>
              <w:t xml:space="preserve"> </w:t>
            </w:r>
            <w:proofErr w:type="spellStart"/>
            <w:r>
              <w:rPr>
                <w:lang w:val="en-GB" w:eastAsia="en-GB"/>
              </w:rPr>
              <w:t>Tumbas</w:t>
            </w:r>
            <w:proofErr w:type="spellEnd"/>
            <w:r>
              <w:rPr>
                <w:lang w:val="en-GB" w:eastAsia="en-GB"/>
              </w:rPr>
              <w:t xml:space="preserve"> I (2012) </w:t>
            </w:r>
            <w:proofErr w:type="spellStart"/>
            <w:r>
              <w:rPr>
                <w:i/>
                <w:lang w:val="en-GB" w:eastAsia="en-GB"/>
              </w:rPr>
              <w:t>Myriophyllum</w:t>
            </w:r>
            <w:proofErr w:type="spellEnd"/>
            <w:r>
              <w:rPr>
                <w:i/>
                <w:lang w:val="en-GB" w:eastAsia="en-GB"/>
              </w:rPr>
              <w:t xml:space="preserve"> </w:t>
            </w:r>
            <w:proofErr w:type="spellStart"/>
            <w:r>
              <w:rPr>
                <w:i/>
                <w:lang w:val="en-GB" w:eastAsia="en-GB"/>
              </w:rPr>
              <w:t>aquaticum</w:t>
            </w:r>
            <w:proofErr w:type="spellEnd"/>
            <w:r>
              <w:rPr>
                <w:i/>
                <w:lang w:val="en-GB" w:eastAsia="en-GB"/>
              </w:rPr>
              <w:t xml:space="preserve"> vs. </w:t>
            </w:r>
            <w:proofErr w:type="spellStart"/>
            <w:r>
              <w:rPr>
                <w:i/>
                <w:lang w:val="en-GB" w:eastAsia="en-GB"/>
              </w:rPr>
              <w:t>Lemna</w:t>
            </w:r>
            <w:proofErr w:type="spellEnd"/>
            <w:r>
              <w:rPr>
                <w:i/>
                <w:lang w:val="en-GB" w:eastAsia="en-GB"/>
              </w:rPr>
              <w:t xml:space="preserve"> minor</w:t>
            </w:r>
            <w:r>
              <w:rPr>
                <w:lang w:val="en-GB" w:eastAsia="en-GB"/>
              </w:rPr>
              <w:t xml:space="preserve">: sensitivity and recovery potential after exposure to </w:t>
            </w:r>
            <w:proofErr w:type="spellStart"/>
            <w:r>
              <w:rPr>
                <w:lang w:val="en-GB" w:eastAsia="en-GB"/>
              </w:rPr>
              <w:t>atrazine</w:t>
            </w:r>
            <w:proofErr w:type="spellEnd"/>
            <w:r>
              <w:rPr>
                <w:lang w:val="en-GB" w:eastAsia="en-GB"/>
              </w:rPr>
              <w:t xml:space="preserve">. </w:t>
            </w:r>
            <w:r>
              <w:rPr>
                <w:iCs/>
                <w:lang w:val="en-GB" w:eastAsia="en-GB"/>
              </w:rPr>
              <w:t>Environmental Toxicology and Chemistry</w:t>
            </w:r>
            <w:r>
              <w:rPr>
                <w:lang w:val="en-GB" w:eastAsia="en-GB"/>
              </w:rPr>
              <w:t xml:space="preserve"> </w:t>
            </w:r>
            <w:r>
              <w:rPr>
                <w:color w:val="333333"/>
              </w:rPr>
              <w:t>31(2), 417-426</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18</w:t>
            </w:r>
          </w:p>
        </w:tc>
        <w:tc>
          <w:tcPr>
            <w:tcW w:w="9108" w:type="dxa"/>
            <w:gridSpan w:val="10"/>
            <w:vAlign w:val="center"/>
          </w:tcPr>
          <w:p w:rsidR="00350111" w:rsidRDefault="002744BA" w:rsidP="00302061">
            <w:pPr>
              <w:spacing w:after="0" w:line="240" w:lineRule="auto"/>
              <w:rPr>
                <w:b/>
                <w:sz w:val="22"/>
                <w:szCs w:val="22"/>
                <w:lang w:val="en-US"/>
              </w:rPr>
            </w:pPr>
            <w:proofErr w:type="spellStart"/>
            <w:r>
              <w:rPr>
                <w:lang w:val="en-GB"/>
              </w:rPr>
              <w:t>Planojevic</w:t>
            </w:r>
            <w:proofErr w:type="spellEnd"/>
            <w:r>
              <w:rPr>
                <w:lang w:val="en-GB"/>
              </w:rPr>
              <w:t xml:space="preserve">, I., </w:t>
            </w:r>
            <w:proofErr w:type="spellStart"/>
            <w:r>
              <w:rPr>
                <w:u w:val="single"/>
                <w:lang w:val="en-GB"/>
              </w:rPr>
              <w:t>Teodorovic</w:t>
            </w:r>
            <w:proofErr w:type="spellEnd"/>
            <w:r>
              <w:rPr>
                <w:u w:val="single"/>
                <w:lang w:val="en-GB"/>
              </w:rPr>
              <w:t>, I</w:t>
            </w:r>
            <w:proofErr w:type="gramStart"/>
            <w:r>
              <w:rPr>
                <w:u w:val="single"/>
                <w:lang w:val="en-GB"/>
              </w:rPr>
              <w:t>.,</w:t>
            </w:r>
            <w:r>
              <w:rPr>
                <w:lang w:val="en-GB"/>
              </w:rPr>
              <w:t xml:space="preserve"> </w:t>
            </w:r>
            <w:r>
              <w:t>...</w:t>
            </w:r>
            <w:proofErr w:type="gramEnd"/>
            <w:r>
              <w:t xml:space="preserve"> </w:t>
            </w:r>
            <w:r>
              <w:rPr>
                <w:lang w:val="en-GB"/>
              </w:rPr>
              <w:t xml:space="preserve"> </w:t>
            </w:r>
            <w:proofErr w:type="spellStart"/>
            <w:r>
              <w:rPr>
                <w:lang w:val="en-GB"/>
              </w:rPr>
              <w:t>Kovacevic</w:t>
            </w:r>
            <w:proofErr w:type="spellEnd"/>
            <w:r>
              <w:rPr>
                <w:lang w:val="en-GB"/>
              </w:rPr>
              <w:t xml:space="preserve">, R. (2011): Wastewater canal </w:t>
            </w:r>
            <w:proofErr w:type="spellStart"/>
            <w:r>
              <w:rPr>
                <w:lang w:val="en-GB"/>
              </w:rPr>
              <w:t>Vojlovica</w:t>
            </w:r>
            <w:proofErr w:type="spellEnd"/>
            <w:r>
              <w:rPr>
                <w:lang w:val="en-GB"/>
              </w:rPr>
              <w:t xml:space="preserve">, </w:t>
            </w:r>
            <w:proofErr w:type="spellStart"/>
            <w:r>
              <w:rPr>
                <w:lang w:val="en-GB"/>
              </w:rPr>
              <w:t>industial</w:t>
            </w:r>
            <w:proofErr w:type="spellEnd"/>
            <w:r>
              <w:rPr>
                <w:lang w:val="en-GB"/>
              </w:rPr>
              <w:t xml:space="preserve"> complex </w:t>
            </w:r>
            <w:proofErr w:type="spellStart"/>
            <w:r>
              <w:rPr>
                <w:lang w:val="en-GB"/>
              </w:rPr>
              <w:t>Pancevo</w:t>
            </w:r>
            <w:proofErr w:type="spellEnd"/>
            <w:r>
              <w:rPr>
                <w:lang w:val="en-GB"/>
              </w:rPr>
              <w:t xml:space="preserve">, Serbia – preliminary </w:t>
            </w:r>
            <w:proofErr w:type="spellStart"/>
            <w:r>
              <w:rPr>
                <w:lang w:val="en-GB"/>
              </w:rPr>
              <w:t>ecotoxicological</w:t>
            </w:r>
            <w:proofErr w:type="spellEnd"/>
            <w:r>
              <w:rPr>
                <w:lang w:val="en-GB"/>
              </w:rPr>
              <w:t xml:space="preserve"> assessment of contaminated sediments. </w:t>
            </w:r>
            <w:r>
              <w:rPr>
                <w:i/>
                <w:lang w:val="en-GB"/>
              </w:rPr>
              <w:t>Journal of Serbian Chemical Society</w:t>
            </w:r>
            <w:r>
              <w:rPr>
                <w:lang w:val="en-GB"/>
              </w:rPr>
              <w:t xml:space="preserve"> 76:459-478</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23</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19</w:t>
            </w:r>
          </w:p>
        </w:tc>
        <w:tc>
          <w:tcPr>
            <w:tcW w:w="9108" w:type="dxa"/>
            <w:gridSpan w:val="10"/>
            <w:vAlign w:val="center"/>
          </w:tcPr>
          <w:p w:rsidR="00350111" w:rsidRDefault="002744BA" w:rsidP="00302061">
            <w:pPr>
              <w:spacing w:after="0" w:line="240" w:lineRule="auto"/>
              <w:rPr>
                <w:b/>
                <w:sz w:val="22"/>
                <w:szCs w:val="22"/>
                <w:lang w:val="en-US"/>
              </w:rPr>
            </w:pPr>
            <w:proofErr w:type="spellStart"/>
            <w:r>
              <w:rPr>
                <w:u w:val="single"/>
                <w:lang w:val="en-GB"/>
              </w:rPr>
              <w:t>Teodorovic</w:t>
            </w:r>
            <w:proofErr w:type="spellEnd"/>
            <w:r>
              <w:rPr>
                <w:u w:val="single"/>
                <w:lang w:val="en-GB"/>
              </w:rPr>
              <w:t xml:space="preserve"> I</w:t>
            </w:r>
            <w:r>
              <w:rPr>
                <w:i/>
                <w:lang w:val="en-GB"/>
              </w:rPr>
              <w:t>.</w:t>
            </w:r>
            <w:r>
              <w:rPr>
                <w:lang w:val="en-GB"/>
              </w:rPr>
              <w:t xml:space="preserve"> (2009): </w:t>
            </w:r>
            <w:proofErr w:type="spellStart"/>
            <w:r>
              <w:rPr>
                <w:lang w:val="en-GB"/>
              </w:rPr>
              <w:t>Ecotoxicological</w:t>
            </w:r>
            <w:proofErr w:type="spellEnd"/>
            <w:r>
              <w:rPr>
                <w:lang w:val="en-GB"/>
              </w:rPr>
              <w:t xml:space="preserve"> research and related legislation in Serbia. Environmental Science and Pollution Research </w:t>
            </w:r>
            <w:r>
              <w:t>16 (Suppl 1):S123–S129</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639" w:type="dxa"/>
            <w:vAlign w:val="center"/>
          </w:tcPr>
          <w:p w:rsidR="00350111" w:rsidRDefault="002744BA" w:rsidP="00302061">
            <w:pPr>
              <w:spacing w:after="0" w:line="240" w:lineRule="auto"/>
              <w:rPr>
                <w:b/>
                <w:sz w:val="22"/>
                <w:szCs w:val="22"/>
                <w:lang w:val="en-US"/>
              </w:rPr>
            </w:pPr>
            <w:r>
              <w:t>20</w:t>
            </w:r>
          </w:p>
        </w:tc>
        <w:tc>
          <w:tcPr>
            <w:tcW w:w="9108" w:type="dxa"/>
            <w:gridSpan w:val="10"/>
            <w:vAlign w:val="center"/>
          </w:tcPr>
          <w:p w:rsidR="00350111" w:rsidRDefault="002744BA" w:rsidP="00302061">
            <w:pPr>
              <w:widowControl/>
              <w:spacing w:after="0" w:line="240" w:lineRule="auto"/>
              <w:jc w:val="both"/>
              <w:rPr>
                <w:b/>
                <w:sz w:val="22"/>
                <w:szCs w:val="22"/>
                <w:lang w:val="en-US"/>
              </w:rPr>
            </w:pPr>
            <w:proofErr w:type="spellStart"/>
            <w:r>
              <w:rPr>
                <w:lang w:val="en-GB"/>
              </w:rPr>
              <w:t>Kaisarevic</w:t>
            </w:r>
            <w:proofErr w:type="spellEnd"/>
            <w:r>
              <w:rPr>
                <w:lang w:val="en-GB"/>
              </w:rPr>
              <w:t xml:space="preserve"> </w:t>
            </w:r>
            <w:proofErr w:type="gramStart"/>
            <w:r>
              <w:rPr>
                <w:lang w:val="en-GB"/>
              </w:rPr>
              <w:t xml:space="preserve">S, </w:t>
            </w:r>
            <w:r>
              <w:t>...</w:t>
            </w:r>
            <w:proofErr w:type="gramEnd"/>
            <w:r>
              <w:rPr>
                <w:lang w:val="en-GB"/>
              </w:rPr>
              <w:t xml:space="preserve"> </w:t>
            </w:r>
            <w:proofErr w:type="spellStart"/>
            <w:r>
              <w:rPr>
                <w:u w:val="single"/>
                <w:lang w:val="en-GB"/>
              </w:rPr>
              <w:t>Teodorovic</w:t>
            </w:r>
            <w:proofErr w:type="spellEnd"/>
            <w:r>
              <w:rPr>
                <w:u w:val="single"/>
                <w:lang w:val="en-GB"/>
              </w:rPr>
              <w:t xml:space="preserve"> I,</w:t>
            </w:r>
            <w:r>
              <w:rPr>
                <w:lang w:val="en-GB"/>
              </w:rPr>
              <w:t xml:space="preserve"> </w:t>
            </w:r>
            <w:proofErr w:type="spellStart"/>
            <w:r>
              <w:rPr>
                <w:lang w:val="en-GB"/>
              </w:rPr>
              <w:t>Brack</w:t>
            </w:r>
            <w:proofErr w:type="spellEnd"/>
            <w:r>
              <w:rPr>
                <w:lang w:val="en-GB"/>
              </w:rPr>
              <w:t xml:space="preserve"> W, </w:t>
            </w:r>
            <w:proofErr w:type="spellStart"/>
            <w:r>
              <w:rPr>
                <w:lang w:val="en-GB"/>
              </w:rPr>
              <w:t>Kovacevic</w:t>
            </w:r>
            <w:proofErr w:type="spellEnd"/>
            <w:r>
              <w:rPr>
                <w:lang w:val="en-GB"/>
              </w:rPr>
              <w:t xml:space="preserve"> R. (</w:t>
            </w:r>
            <w:r>
              <w:rPr>
                <w:color w:val="131413"/>
                <w:lang w:val="en-GB"/>
              </w:rPr>
              <w:t xml:space="preserve">2009): </w:t>
            </w:r>
            <w:r>
              <w:rPr>
                <w:lang w:val="en-GB"/>
              </w:rPr>
              <w:t xml:space="preserve">Effect-directed analysis of contaminated sediment from the wastewater canal in </w:t>
            </w:r>
            <w:proofErr w:type="spellStart"/>
            <w:r>
              <w:rPr>
                <w:lang w:val="en-GB"/>
              </w:rPr>
              <w:t>Pancevo</w:t>
            </w:r>
            <w:proofErr w:type="spellEnd"/>
            <w:r>
              <w:rPr>
                <w:lang w:val="en-GB"/>
              </w:rPr>
              <w:t xml:space="preserve"> industrial area, Serbia. Chemosphere </w:t>
            </w:r>
            <w:r>
              <w:rPr>
                <w:color w:val="131413"/>
                <w:lang w:val="en-GB"/>
              </w:rPr>
              <w:t xml:space="preserve">77(7), 883-1034. </w:t>
            </w:r>
          </w:p>
        </w:tc>
        <w:tc>
          <w:tcPr>
            <w:tcW w:w="956" w:type="dxa"/>
            <w:vAlign w:val="center"/>
          </w:tcPr>
          <w:p w:rsidR="00350111" w:rsidRDefault="00E31152" w:rsidP="00302061">
            <w:pPr>
              <w:spacing w:after="0" w:line="240" w:lineRule="auto"/>
              <w:rPr>
                <w:b/>
                <w:sz w:val="22"/>
                <w:szCs w:val="22"/>
                <w:lang w:val="en-US"/>
              </w:rPr>
            </w:pPr>
            <w:r>
              <w:rPr>
                <w:lang w:val="en-GB"/>
              </w:rPr>
              <w:t>M</w:t>
            </w:r>
            <w:r w:rsidR="002744BA">
              <w:t>21</w:t>
            </w:r>
          </w:p>
        </w:tc>
      </w:tr>
      <w:tr w:rsidR="00350111" w:rsidTr="00302061">
        <w:trPr>
          <w:trHeight w:val="227"/>
          <w:jc w:val="center"/>
        </w:trPr>
        <w:tc>
          <w:tcPr>
            <w:tcW w:w="10703" w:type="dxa"/>
            <w:gridSpan w:val="12"/>
            <w:vAlign w:val="center"/>
          </w:tcPr>
          <w:p w:rsidR="00350111" w:rsidRDefault="002744BA" w:rsidP="00302061">
            <w:pPr>
              <w:spacing w:after="0" w:line="240" w:lineRule="auto"/>
              <w:rPr>
                <w:b/>
                <w:sz w:val="22"/>
                <w:szCs w:val="22"/>
                <w:lang w:val="en-US"/>
              </w:rPr>
            </w:pPr>
            <w:r>
              <w:rPr>
                <w:b/>
                <w:sz w:val="22"/>
                <w:szCs w:val="22"/>
                <w:lang w:val="en-US"/>
              </w:rPr>
              <w:t>Cumulative data of scientific activity of the teacher</w:t>
            </w:r>
          </w:p>
        </w:tc>
      </w:tr>
      <w:tr w:rsidR="00350111" w:rsidTr="00302061">
        <w:trPr>
          <w:trHeight w:val="227"/>
          <w:jc w:val="center"/>
        </w:trPr>
        <w:tc>
          <w:tcPr>
            <w:tcW w:w="5007" w:type="dxa"/>
            <w:gridSpan w:val="5"/>
          </w:tcPr>
          <w:p w:rsidR="00350111" w:rsidRDefault="002744BA" w:rsidP="00302061">
            <w:pPr>
              <w:spacing w:after="0" w:line="240" w:lineRule="auto"/>
              <w:rPr>
                <w:sz w:val="22"/>
                <w:szCs w:val="22"/>
                <w:lang w:val="en-US"/>
              </w:rPr>
            </w:pPr>
            <w:r>
              <w:rPr>
                <w:sz w:val="22"/>
                <w:szCs w:val="22"/>
                <w:lang w:val="en-US"/>
              </w:rPr>
              <w:t>Total number of citations, without self citations</w:t>
            </w:r>
          </w:p>
        </w:tc>
        <w:tc>
          <w:tcPr>
            <w:tcW w:w="5696" w:type="dxa"/>
            <w:gridSpan w:val="7"/>
            <w:vAlign w:val="center"/>
          </w:tcPr>
          <w:p w:rsidR="00350111" w:rsidRDefault="002744BA" w:rsidP="00302061">
            <w:pPr>
              <w:spacing w:after="0" w:line="240" w:lineRule="auto"/>
              <w:rPr>
                <w:b/>
                <w:sz w:val="22"/>
                <w:szCs w:val="22"/>
                <w:lang w:val="en-GB"/>
              </w:rPr>
            </w:pPr>
            <w:r>
              <w:rPr>
                <w:bCs/>
                <w:sz w:val="22"/>
                <w:szCs w:val="22"/>
                <w:lang w:val="en-GB"/>
              </w:rPr>
              <w:t>Total 595, Without self - citations 539, without self-citations of all co-authors 367, H 11, (SCOPUS 21.09.2019)</w:t>
            </w:r>
          </w:p>
        </w:tc>
      </w:tr>
      <w:tr w:rsidR="00350111" w:rsidTr="00302061">
        <w:trPr>
          <w:trHeight w:val="227"/>
          <w:jc w:val="center"/>
        </w:trPr>
        <w:tc>
          <w:tcPr>
            <w:tcW w:w="5007" w:type="dxa"/>
            <w:gridSpan w:val="5"/>
          </w:tcPr>
          <w:p w:rsidR="00350111" w:rsidRDefault="002744BA" w:rsidP="00302061">
            <w:pPr>
              <w:spacing w:after="0" w:line="240" w:lineRule="auto"/>
              <w:rPr>
                <w:sz w:val="22"/>
                <w:szCs w:val="22"/>
                <w:lang w:val="en-US"/>
              </w:rPr>
            </w:pPr>
            <w:r>
              <w:rPr>
                <w:sz w:val="22"/>
                <w:szCs w:val="22"/>
                <w:lang w:val="en-US"/>
              </w:rPr>
              <w:t>Total number of papers on the SCI (or SSCI) list</w:t>
            </w:r>
          </w:p>
        </w:tc>
        <w:tc>
          <w:tcPr>
            <w:tcW w:w="5696" w:type="dxa"/>
            <w:gridSpan w:val="7"/>
            <w:vAlign w:val="center"/>
          </w:tcPr>
          <w:p w:rsidR="00350111" w:rsidRDefault="002744BA" w:rsidP="00302061">
            <w:pPr>
              <w:spacing w:after="0" w:line="240" w:lineRule="auto"/>
              <w:rPr>
                <w:b/>
                <w:sz w:val="22"/>
                <w:szCs w:val="22"/>
                <w:lang w:val="en-GB"/>
              </w:rPr>
            </w:pPr>
            <w:r>
              <w:rPr>
                <w:b/>
                <w:sz w:val="22"/>
                <w:szCs w:val="22"/>
                <w:lang w:val="en-GB"/>
              </w:rPr>
              <w:t xml:space="preserve">38 </w:t>
            </w:r>
            <w:r>
              <w:rPr>
                <w:bCs/>
                <w:sz w:val="22"/>
                <w:szCs w:val="22"/>
                <w:lang w:val="en-GB"/>
              </w:rPr>
              <w:t>(SCOPUS 21</w:t>
            </w:r>
            <w:bookmarkStart w:id="0" w:name="_GoBack"/>
            <w:bookmarkEnd w:id="0"/>
            <w:r>
              <w:rPr>
                <w:bCs/>
                <w:sz w:val="22"/>
                <w:szCs w:val="22"/>
                <w:lang w:val="en-GB"/>
              </w:rPr>
              <w:t>.09.2019)</w:t>
            </w:r>
          </w:p>
        </w:tc>
      </w:tr>
      <w:tr w:rsidR="00350111" w:rsidTr="00302061">
        <w:trPr>
          <w:trHeight w:val="227"/>
          <w:jc w:val="center"/>
        </w:trPr>
        <w:tc>
          <w:tcPr>
            <w:tcW w:w="4537" w:type="dxa"/>
            <w:gridSpan w:val="4"/>
          </w:tcPr>
          <w:p w:rsidR="00350111" w:rsidRDefault="002744BA" w:rsidP="00302061">
            <w:pPr>
              <w:spacing w:after="0" w:line="240" w:lineRule="auto"/>
              <w:rPr>
                <w:sz w:val="22"/>
                <w:szCs w:val="22"/>
                <w:lang w:val="en-US"/>
              </w:rPr>
            </w:pPr>
            <w:r>
              <w:rPr>
                <w:sz w:val="22"/>
                <w:szCs w:val="22"/>
                <w:lang w:val="en-US"/>
              </w:rPr>
              <w:t>Current participation in projects</w:t>
            </w:r>
          </w:p>
        </w:tc>
        <w:tc>
          <w:tcPr>
            <w:tcW w:w="2980" w:type="dxa"/>
            <w:gridSpan w:val="4"/>
            <w:vAlign w:val="center"/>
          </w:tcPr>
          <w:p w:rsidR="00350111" w:rsidRDefault="002744BA" w:rsidP="00302061">
            <w:pPr>
              <w:spacing w:after="0" w:line="240" w:lineRule="auto"/>
              <w:rPr>
                <w:b/>
                <w:sz w:val="22"/>
                <w:szCs w:val="22"/>
                <w:lang w:val="en-GB"/>
              </w:rPr>
            </w:pPr>
            <w:r>
              <w:rPr>
                <w:sz w:val="22"/>
                <w:szCs w:val="22"/>
                <w:lang w:val="en-US"/>
              </w:rPr>
              <w:t xml:space="preserve">Domestic </w:t>
            </w:r>
            <w:r>
              <w:rPr>
                <w:sz w:val="22"/>
                <w:szCs w:val="22"/>
                <w:lang w:val="en-GB"/>
              </w:rPr>
              <w:t>2</w:t>
            </w:r>
          </w:p>
        </w:tc>
        <w:tc>
          <w:tcPr>
            <w:tcW w:w="3186" w:type="dxa"/>
            <w:gridSpan w:val="4"/>
            <w:vAlign w:val="center"/>
          </w:tcPr>
          <w:p w:rsidR="00350111" w:rsidRDefault="002744BA" w:rsidP="00302061">
            <w:pPr>
              <w:spacing w:after="0" w:line="240" w:lineRule="auto"/>
              <w:rPr>
                <w:b/>
                <w:sz w:val="22"/>
                <w:szCs w:val="22"/>
                <w:lang w:val="en-GB"/>
              </w:rPr>
            </w:pPr>
            <w:r>
              <w:rPr>
                <w:sz w:val="22"/>
                <w:szCs w:val="22"/>
                <w:lang w:val="en-GB"/>
              </w:rPr>
              <w:t>I</w:t>
            </w:r>
            <w:proofErr w:type="spellStart"/>
            <w:r>
              <w:rPr>
                <w:sz w:val="22"/>
                <w:szCs w:val="22"/>
                <w:lang w:val="en-US"/>
              </w:rPr>
              <w:t>nternational</w:t>
            </w:r>
            <w:proofErr w:type="spellEnd"/>
            <w:r>
              <w:rPr>
                <w:sz w:val="22"/>
                <w:szCs w:val="22"/>
                <w:lang w:val="en-GB"/>
              </w:rPr>
              <w:t xml:space="preserve"> 0</w:t>
            </w:r>
          </w:p>
        </w:tc>
      </w:tr>
      <w:tr w:rsidR="00350111" w:rsidTr="00302061">
        <w:trPr>
          <w:trHeight w:val="227"/>
          <w:jc w:val="center"/>
        </w:trPr>
        <w:tc>
          <w:tcPr>
            <w:tcW w:w="4537" w:type="dxa"/>
            <w:gridSpan w:val="4"/>
          </w:tcPr>
          <w:p w:rsidR="00350111" w:rsidRDefault="002744BA" w:rsidP="00302061">
            <w:pPr>
              <w:spacing w:after="0" w:line="240" w:lineRule="auto"/>
              <w:rPr>
                <w:lang w:val="en-US"/>
              </w:rPr>
            </w:pPr>
            <w:r>
              <w:rPr>
                <w:lang w:val="en-US"/>
              </w:rPr>
              <w:t>Other information you consider to be important</w:t>
            </w:r>
          </w:p>
        </w:tc>
        <w:tc>
          <w:tcPr>
            <w:tcW w:w="6166" w:type="dxa"/>
            <w:gridSpan w:val="8"/>
            <w:vAlign w:val="center"/>
          </w:tcPr>
          <w:p w:rsidR="00350111" w:rsidRDefault="002744BA" w:rsidP="00302061">
            <w:pPr>
              <w:spacing w:after="0" w:line="240" w:lineRule="auto"/>
              <w:rPr>
                <w:b/>
                <w:sz w:val="22"/>
                <w:szCs w:val="22"/>
                <w:lang w:val="en-GB"/>
              </w:rPr>
            </w:pPr>
            <w:r>
              <w:rPr>
                <w:bCs/>
              </w:rPr>
              <w:t>EFSA (European Food Safet</w:t>
            </w:r>
            <w:r>
              <w:rPr>
                <w:bCs/>
                <w:lang w:val="en-GB"/>
              </w:rPr>
              <w:t>y</w:t>
            </w:r>
            <w:r>
              <w:rPr>
                <w:bCs/>
              </w:rPr>
              <w:t xml:space="preserve"> Authorit</w:t>
            </w:r>
            <w:r>
              <w:rPr>
                <w:bCs/>
                <w:lang w:val="en-GB"/>
              </w:rPr>
              <w:t>y</w:t>
            </w:r>
            <w:r>
              <w:rPr>
                <w:bCs/>
              </w:rPr>
              <w:t xml:space="preserve">) PPR </w:t>
            </w:r>
            <w:r>
              <w:rPr>
                <w:bCs/>
                <w:lang w:val="en-GB"/>
              </w:rPr>
              <w:t>Panel Member</w:t>
            </w:r>
            <w:r>
              <w:rPr>
                <w:bCs/>
              </w:rPr>
              <w:t xml:space="preserve"> (2016-2018), </w:t>
            </w:r>
            <w:r>
              <w:rPr>
                <w:bCs/>
                <w:lang w:val="en-GB"/>
              </w:rPr>
              <w:t>Chairperson</w:t>
            </w:r>
            <w:r>
              <w:rPr>
                <w:bCs/>
              </w:rPr>
              <w:t xml:space="preserve"> EFSA WG TKTD (2017-2018), EFSA </w:t>
            </w:r>
            <w:r>
              <w:rPr>
                <w:bCs/>
                <w:lang w:val="en-GB"/>
              </w:rPr>
              <w:t>FEEDAD WG ERA Member (since 2019), Environmental projects evaluator</w:t>
            </w:r>
            <w:r>
              <w:rPr>
                <w:bCs/>
              </w:rPr>
              <w:t xml:space="preserve">: </w:t>
            </w:r>
            <w:r>
              <w:rPr>
                <w:bCs/>
                <w:lang w:val="en-GB"/>
              </w:rPr>
              <w:t>EU REA MSCA, FORMAS</w:t>
            </w:r>
            <w:r>
              <w:rPr>
                <w:bCs/>
              </w:rPr>
              <w:t xml:space="preserve"> (</w:t>
            </w:r>
            <w:r>
              <w:rPr>
                <w:bCs/>
                <w:lang w:val="en-GB"/>
              </w:rPr>
              <w:t>Sweden</w:t>
            </w:r>
            <w:r>
              <w:rPr>
                <w:bCs/>
              </w:rPr>
              <w:t>)</w:t>
            </w:r>
            <w:r>
              <w:rPr>
                <w:bCs/>
                <w:lang w:val="en-GB"/>
              </w:rPr>
              <w:t>, FTC</w:t>
            </w:r>
            <w:r>
              <w:rPr>
                <w:bCs/>
              </w:rPr>
              <w:t xml:space="preserve"> (</w:t>
            </w:r>
            <w:proofErr w:type="spellStart"/>
            <w:r>
              <w:rPr>
                <w:bCs/>
                <w:lang w:val="en-GB"/>
              </w:rPr>
              <w:t>Porugal</w:t>
            </w:r>
            <w:proofErr w:type="spellEnd"/>
            <w:r>
              <w:rPr>
                <w:bCs/>
              </w:rPr>
              <w:t>)</w:t>
            </w:r>
            <w:r>
              <w:rPr>
                <w:bCs/>
                <w:lang w:val="en-GB"/>
              </w:rPr>
              <w:t xml:space="preserve">, </w:t>
            </w:r>
            <w:proofErr w:type="spellStart"/>
            <w:r>
              <w:rPr>
                <w:bCs/>
                <w:lang w:val="en-GB"/>
              </w:rPr>
              <w:t>AArhus</w:t>
            </w:r>
            <w:proofErr w:type="spellEnd"/>
            <w:r>
              <w:rPr>
                <w:bCs/>
                <w:lang w:val="en-GB"/>
              </w:rPr>
              <w:t xml:space="preserve"> University</w:t>
            </w:r>
            <w:r>
              <w:rPr>
                <w:bCs/>
              </w:rPr>
              <w:t xml:space="preserve"> (</w:t>
            </w:r>
            <w:r>
              <w:rPr>
                <w:bCs/>
                <w:lang w:val="en-GB"/>
              </w:rPr>
              <w:t>Denmark</w:t>
            </w:r>
            <w:r>
              <w:rPr>
                <w:bCs/>
              </w:rPr>
              <w:t xml:space="preserve">), </w:t>
            </w:r>
            <w:r>
              <w:rPr>
                <w:bCs/>
                <w:lang w:val="en-GB"/>
              </w:rPr>
              <w:t>Core Editor</w:t>
            </w:r>
            <w:r>
              <w:rPr>
                <w:bCs/>
              </w:rPr>
              <w:t xml:space="preserve"> </w:t>
            </w:r>
            <w:r>
              <w:rPr>
                <w:bCs/>
                <w:lang w:val="en-GB"/>
              </w:rPr>
              <w:t>Water Science and Technology (R23),</w:t>
            </w:r>
            <w:r>
              <w:rPr>
                <w:bCs/>
              </w:rPr>
              <w:t xml:space="preserve"> </w:t>
            </w:r>
            <w:r>
              <w:rPr>
                <w:bCs/>
                <w:lang w:val="en-GB"/>
              </w:rPr>
              <w:t xml:space="preserve">Participated in </w:t>
            </w:r>
            <w:r>
              <w:rPr>
                <w:bCs/>
              </w:rPr>
              <w:t xml:space="preserve">1 </w:t>
            </w:r>
            <w:r>
              <w:rPr>
                <w:bCs/>
                <w:lang w:val="en-GB"/>
              </w:rPr>
              <w:t>EU FP 6 and 1 EU FP 7 project</w:t>
            </w:r>
          </w:p>
        </w:tc>
      </w:tr>
    </w:tbl>
    <w:p w:rsidR="00350111" w:rsidRDefault="00350111" w:rsidP="00302061">
      <w:pPr>
        <w:spacing w:after="0"/>
      </w:pPr>
    </w:p>
    <w:sectPr w:rsidR="00350111" w:rsidSect="00350111">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ArialMT">
    <w:altName w:val="Yu Gothic"/>
    <w:charset w:val="80"/>
    <w:family w:val="auto"/>
    <w:pitch w:val="default"/>
    <w:sig w:usb0="00000000" w:usb1="00000000" w:usb2="00000010" w:usb3="00000000" w:csb0="00020001" w:csb1="00000000"/>
  </w:font>
  <w:font w:name="AdvTT62f2e734">
    <w:altName w:val="Arial"/>
    <w:charset w:val="00"/>
    <w:family w:val="swiss"/>
    <w:pitch w:val="default"/>
    <w:sig w:usb0="00000000" w:usb1="00000000" w:usb2="00000000" w:usb3="00000000" w:csb0="00000001" w:csb1="00000000"/>
  </w:font>
  <w:font w:name="AdvP6F00">
    <w:altName w:val="Yu Gothic"/>
    <w:charset w:val="80"/>
    <w:family w:val="auto"/>
    <w:pitch w:val="default"/>
    <w:sig w:usb0="00000000" w:usb1="00000000" w:usb2="00000010" w:usb3="00000000" w:csb0="0002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E16AB"/>
    <w:rsid w:val="002744BA"/>
    <w:rsid w:val="00291B18"/>
    <w:rsid w:val="002B0AA2"/>
    <w:rsid w:val="00302061"/>
    <w:rsid w:val="00350111"/>
    <w:rsid w:val="003E6A4A"/>
    <w:rsid w:val="0047415A"/>
    <w:rsid w:val="00490CAF"/>
    <w:rsid w:val="004D2C20"/>
    <w:rsid w:val="006E16AB"/>
    <w:rsid w:val="00771D63"/>
    <w:rsid w:val="00880906"/>
    <w:rsid w:val="008C170D"/>
    <w:rsid w:val="00911B6D"/>
    <w:rsid w:val="0095547F"/>
    <w:rsid w:val="009C4745"/>
    <w:rsid w:val="00AC333F"/>
    <w:rsid w:val="00D775F1"/>
    <w:rsid w:val="00E31152"/>
    <w:rsid w:val="121A792A"/>
    <w:rsid w:val="560B16CF"/>
    <w:rsid w:val="62290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111"/>
    <w:pPr>
      <w:widowControl w:val="0"/>
      <w:autoSpaceDE w:val="0"/>
      <w:autoSpaceDN w:val="0"/>
      <w:adjustRightInd w:val="0"/>
    </w:pPr>
    <w:rPr>
      <w:rFonts w:ascii="Times New Roman" w:eastAsia="Cambria" w:hAnsi="Times New Roman" w:cs="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qFormat/>
    <w:rsid w:val="00350111"/>
  </w:style>
  <w:style w:type="character" w:customStyle="1" w:styleId="hit">
    <w:name w:val="hit"/>
    <w:basedOn w:val="DefaultParagraphFont"/>
    <w:qFormat/>
    <w:rsid w:val="0035011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01D466-1B96-45F8-8661-630936650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1126</Words>
  <Characters>6424</Characters>
  <Application>Microsoft Office Word</Application>
  <DocSecurity>0</DocSecurity>
  <Lines>53</Lines>
  <Paragraphs>15</Paragraphs>
  <ScaleCrop>false</ScaleCrop>
  <Company/>
  <LinksUpToDate>false</LinksUpToDate>
  <CharactersWithSpaces>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7</cp:revision>
  <dcterms:created xsi:type="dcterms:W3CDTF">2019-09-24T07:05:00Z</dcterms:created>
  <dcterms:modified xsi:type="dcterms:W3CDTF">2020-03-07T11:25:00Z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1033-11.2.0.8888</vt:lpwstr>
  </property>
</Properties>
</file>