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4"/>
        <w:gridCol w:w="155"/>
        <w:gridCol w:w="1275"/>
        <w:gridCol w:w="996"/>
        <w:gridCol w:w="1534"/>
        <w:gridCol w:w="405"/>
        <w:gridCol w:w="1339"/>
        <w:gridCol w:w="691"/>
        <w:gridCol w:w="264"/>
        <w:gridCol w:w="239"/>
        <w:gridCol w:w="1818"/>
        <w:gridCol w:w="706"/>
      </w:tblGrid>
      <w:tr w:rsidR="000710C0" w:rsidRPr="00C2517C" w:rsidTr="005A7443">
        <w:trPr>
          <w:trHeight w:val="227"/>
          <w:jc w:val="center"/>
        </w:trPr>
        <w:tc>
          <w:tcPr>
            <w:tcW w:w="1494" w:type="pct"/>
            <w:gridSpan w:val="4"/>
            <w:vAlign w:val="center"/>
          </w:tcPr>
          <w:p w:rsidR="000710C0" w:rsidRPr="00C2517C" w:rsidRDefault="000710C0" w:rsidP="00E917D5">
            <w:pPr>
              <w:rPr>
                <w:sz w:val="22"/>
                <w:szCs w:val="22"/>
                <w:lang w:val="en-US"/>
              </w:rPr>
            </w:pPr>
            <w:r w:rsidRPr="00C2517C">
              <w:rPr>
                <w:b/>
                <w:sz w:val="22"/>
                <w:szCs w:val="22"/>
                <w:lang w:val="en-US"/>
              </w:rPr>
              <w:t>Name and family name</w:t>
            </w:r>
          </w:p>
        </w:tc>
        <w:tc>
          <w:tcPr>
            <w:tcW w:w="3506" w:type="pct"/>
            <w:gridSpan w:val="8"/>
            <w:vAlign w:val="center"/>
          </w:tcPr>
          <w:p w:rsidR="000710C0" w:rsidRPr="00BB54F9" w:rsidRDefault="005A7443" w:rsidP="00807E60">
            <w:pPr>
              <w:tabs>
                <w:tab w:val="left" w:pos="567"/>
              </w:tabs>
              <w:spacing w:after="60"/>
              <w:rPr>
                <w:lang w:val="en-US"/>
              </w:rPr>
            </w:pPr>
            <w:r>
              <w:rPr>
                <w:lang w:val="en-US"/>
              </w:rPr>
              <w:t xml:space="preserve">Kristina </w:t>
            </w:r>
            <w:proofErr w:type="spellStart"/>
            <w:r>
              <w:rPr>
                <w:lang w:val="en-US"/>
              </w:rPr>
              <w:t>Pogrmić</w:t>
            </w:r>
            <w:r w:rsidR="000710C0" w:rsidRPr="00BB54F9">
              <w:rPr>
                <w:lang w:val="en-US"/>
              </w:rPr>
              <w:t>-Majki</w:t>
            </w:r>
            <w:r>
              <w:rPr>
                <w:lang w:val="en-US"/>
              </w:rPr>
              <w:t>ć</w:t>
            </w:r>
            <w:proofErr w:type="spellEnd"/>
          </w:p>
        </w:tc>
      </w:tr>
      <w:tr w:rsidR="000710C0" w:rsidRPr="00C2517C" w:rsidTr="005A7443">
        <w:trPr>
          <w:trHeight w:val="227"/>
          <w:jc w:val="center"/>
        </w:trPr>
        <w:tc>
          <w:tcPr>
            <w:tcW w:w="1494" w:type="pct"/>
            <w:gridSpan w:val="4"/>
            <w:vAlign w:val="center"/>
          </w:tcPr>
          <w:p w:rsidR="000710C0" w:rsidRPr="00C2517C" w:rsidRDefault="000710C0" w:rsidP="00E917D5">
            <w:pPr>
              <w:rPr>
                <w:sz w:val="22"/>
                <w:szCs w:val="22"/>
                <w:lang w:val="en-US"/>
              </w:rPr>
            </w:pPr>
            <w:r w:rsidRPr="00C2517C">
              <w:rPr>
                <w:b/>
                <w:sz w:val="22"/>
                <w:szCs w:val="22"/>
                <w:lang w:val="en-US"/>
              </w:rPr>
              <w:t xml:space="preserve">Title </w:t>
            </w:r>
          </w:p>
        </w:tc>
        <w:tc>
          <w:tcPr>
            <w:tcW w:w="3506" w:type="pct"/>
            <w:gridSpan w:val="8"/>
            <w:vAlign w:val="center"/>
          </w:tcPr>
          <w:p w:rsidR="000710C0" w:rsidRPr="00BB54F9" w:rsidRDefault="000710C0" w:rsidP="00807E60">
            <w:pPr>
              <w:tabs>
                <w:tab w:val="left" w:pos="567"/>
              </w:tabs>
              <w:spacing w:after="60"/>
              <w:rPr>
                <w:lang w:val="en-US"/>
              </w:rPr>
            </w:pPr>
            <w:r w:rsidRPr="00BB54F9">
              <w:t>Associate research professor</w:t>
            </w:r>
          </w:p>
        </w:tc>
      </w:tr>
      <w:tr w:rsidR="000710C0" w:rsidRPr="00C2517C" w:rsidTr="005A7443">
        <w:trPr>
          <w:trHeight w:val="227"/>
          <w:jc w:val="center"/>
        </w:trPr>
        <w:tc>
          <w:tcPr>
            <w:tcW w:w="1494" w:type="pct"/>
            <w:gridSpan w:val="4"/>
            <w:vAlign w:val="center"/>
          </w:tcPr>
          <w:p w:rsidR="000710C0" w:rsidRPr="00C2517C" w:rsidRDefault="000710C0" w:rsidP="00E917D5">
            <w:pPr>
              <w:rPr>
                <w:sz w:val="22"/>
                <w:szCs w:val="22"/>
                <w:lang w:val="en-US"/>
              </w:rPr>
            </w:pPr>
            <w:r w:rsidRPr="00C2517C">
              <w:rPr>
                <w:b/>
                <w:sz w:val="22"/>
                <w:szCs w:val="22"/>
                <w:lang w:val="en-US"/>
              </w:rPr>
              <w:t>Narrow scientific area</w:t>
            </w:r>
          </w:p>
        </w:tc>
        <w:tc>
          <w:tcPr>
            <w:tcW w:w="3506" w:type="pct"/>
            <w:gridSpan w:val="8"/>
            <w:vAlign w:val="center"/>
          </w:tcPr>
          <w:p w:rsidR="000710C0" w:rsidRPr="00BB54F9" w:rsidRDefault="000964E1" w:rsidP="00E917D5">
            <w:pPr>
              <w:rPr>
                <w:lang w:val="en-US"/>
              </w:rPr>
            </w:pPr>
            <w:r w:rsidRPr="00BB54F9">
              <w:rPr>
                <w:lang w:val="en-US"/>
              </w:rPr>
              <w:t>Reproductive biology</w:t>
            </w:r>
          </w:p>
        </w:tc>
      </w:tr>
      <w:tr w:rsidR="00A11868" w:rsidRPr="00C2517C" w:rsidTr="00A11868">
        <w:trPr>
          <w:trHeight w:val="227"/>
          <w:jc w:val="center"/>
        </w:trPr>
        <w:tc>
          <w:tcPr>
            <w:tcW w:w="995" w:type="pct"/>
            <w:gridSpan w:val="3"/>
            <w:vAlign w:val="center"/>
          </w:tcPr>
          <w:p w:rsidR="00A11868" w:rsidRPr="00C2517C" w:rsidRDefault="00A11868" w:rsidP="00E917D5">
            <w:pPr>
              <w:rPr>
                <w:sz w:val="22"/>
                <w:szCs w:val="22"/>
                <w:lang w:val="en-US"/>
              </w:rPr>
            </w:pPr>
            <w:r w:rsidRPr="00C2517C">
              <w:rPr>
                <w:b/>
                <w:sz w:val="22"/>
                <w:szCs w:val="22"/>
                <w:lang w:val="en-US"/>
              </w:rPr>
              <w:t>Academic career</w:t>
            </w:r>
          </w:p>
        </w:tc>
        <w:tc>
          <w:tcPr>
            <w:tcW w:w="498" w:type="pct"/>
            <w:vAlign w:val="center"/>
          </w:tcPr>
          <w:p w:rsidR="00A11868" w:rsidRPr="00C2517C" w:rsidRDefault="00A11868" w:rsidP="00E917D5">
            <w:pPr>
              <w:rPr>
                <w:sz w:val="22"/>
                <w:szCs w:val="22"/>
                <w:lang w:val="en-US"/>
              </w:rPr>
            </w:pPr>
            <w:r w:rsidRPr="00C2517C">
              <w:rPr>
                <w:sz w:val="22"/>
                <w:szCs w:val="22"/>
                <w:lang w:val="en-US"/>
              </w:rPr>
              <w:t xml:space="preserve">Year  </w:t>
            </w:r>
          </w:p>
        </w:tc>
        <w:tc>
          <w:tcPr>
            <w:tcW w:w="1989" w:type="pct"/>
            <w:gridSpan w:val="4"/>
            <w:vAlign w:val="center"/>
          </w:tcPr>
          <w:p w:rsidR="00A11868" w:rsidRPr="0095547F" w:rsidRDefault="00A11868" w:rsidP="00E917D5">
            <w:pPr>
              <w:rPr>
                <w:sz w:val="22"/>
                <w:szCs w:val="22"/>
                <w:lang w:val="en-US"/>
              </w:rPr>
            </w:pPr>
            <w:r w:rsidRPr="0095547F">
              <w:rPr>
                <w:sz w:val="22"/>
                <w:szCs w:val="22"/>
                <w:lang w:val="en-US"/>
              </w:rPr>
              <w:t>Institution</w:t>
            </w:r>
          </w:p>
        </w:tc>
        <w:tc>
          <w:tcPr>
            <w:tcW w:w="1518" w:type="pct"/>
            <w:gridSpan w:val="4"/>
            <w:vAlign w:val="center"/>
          </w:tcPr>
          <w:p w:rsidR="00A11868" w:rsidRPr="00C2517C" w:rsidRDefault="00A11868" w:rsidP="0095547F">
            <w:pPr>
              <w:rPr>
                <w:sz w:val="22"/>
                <w:szCs w:val="22"/>
                <w:lang w:val="en-US"/>
              </w:rPr>
            </w:pPr>
            <w:r>
              <w:rPr>
                <w:rStyle w:val="tlid-translation"/>
              </w:rPr>
              <w:t>Narrow scientific field</w:t>
            </w:r>
            <w:r>
              <w:t xml:space="preserve"> </w:t>
            </w:r>
            <w:r>
              <w:rPr>
                <w:rStyle w:val="tlid-translation"/>
              </w:rPr>
              <w:t>or art field</w:t>
            </w:r>
          </w:p>
        </w:tc>
      </w:tr>
      <w:tr w:rsidR="00A11868" w:rsidRPr="00C2517C" w:rsidTr="00A11868">
        <w:trPr>
          <w:trHeight w:val="227"/>
          <w:jc w:val="center"/>
        </w:trPr>
        <w:tc>
          <w:tcPr>
            <w:tcW w:w="995" w:type="pct"/>
            <w:gridSpan w:val="3"/>
            <w:vAlign w:val="center"/>
          </w:tcPr>
          <w:p w:rsidR="00A11868" w:rsidRPr="00C2517C" w:rsidRDefault="00A11868" w:rsidP="00E917D5">
            <w:pPr>
              <w:rPr>
                <w:sz w:val="22"/>
                <w:szCs w:val="22"/>
                <w:lang w:val="en-US"/>
              </w:rPr>
            </w:pPr>
            <w:r w:rsidRPr="00C2517C">
              <w:rPr>
                <w:sz w:val="22"/>
                <w:szCs w:val="22"/>
                <w:lang w:val="en-US"/>
              </w:rPr>
              <w:t>Election to the title</w:t>
            </w:r>
          </w:p>
        </w:tc>
        <w:tc>
          <w:tcPr>
            <w:tcW w:w="498" w:type="pct"/>
          </w:tcPr>
          <w:p w:rsidR="00A11868" w:rsidRPr="00BA2378" w:rsidRDefault="00A11868" w:rsidP="00807E60">
            <w:r w:rsidRPr="00FD6076">
              <w:rPr>
                <w:lang w:val="sr-Cyrl-CS"/>
              </w:rPr>
              <w:t>201</w:t>
            </w:r>
            <w:r>
              <w:t>7</w:t>
            </w:r>
          </w:p>
        </w:tc>
        <w:tc>
          <w:tcPr>
            <w:tcW w:w="1989" w:type="pct"/>
            <w:gridSpan w:val="4"/>
          </w:tcPr>
          <w:p w:rsidR="00A11868" w:rsidRPr="00FD6076" w:rsidRDefault="00A11868" w:rsidP="00807E60">
            <w:pPr>
              <w:rPr>
                <w:lang w:val="sr-Cyrl-CS"/>
              </w:rPr>
            </w:pPr>
            <w:r w:rsidRPr="00FD6076">
              <w:rPr>
                <w:lang w:val="sr-Cyrl-CS"/>
              </w:rPr>
              <w:t>University of Novi Sad, Faculty of Sciences</w:t>
            </w:r>
          </w:p>
        </w:tc>
        <w:tc>
          <w:tcPr>
            <w:tcW w:w="1518" w:type="pct"/>
            <w:gridSpan w:val="4"/>
          </w:tcPr>
          <w:p w:rsidR="00A11868" w:rsidRPr="00C2517C" w:rsidRDefault="00A11868" w:rsidP="00E917D5">
            <w:pPr>
              <w:rPr>
                <w:sz w:val="22"/>
                <w:szCs w:val="22"/>
                <w:lang w:val="en-US"/>
              </w:rPr>
            </w:pPr>
            <w:r>
              <w:rPr>
                <w:lang w:val="en-US"/>
              </w:rPr>
              <w:t>Animal Physiology</w:t>
            </w:r>
          </w:p>
        </w:tc>
      </w:tr>
      <w:tr w:rsidR="00A11868" w:rsidRPr="00C2517C" w:rsidTr="00A11868">
        <w:trPr>
          <w:trHeight w:val="227"/>
          <w:jc w:val="center"/>
        </w:trPr>
        <w:tc>
          <w:tcPr>
            <w:tcW w:w="995" w:type="pct"/>
            <w:gridSpan w:val="3"/>
            <w:vAlign w:val="center"/>
          </w:tcPr>
          <w:p w:rsidR="00A11868" w:rsidRPr="00C2517C" w:rsidRDefault="00A11868" w:rsidP="00E917D5">
            <w:pPr>
              <w:rPr>
                <w:sz w:val="22"/>
                <w:szCs w:val="22"/>
                <w:lang w:val="en-US"/>
              </w:rPr>
            </w:pPr>
            <w:r w:rsidRPr="00C2517C">
              <w:rPr>
                <w:sz w:val="22"/>
                <w:szCs w:val="22"/>
                <w:lang w:val="en-US"/>
              </w:rPr>
              <w:t>PhD</w:t>
            </w:r>
          </w:p>
        </w:tc>
        <w:tc>
          <w:tcPr>
            <w:tcW w:w="498" w:type="pct"/>
          </w:tcPr>
          <w:p w:rsidR="00A11868" w:rsidRPr="00E26E02" w:rsidRDefault="00A11868" w:rsidP="00807E60">
            <w:pPr>
              <w:rPr>
                <w:lang w:val="en-US"/>
              </w:rPr>
            </w:pPr>
            <w:r w:rsidRPr="00FD6076">
              <w:rPr>
                <w:lang w:val="sr-Cyrl-CS"/>
              </w:rPr>
              <w:t>20</w:t>
            </w:r>
            <w:r>
              <w:rPr>
                <w:lang w:val="en-US"/>
              </w:rPr>
              <w:t>10</w:t>
            </w:r>
          </w:p>
        </w:tc>
        <w:tc>
          <w:tcPr>
            <w:tcW w:w="1989" w:type="pct"/>
            <w:gridSpan w:val="4"/>
          </w:tcPr>
          <w:p w:rsidR="00A11868" w:rsidRPr="00FD6076" w:rsidRDefault="00A11868" w:rsidP="00807E60">
            <w:pPr>
              <w:rPr>
                <w:lang w:val="sr-Cyrl-CS"/>
              </w:rPr>
            </w:pPr>
            <w:r w:rsidRPr="00FD6076">
              <w:rPr>
                <w:lang w:val="sr-Cyrl-CS"/>
              </w:rPr>
              <w:t>University of Novi Sad, Faculty of Sciences</w:t>
            </w:r>
          </w:p>
        </w:tc>
        <w:tc>
          <w:tcPr>
            <w:tcW w:w="1518" w:type="pct"/>
            <w:gridSpan w:val="4"/>
          </w:tcPr>
          <w:p w:rsidR="00A11868" w:rsidRPr="00C2517C" w:rsidRDefault="00A11868" w:rsidP="00E917D5">
            <w:pPr>
              <w:rPr>
                <w:sz w:val="22"/>
                <w:szCs w:val="22"/>
                <w:lang w:val="en-US"/>
              </w:rPr>
            </w:pPr>
            <w:r>
              <w:rPr>
                <w:rStyle w:val="tlid-translation"/>
              </w:rPr>
              <w:t>Reproductive endocrinology</w:t>
            </w:r>
          </w:p>
        </w:tc>
      </w:tr>
      <w:tr w:rsidR="00A11868" w:rsidRPr="00C2517C" w:rsidTr="00A11868">
        <w:trPr>
          <w:trHeight w:val="227"/>
          <w:jc w:val="center"/>
        </w:trPr>
        <w:tc>
          <w:tcPr>
            <w:tcW w:w="995" w:type="pct"/>
            <w:gridSpan w:val="3"/>
            <w:vAlign w:val="center"/>
          </w:tcPr>
          <w:p w:rsidR="00A11868" w:rsidRPr="00C2517C" w:rsidRDefault="00A11868" w:rsidP="00E917D5">
            <w:pPr>
              <w:rPr>
                <w:sz w:val="22"/>
                <w:szCs w:val="22"/>
                <w:lang w:val="en-US"/>
              </w:rPr>
            </w:pPr>
            <w:r w:rsidRPr="00C2517C">
              <w:rPr>
                <w:sz w:val="22"/>
                <w:szCs w:val="22"/>
                <w:lang w:val="en-US"/>
              </w:rPr>
              <w:t>Diploma</w:t>
            </w:r>
          </w:p>
        </w:tc>
        <w:tc>
          <w:tcPr>
            <w:tcW w:w="498" w:type="pct"/>
          </w:tcPr>
          <w:p w:rsidR="00A11868" w:rsidRPr="00E26E02" w:rsidRDefault="00A11868" w:rsidP="00807E60">
            <w:pPr>
              <w:rPr>
                <w:lang w:val="en-US"/>
              </w:rPr>
            </w:pPr>
            <w:r>
              <w:rPr>
                <w:lang w:val="en-US"/>
              </w:rPr>
              <w:t>2002</w:t>
            </w:r>
          </w:p>
        </w:tc>
        <w:tc>
          <w:tcPr>
            <w:tcW w:w="1989" w:type="pct"/>
            <w:gridSpan w:val="4"/>
          </w:tcPr>
          <w:p w:rsidR="00A11868" w:rsidRPr="00FD6076" w:rsidRDefault="00A11868" w:rsidP="00807E60">
            <w:pPr>
              <w:rPr>
                <w:lang w:val="sr-Cyrl-CS"/>
              </w:rPr>
            </w:pPr>
            <w:r w:rsidRPr="00FD6076">
              <w:rPr>
                <w:lang w:val="sr-Cyrl-CS"/>
              </w:rPr>
              <w:t>University of Novi Sad, Faculty of Sciences</w:t>
            </w:r>
          </w:p>
        </w:tc>
        <w:tc>
          <w:tcPr>
            <w:tcW w:w="1518" w:type="pct"/>
            <w:gridSpan w:val="4"/>
          </w:tcPr>
          <w:p w:rsidR="00A11868" w:rsidRPr="00C2517C" w:rsidRDefault="00A11868" w:rsidP="00E917D5">
            <w:pPr>
              <w:rPr>
                <w:sz w:val="22"/>
                <w:szCs w:val="22"/>
                <w:lang w:val="en-US"/>
              </w:rPr>
            </w:pPr>
            <w:r>
              <w:rPr>
                <w:lang w:val="en-US"/>
              </w:rPr>
              <w:t>Animal Physiology</w:t>
            </w:r>
          </w:p>
        </w:tc>
      </w:tr>
      <w:tr w:rsidR="000710C0" w:rsidRPr="00C2517C" w:rsidTr="006E16AB">
        <w:trPr>
          <w:trHeight w:val="227"/>
          <w:jc w:val="center"/>
        </w:trPr>
        <w:tc>
          <w:tcPr>
            <w:tcW w:w="5000" w:type="pct"/>
            <w:gridSpan w:val="12"/>
            <w:vAlign w:val="center"/>
          </w:tcPr>
          <w:p w:rsidR="000710C0" w:rsidRPr="00C2517C" w:rsidRDefault="000710C0"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0710C0" w:rsidRPr="00C2517C" w:rsidTr="005A7443">
        <w:trPr>
          <w:trHeight w:val="227"/>
          <w:jc w:val="center"/>
        </w:trPr>
        <w:tc>
          <w:tcPr>
            <w:tcW w:w="356" w:type="pct"/>
            <w:gridSpan w:val="2"/>
            <w:vAlign w:val="center"/>
          </w:tcPr>
          <w:p w:rsidR="000710C0" w:rsidRPr="00C2517C" w:rsidRDefault="000710C0" w:rsidP="00E917D5">
            <w:pPr>
              <w:spacing w:after="60"/>
              <w:rPr>
                <w:sz w:val="22"/>
                <w:szCs w:val="22"/>
                <w:lang w:val="en-US"/>
              </w:rPr>
            </w:pPr>
            <w:r w:rsidRPr="00C2517C">
              <w:rPr>
                <w:sz w:val="22"/>
                <w:szCs w:val="22"/>
                <w:lang w:val="en-US"/>
              </w:rPr>
              <w:t>No.</w:t>
            </w:r>
          </w:p>
        </w:tc>
        <w:tc>
          <w:tcPr>
            <w:tcW w:w="2110" w:type="pct"/>
            <w:gridSpan w:val="4"/>
            <w:vAlign w:val="center"/>
          </w:tcPr>
          <w:p w:rsidR="000710C0" w:rsidRPr="00C2517C" w:rsidRDefault="000710C0" w:rsidP="00E917D5">
            <w:pPr>
              <w:spacing w:after="60"/>
              <w:rPr>
                <w:sz w:val="22"/>
                <w:szCs w:val="22"/>
                <w:lang w:val="en-US"/>
              </w:rPr>
            </w:pPr>
            <w:r w:rsidRPr="00C2517C">
              <w:rPr>
                <w:sz w:val="22"/>
                <w:szCs w:val="22"/>
                <w:lang w:val="en-US"/>
              </w:rPr>
              <w:t>Title of the dissertation – doctoral art project</w:t>
            </w:r>
          </w:p>
        </w:tc>
        <w:tc>
          <w:tcPr>
            <w:tcW w:w="671" w:type="pct"/>
            <w:vAlign w:val="center"/>
          </w:tcPr>
          <w:p w:rsidR="000710C0" w:rsidRPr="00C2517C" w:rsidRDefault="000710C0" w:rsidP="00E917D5">
            <w:pPr>
              <w:spacing w:after="60"/>
              <w:rPr>
                <w:sz w:val="22"/>
                <w:szCs w:val="22"/>
                <w:lang w:val="en-US"/>
              </w:rPr>
            </w:pPr>
            <w:r w:rsidRPr="00C2517C">
              <w:rPr>
                <w:sz w:val="22"/>
                <w:szCs w:val="22"/>
                <w:lang w:val="en-US"/>
              </w:rPr>
              <w:t xml:space="preserve">Name of the candidate </w:t>
            </w:r>
          </w:p>
        </w:tc>
        <w:tc>
          <w:tcPr>
            <w:tcW w:w="598" w:type="pct"/>
            <w:gridSpan w:val="3"/>
            <w:vAlign w:val="center"/>
          </w:tcPr>
          <w:p w:rsidR="000710C0" w:rsidRPr="00C2517C" w:rsidRDefault="000710C0" w:rsidP="00E917D5">
            <w:pPr>
              <w:spacing w:after="60"/>
              <w:rPr>
                <w:sz w:val="22"/>
                <w:szCs w:val="22"/>
                <w:lang w:val="en-US"/>
              </w:rPr>
            </w:pPr>
            <w:r w:rsidRPr="00C2517C">
              <w:rPr>
                <w:sz w:val="22"/>
                <w:szCs w:val="22"/>
                <w:lang w:val="en-US"/>
              </w:rPr>
              <w:t xml:space="preserve">*submitted </w:t>
            </w:r>
          </w:p>
        </w:tc>
        <w:tc>
          <w:tcPr>
            <w:tcW w:w="1264" w:type="pct"/>
            <w:gridSpan w:val="2"/>
            <w:vAlign w:val="center"/>
          </w:tcPr>
          <w:p w:rsidR="000710C0" w:rsidRPr="00C2517C" w:rsidRDefault="000710C0" w:rsidP="00E917D5">
            <w:pPr>
              <w:spacing w:after="60"/>
              <w:rPr>
                <w:sz w:val="22"/>
                <w:szCs w:val="22"/>
                <w:lang w:val="en-US"/>
              </w:rPr>
            </w:pPr>
            <w:r w:rsidRPr="00C2517C">
              <w:rPr>
                <w:sz w:val="22"/>
                <w:szCs w:val="22"/>
                <w:lang w:val="en-US"/>
              </w:rPr>
              <w:t>** defended</w:t>
            </w:r>
          </w:p>
        </w:tc>
      </w:tr>
      <w:tr w:rsidR="000710C0" w:rsidRPr="00C2517C" w:rsidTr="005A7443">
        <w:trPr>
          <w:trHeight w:val="227"/>
          <w:jc w:val="center"/>
        </w:trPr>
        <w:tc>
          <w:tcPr>
            <w:tcW w:w="356" w:type="pct"/>
            <w:gridSpan w:val="2"/>
            <w:vAlign w:val="center"/>
          </w:tcPr>
          <w:p w:rsidR="000710C0" w:rsidRPr="00C2517C" w:rsidRDefault="000710C0" w:rsidP="00E917D5">
            <w:pPr>
              <w:spacing w:after="60"/>
              <w:rPr>
                <w:sz w:val="22"/>
                <w:szCs w:val="22"/>
                <w:lang w:val="en-US"/>
              </w:rPr>
            </w:pPr>
          </w:p>
        </w:tc>
        <w:tc>
          <w:tcPr>
            <w:tcW w:w="2110" w:type="pct"/>
            <w:gridSpan w:val="4"/>
            <w:vAlign w:val="center"/>
          </w:tcPr>
          <w:p w:rsidR="000710C0" w:rsidRPr="00C2517C" w:rsidRDefault="000710C0" w:rsidP="00E917D5">
            <w:pPr>
              <w:spacing w:after="60"/>
              <w:rPr>
                <w:sz w:val="22"/>
                <w:szCs w:val="22"/>
                <w:lang w:val="en-US"/>
              </w:rPr>
            </w:pPr>
          </w:p>
        </w:tc>
        <w:tc>
          <w:tcPr>
            <w:tcW w:w="671" w:type="pct"/>
            <w:vAlign w:val="center"/>
          </w:tcPr>
          <w:p w:rsidR="000710C0" w:rsidRPr="00C2517C" w:rsidRDefault="000710C0" w:rsidP="00E917D5">
            <w:pPr>
              <w:spacing w:after="60"/>
              <w:rPr>
                <w:sz w:val="22"/>
                <w:szCs w:val="22"/>
                <w:lang w:val="en-US"/>
              </w:rPr>
            </w:pPr>
          </w:p>
        </w:tc>
        <w:tc>
          <w:tcPr>
            <w:tcW w:w="598" w:type="pct"/>
            <w:gridSpan w:val="3"/>
            <w:vAlign w:val="center"/>
          </w:tcPr>
          <w:p w:rsidR="000710C0" w:rsidRPr="00C2517C" w:rsidRDefault="000710C0" w:rsidP="00E917D5">
            <w:pPr>
              <w:spacing w:after="60"/>
              <w:rPr>
                <w:sz w:val="22"/>
                <w:szCs w:val="22"/>
                <w:lang w:val="en-US"/>
              </w:rPr>
            </w:pPr>
          </w:p>
        </w:tc>
        <w:tc>
          <w:tcPr>
            <w:tcW w:w="1264" w:type="pct"/>
            <w:gridSpan w:val="2"/>
            <w:vAlign w:val="center"/>
          </w:tcPr>
          <w:p w:rsidR="000710C0" w:rsidRPr="00C2517C" w:rsidRDefault="000710C0" w:rsidP="00E917D5">
            <w:pPr>
              <w:spacing w:after="60"/>
              <w:rPr>
                <w:sz w:val="22"/>
                <w:szCs w:val="22"/>
                <w:lang w:val="en-US"/>
              </w:rPr>
            </w:pPr>
          </w:p>
        </w:tc>
      </w:tr>
      <w:tr w:rsidR="000710C0" w:rsidRPr="00C2517C" w:rsidTr="006E16AB">
        <w:trPr>
          <w:trHeight w:val="227"/>
          <w:jc w:val="center"/>
        </w:trPr>
        <w:tc>
          <w:tcPr>
            <w:tcW w:w="5000" w:type="pct"/>
            <w:gridSpan w:val="12"/>
            <w:vAlign w:val="center"/>
          </w:tcPr>
          <w:p w:rsidR="000710C0" w:rsidRPr="00C2517C" w:rsidRDefault="000710C0"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0710C0" w:rsidRPr="00C2517C" w:rsidTr="006E16AB">
        <w:trPr>
          <w:trHeight w:val="227"/>
          <w:jc w:val="center"/>
        </w:trPr>
        <w:tc>
          <w:tcPr>
            <w:tcW w:w="5000" w:type="pct"/>
            <w:gridSpan w:val="12"/>
            <w:vAlign w:val="center"/>
          </w:tcPr>
          <w:p w:rsidR="000710C0" w:rsidRPr="00C2517C" w:rsidRDefault="000710C0"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0710C0" w:rsidRPr="00C2517C" w:rsidTr="000710C0">
        <w:trPr>
          <w:trHeight w:val="227"/>
          <w:jc w:val="center"/>
        </w:trPr>
        <w:tc>
          <w:tcPr>
            <w:tcW w:w="278" w:type="pct"/>
            <w:vAlign w:val="center"/>
          </w:tcPr>
          <w:p w:rsidR="000710C0" w:rsidRPr="00946126" w:rsidRDefault="000710C0" w:rsidP="00A11868">
            <w:pPr>
              <w:jc w:val="center"/>
              <w:rPr>
                <w:b/>
                <w:lang w:val="en-US"/>
              </w:rPr>
            </w:pPr>
            <w:r>
              <w:rPr>
                <w:b/>
                <w:lang w:val="en-US"/>
              </w:rPr>
              <w:t>1</w:t>
            </w:r>
          </w:p>
        </w:tc>
        <w:tc>
          <w:tcPr>
            <w:tcW w:w="4368" w:type="pct"/>
            <w:gridSpan w:val="10"/>
          </w:tcPr>
          <w:p w:rsidR="000710C0" w:rsidRPr="00946126" w:rsidRDefault="000710C0" w:rsidP="00A11868">
            <w:pPr>
              <w:tabs>
                <w:tab w:val="left" w:pos="0"/>
              </w:tabs>
              <w:rPr>
                <w:rFonts w:eastAsia="Times New Roman"/>
                <w:noProof/>
              </w:rPr>
            </w:pPr>
            <w:r w:rsidRPr="00946126">
              <w:rPr>
                <w:rFonts w:eastAsia="Times New Roman"/>
                <w:b/>
                <w:noProof/>
              </w:rPr>
              <w:t>Pogrmic K.</w:t>
            </w:r>
            <w:r w:rsidRPr="00946126">
              <w:rPr>
                <w:rFonts w:eastAsia="Times New Roman"/>
                <w:noProof/>
              </w:rPr>
              <w:t xml:space="preserve">, Fa S., Dakic V., Kaisarevic S. and Kovacevic R. (2009) Atrazine Oral Exposure of Peripubertal Male Rats Downregulates Steroidogenesis Gene Expression in Leydig Cells. </w:t>
            </w:r>
            <w:r w:rsidRPr="00946126">
              <w:rPr>
                <w:rFonts w:eastAsia="Times New Roman"/>
                <w:i/>
                <w:noProof/>
              </w:rPr>
              <w:t>Toxicological Sciences</w:t>
            </w:r>
            <w:r w:rsidRPr="00946126">
              <w:rPr>
                <w:rFonts w:eastAsia="Times New Roman"/>
                <w:noProof/>
              </w:rPr>
              <w:t xml:space="preserve"> 111(1): 189-197.</w:t>
            </w:r>
            <w:r w:rsidRPr="00946126">
              <w:rPr>
                <w:rFonts w:ascii="Arial" w:hAnsi="Arial" w:cs="Arial"/>
                <w:color w:val="2A2A2A"/>
                <w:sz w:val="16"/>
                <w:szCs w:val="16"/>
                <w:shd w:val="clear" w:color="auto" w:fill="FFFFFF"/>
              </w:rPr>
              <w:t xml:space="preserve"> </w:t>
            </w:r>
            <w:r w:rsidRPr="00946126">
              <w:rPr>
                <w:rFonts w:eastAsia="Times New Roman"/>
                <w:noProof/>
              </w:rPr>
              <w:t>ISSN: 1096-6080. doi: 10.1093/toxsci/kfp135.</w:t>
            </w:r>
            <w:r w:rsidRPr="00946126">
              <w:rPr>
                <w:rFonts w:ascii="Arial" w:hAnsi="Arial" w:cs="Arial"/>
                <w:color w:val="2A2A2A"/>
                <w:sz w:val="16"/>
                <w:szCs w:val="16"/>
                <w:shd w:val="clear" w:color="auto" w:fill="FFFFFF"/>
              </w:rPr>
              <w:t xml:space="preserve"> </w:t>
            </w:r>
            <w:r w:rsidRPr="00946126">
              <w:rPr>
                <w:rFonts w:eastAsia="Times New Roman"/>
                <w:b/>
                <w:noProof/>
              </w:rPr>
              <w:t>M21a, IF (2009): 4.814</w:t>
            </w:r>
          </w:p>
        </w:tc>
        <w:tc>
          <w:tcPr>
            <w:tcW w:w="354" w:type="pct"/>
            <w:vAlign w:val="center"/>
          </w:tcPr>
          <w:p w:rsidR="000710C0" w:rsidRPr="00A11868" w:rsidRDefault="000710C0" w:rsidP="00A11868">
            <w:pPr>
              <w:jc w:val="center"/>
              <w:rPr>
                <w:lang w:val="sr-Cyrl-CS"/>
              </w:rPr>
            </w:pPr>
            <w:r w:rsidRPr="00A11868">
              <w:rPr>
                <w:rFonts w:eastAsia="Times New Roman"/>
                <w:noProof/>
              </w:rPr>
              <w:t>M21a</w:t>
            </w:r>
          </w:p>
        </w:tc>
      </w:tr>
      <w:tr w:rsidR="000710C0" w:rsidRPr="00C2517C" w:rsidTr="000710C0">
        <w:trPr>
          <w:trHeight w:val="227"/>
          <w:jc w:val="center"/>
        </w:trPr>
        <w:tc>
          <w:tcPr>
            <w:tcW w:w="278" w:type="pct"/>
            <w:vAlign w:val="center"/>
          </w:tcPr>
          <w:p w:rsidR="000710C0" w:rsidRPr="00946126" w:rsidRDefault="000710C0" w:rsidP="00A11868">
            <w:pPr>
              <w:jc w:val="center"/>
              <w:rPr>
                <w:b/>
                <w:lang w:val="en-US"/>
              </w:rPr>
            </w:pPr>
            <w:r>
              <w:rPr>
                <w:b/>
                <w:lang w:val="en-US"/>
              </w:rPr>
              <w:t>2</w:t>
            </w:r>
          </w:p>
        </w:tc>
        <w:tc>
          <w:tcPr>
            <w:tcW w:w="4368" w:type="pct"/>
            <w:gridSpan w:val="10"/>
          </w:tcPr>
          <w:p w:rsidR="000710C0" w:rsidRPr="00946126" w:rsidRDefault="000710C0" w:rsidP="00A11868">
            <w:pPr>
              <w:tabs>
                <w:tab w:val="left" w:pos="142"/>
              </w:tabs>
              <w:rPr>
                <w:rFonts w:eastAsia="Times New Roman"/>
                <w:noProof/>
              </w:rPr>
            </w:pPr>
            <w:r w:rsidRPr="00946126">
              <w:rPr>
                <w:rFonts w:eastAsia="Times New Roman"/>
                <w:b/>
                <w:noProof/>
              </w:rPr>
              <w:t>Pogrmic-Majkic K.</w:t>
            </w:r>
            <w:r w:rsidRPr="00946126">
              <w:rPr>
                <w:rFonts w:eastAsia="Times New Roman"/>
                <w:noProof/>
              </w:rPr>
              <w:t xml:space="preserve">, Fa S., Dakic V., Kaisarevic S., Kovacevic R. (2010) Upregulation of peripubertal rat Leydig cell steroidogenesis following 24h </w:t>
            </w:r>
            <w:r w:rsidRPr="00946126">
              <w:rPr>
                <w:rFonts w:eastAsia="Times New Roman"/>
                <w:i/>
                <w:noProof/>
              </w:rPr>
              <w:t>in vitro</w:t>
            </w:r>
            <w:r w:rsidRPr="00946126">
              <w:rPr>
                <w:rFonts w:eastAsia="Times New Roman"/>
                <w:noProof/>
              </w:rPr>
              <w:t xml:space="preserve"> and </w:t>
            </w:r>
            <w:r w:rsidRPr="00946126">
              <w:rPr>
                <w:rFonts w:eastAsia="Times New Roman"/>
                <w:i/>
                <w:noProof/>
              </w:rPr>
              <w:t>in vivo</w:t>
            </w:r>
            <w:r w:rsidRPr="00946126">
              <w:rPr>
                <w:rFonts w:eastAsia="Times New Roman"/>
                <w:noProof/>
              </w:rPr>
              <w:t xml:space="preserve"> exposure to atrazine. </w:t>
            </w:r>
            <w:r w:rsidRPr="00946126">
              <w:rPr>
                <w:rFonts w:eastAsia="Times New Roman"/>
                <w:i/>
                <w:noProof/>
              </w:rPr>
              <w:t>Toxicological Sciences</w:t>
            </w:r>
            <w:r w:rsidRPr="00946126">
              <w:rPr>
                <w:rFonts w:eastAsia="Times New Roman"/>
                <w:noProof/>
              </w:rPr>
              <w:t xml:space="preserve"> 118(1), 52-60. ISSN: 1096-6080. doi:</w:t>
            </w:r>
            <w:r w:rsidRPr="001910EA">
              <w:t xml:space="preserve"> </w:t>
            </w:r>
            <w:r w:rsidRPr="00946126">
              <w:rPr>
                <w:rFonts w:eastAsia="Times New Roman"/>
                <w:noProof/>
              </w:rPr>
              <w:t xml:space="preserve">10.1093/toxsci/kfq227. </w:t>
            </w:r>
            <w:r w:rsidRPr="00946126">
              <w:rPr>
                <w:rFonts w:eastAsia="Times New Roman"/>
                <w:b/>
                <w:noProof/>
              </w:rPr>
              <w:t>M21a, IF (2010): 5.093</w:t>
            </w:r>
          </w:p>
        </w:tc>
        <w:tc>
          <w:tcPr>
            <w:tcW w:w="354" w:type="pct"/>
            <w:vAlign w:val="center"/>
          </w:tcPr>
          <w:p w:rsidR="000710C0" w:rsidRPr="00A11868" w:rsidRDefault="000710C0" w:rsidP="00A11868">
            <w:pPr>
              <w:jc w:val="center"/>
              <w:rPr>
                <w:lang w:val="sr-Cyrl-CS"/>
              </w:rPr>
            </w:pPr>
            <w:r w:rsidRPr="00A11868">
              <w:rPr>
                <w:rFonts w:eastAsia="Times New Roman"/>
                <w:noProof/>
              </w:rPr>
              <w:t>M21a</w:t>
            </w:r>
          </w:p>
        </w:tc>
      </w:tr>
      <w:tr w:rsidR="000710C0" w:rsidRPr="00C2517C" w:rsidTr="000710C0">
        <w:trPr>
          <w:trHeight w:val="227"/>
          <w:jc w:val="center"/>
        </w:trPr>
        <w:tc>
          <w:tcPr>
            <w:tcW w:w="278" w:type="pct"/>
            <w:vAlign w:val="center"/>
          </w:tcPr>
          <w:p w:rsidR="000710C0" w:rsidRPr="00946126" w:rsidRDefault="000710C0" w:rsidP="00A11868">
            <w:pPr>
              <w:jc w:val="center"/>
              <w:rPr>
                <w:b/>
                <w:lang w:val="en-US"/>
              </w:rPr>
            </w:pPr>
            <w:r>
              <w:rPr>
                <w:b/>
                <w:lang w:val="en-US"/>
              </w:rPr>
              <w:t>3</w:t>
            </w:r>
          </w:p>
        </w:tc>
        <w:tc>
          <w:tcPr>
            <w:tcW w:w="4368" w:type="pct"/>
            <w:gridSpan w:val="10"/>
          </w:tcPr>
          <w:p w:rsidR="000710C0" w:rsidRPr="00946126" w:rsidRDefault="000710C0" w:rsidP="00A11868">
            <w:pPr>
              <w:tabs>
                <w:tab w:val="left" w:pos="142"/>
              </w:tabs>
              <w:rPr>
                <w:rFonts w:eastAsia="Times New Roman"/>
                <w:noProof/>
              </w:rPr>
            </w:pPr>
            <w:r w:rsidRPr="00946126">
              <w:rPr>
                <w:rFonts w:eastAsia="Times New Roman"/>
                <w:noProof/>
              </w:rPr>
              <w:t xml:space="preserve">Fa S., Samardzija D., Odzic Lj., </w:t>
            </w:r>
            <w:r w:rsidRPr="00946126">
              <w:rPr>
                <w:rFonts w:eastAsia="Times New Roman"/>
                <w:b/>
                <w:noProof/>
              </w:rPr>
              <w:t>Pogrmic-Majkic K</w:t>
            </w:r>
            <w:r w:rsidRPr="00946126">
              <w:rPr>
                <w:rFonts w:eastAsia="Times New Roman"/>
                <w:noProof/>
              </w:rPr>
              <w:t xml:space="preserve">, Kaišarevic S., Kovačevic R., Andric N. (2014) Hexabromocyclododecane facilitates FSH activation of  ERK1/2 and AKT through epidermal growth factor receptor in rat granulosa cells. </w:t>
            </w:r>
            <w:r w:rsidRPr="00946126">
              <w:rPr>
                <w:rFonts w:eastAsia="Times New Roman"/>
                <w:i/>
                <w:noProof/>
              </w:rPr>
              <w:t xml:space="preserve">Archives of Toxicology. </w:t>
            </w:r>
            <w:r w:rsidRPr="00946126">
              <w:rPr>
                <w:rFonts w:eastAsia="Times New Roman"/>
                <w:noProof/>
              </w:rPr>
              <w:t xml:space="preserve">88:345-354. ISSN: 0340-5761. doi: 10.1007/s00204-013-1133-2. </w:t>
            </w:r>
            <w:r w:rsidRPr="00946126">
              <w:rPr>
                <w:b/>
                <w:color w:val="000000"/>
              </w:rPr>
              <w:t>M21a, IF (2014): 5.980</w:t>
            </w:r>
          </w:p>
        </w:tc>
        <w:tc>
          <w:tcPr>
            <w:tcW w:w="354" w:type="pct"/>
            <w:vAlign w:val="center"/>
          </w:tcPr>
          <w:p w:rsidR="000710C0" w:rsidRPr="00A11868" w:rsidRDefault="000710C0" w:rsidP="00A11868">
            <w:pPr>
              <w:jc w:val="center"/>
              <w:rPr>
                <w:lang w:val="sr-Cyrl-CS"/>
              </w:rPr>
            </w:pPr>
            <w:r w:rsidRPr="00A11868">
              <w:rPr>
                <w:rFonts w:eastAsia="Times New Roman"/>
                <w:noProof/>
              </w:rPr>
              <w:t>M21a</w:t>
            </w:r>
          </w:p>
        </w:tc>
      </w:tr>
      <w:tr w:rsidR="000710C0" w:rsidRPr="00C2517C" w:rsidTr="000710C0">
        <w:trPr>
          <w:trHeight w:val="227"/>
          <w:jc w:val="center"/>
        </w:trPr>
        <w:tc>
          <w:tcPr>
            <w:tcW w:w="278" w:type="pct"/>
            <w:vAlign w:val="center"/>
          </w:tcPr>
          <w:p w:rsidR="000710C0" w:rsidRPr="00946126" w:rsidRDefault="000710C0" w:rsidP="00A11868">
            <w:pPr>
              <w:jc w:val="center"/>
              <w:rPr>
                <w:b/>
                <w:lang w:val="en-US"/>
              </w:rPr>
            </w:pPr>
            <w:r>
              <w:rPr>
                <w:b/>
                <w:lang w:val="en-US"/>
              </w:rPr>
              <w:t>4</w:t>
            </w:r>
          </w:p>
        </w:tc>
        <w:tc>
          <w:tcPr>
            <w:tcW w:w="4368" w:type="pct"/>
            <w:gridSpan w:val="10"/>
          </w:tcPr>
          <w:p w:rsidR="000710C0" w:rsidRPr="00946126" w:rsidRDefault="000710C0" w:rsidP="00A11868">
            <w:pPr>
              <w:tabs>
                <w:tab w:val="left" w:pos="142"/>
              </w:tabs>
              <w:ind w:left="-82"/>
              <w:rPr>
                <w:rFonts w:eastAsia="Times New Roman"/>
                <w:noProof/>
              </w:rPr>
            </w:pPr>
            <w:r w:rsidRPr="00946126">
              <w:rPr>
                <w:rFonts w:eastAsia="Times New Roman"/>
                <w:noProof/>
              </w:rPr>
              <w:t xml:space="preserve">Hrubik J., Glišic B., Samardzija D., Stanic B., </w:t>
            </w:r>
            <w:r w:rsidRPr="00946126">
              <w:rPr>
                <w:rFonts w:eastAsia="Times New Roman"/>
                <w:b/>
                <w:noProof/>
              </w:rPr>
              <w:t>Pogrmic-Majkic K.</w:t>
            </w:r>
            <w:r w:rsidRPr="00946126">
              <w:rPr>
                <w:rFonts w:eastAsia="Times New Roman"/>
                <w:noProof/>
              </w:rPr>
              <w:t xml:space="preserve">, Fa S., Andric N. (2016) Effect of PMA-induced protein kinase C activation on development and apoptosis in early zebraﬁsh embryos. </w:t>
            </w:r>
            <w:r w:rsidRPr="00946126">
              <w:rPr>
                <w:rFonts w:eastAsia="Times New Roman"/>
                <w:i/>
                <w:noProof/>
              </w:rPr>
              <w:t>Comparative Biochemistry and Physiology. C: Toxicology and Pharmacology</w:t>
            </w:r>
            <w:r w:rsidRPr="00946126">
              <w:rPr>
                <w:rFonts w:eastAsia="Times New Roman"/>
                <w:noProof/>
              </w:rPr>
              <w:t xml:space="preserve">. </w:t>
            </w:r>
            <w:r w:rsidRPr="00946126">
              <w:t xml:space="preserve">190:24-31. </w:t>
            </w:r>
            <w:r w:rsidRPr="00946126">
              <w:rPr>
                <w:rFonts w:eastAsia="Times New Roman"/>
                <w:noProof/>
              </w:rPr>
              <w:t>ISSN: 1532-0456. doi: 10.1016/j.cbpc.2016.08.002.</w:t>
            </w:r>
            <w:r w:rsidRPr="00946126">
              <w:t xml:space="preserve"> </w:t>
            </w:r>
            <w:r w:rsidRPr="00946126">
              <w:rPr>
                <w:b/>
              </w:rPr>
              <w:t>M21a, IF (2015): 2.546</w:t>
            </w:r>
          </w:p>
        </w:tc>
        <w:tc>
          <w:tcPr>
            <w:tcW w:w="354" w:type="pct"/>
            <w:vAlign w:val="center"/>
          </w:tcPr>
          <w:p w:rsidR="000710C0" w:rsidRPr="00A11868" w:rsidRDefault="000710C0" w:rsidP="00A11868">
            <w:pPr>
              <w:ind w:left="-82"/>
              <w:jc w:val="center"/>
              <w:rPr>
                <w:lang w:val="sr-Cyrl-CS"/>
              </w:rPr>
            </w:pPr>
            <w:r w:rsidRPr="00A11868">
              <w:rPr>
                <w:rFonts w:eastAsia="Times New Roman"/>
                <w:noProof/>
              </w:rPr>
              <w:t>M21a</w:t>
            </w:r>
          </w:p>
        </w:tc>
      </w:tr>
      <w:tr w:rsidR="000710C0" w:rsidRPr="00C2517C" w:rsidTr="000710C0">
        <w:trPr>
          <w:trHeight w:val="227"/>
          <w:jc w:val="center"/>
        </w:trPr>
        <w:tc>
          <w:tcPr>
            <w:tcW w:w="278" w:type="pct"/>
            <w:vAlign w:val="center"/>
          </w:tcPr>
          <w:p w:rsidR="000710C0" w:rsidRPr="00946126" w:rsidRDefault="000710C0" w:rsidP="00A11868">
            <w:pPr>
              <w:jc w:val="center"/>
              <w:rPr>
                <w:b/>
                <w:lang w:val="en-US"/>
              </w:rPr>
            </w:pPr>
            <w:r>
              <w:rPr>
                <w:b/>
                <w:lang w:val="en-US"/>
              </w:rPr>
              <w:t>5</w:t>
            </w:r>
          </w:p>
        </w:tc>
        <w:tc>
          <w:tcPr>
            <w:tcW w:w="4368" w:type="pct"/>
            <w:gridSpan w:val="10"/>
            <w:vAlign w:val="center"/>
          </w:tcPr>
          <w:p w:rsidR="000710C0" w:rsidRPr="00946126" w:rsidRDefault="000710C0" w:rsidP="00A11868">
            <w:pPr>
              <w:widowControl/>
              <w:tabs>
                <w:tab w:val="left" w:pos="0"/>
              </w:tabs>
              <w:autoSpaceDE/>
              <w:autoSpaceDN/>
              <w:adjustRightInd/>
              <w:ind w:left="-82"/>
              <w:rPr>
                <w:b/>
                <w:lang w:val="sr-Cyrl-CS"/>
              </w:rPr>
            </w:pPr>
            <w:r w:rsidRPr="00946126">
              <w:rPr>
                <w:noProof/>
              </w:rPr>
              <w:t xml:space="preserve">Samardzija D., </w:t>
            </w:r>
            <w:r w:rsidRPr="00946126">
              <w:rPr>
                <w:b/>
                <w:noProof/>
              </w:rPr>
              <w:t>Pogrmic-Majkic K.</w:t>
            </w:r>
            <w:r w:rsidRPr="00946126">
              <w:rPr>
                <w:noProof/>
              </w:rPr>
              <w:t xml:space="preserve">, Fa S., Glišic B., Stanic B., Andric N. (2016) Atrazine blocks ovulation via suppression of Lhr and Cyp19a1 mRNA and estradiol secretion in immature gonadotropin-treated rats. </w:t>
            </w:r>
            <w:hyperlink r:id="rId5" w:tooltip="Reproductive toxicology (Elmsford, N.Y.)." w:history="1">
              <w:r w:rsidRPr="00946126">
                <w:rPr>
                  <w:i/>
                </w:rPr>
                <w:t>Reproductive Toxicology.</w:t>
              </w:r>
            </w:hyperlink>
            <w:r w:rsidRPr="00946126">
              <w:t xml:space="preserve"> 23;61: 10-18. ISSN: 0890-6238. doi: 10.1016/j.reprotox.2016.02.009. </w:t>
            </w:r>
            <w:r w:rsidRPr="00946126">
              <w:rPr>
                <w:b/>
              </w:rPr>
              <w:t>M21; IF (2014): 3.227</w:t>
            </w:r>
          </w:p>
        </w:tc>
        <w:tc>
          <w:tcPr>
            <w:tcW w:w="354" w:type="pct"/>
            <w:vAlign w:val="center"/>
          </w:tcPr>
          <w:p w:rsidR="000710C0" w:rsidRPr="00A11868" w:rsidRDefault="000710C0" w:rsidP="00A11868">
            <w:pPr>
              <w:ind w:left="-82"/>
              <w:jc w:val="center"/>
              <w:rPr>
                <w:lang w:val="sr-Cyrl-CS"/>
              </w:rPr>
            </w:pPr>
            <w:r w:rsidRPr="00A11868">
              <w:rPr>
                <w:rFonts w:eastAsia="Times New Roman"/>
                <w:noProof/>
              </w:rPr>
              <w:t>M21</w:t>
            </w:r>
          </w:p>
        </w:tc>
      </w:tr>
      <w:tr w:rsidR="000710C0" w:rsidRPr="00C2517C" w:rsidTr="000710C0">
        <w:trPr>
          <w:trHeight w:val="227"/>
          <w:jc w:val="center"/>
        </w:trPr>
        <w:tc>
          <w:tcPr>
            <w:tcW w:w="278" w:type="pct"/>
            <w:vAlign w:val="center"/>
          </w:tcPr>
          <w:p w:rsidR="000710C0" w:rsidRPr="00946126" w:rsidRDefault="000710C0" w:rsidP="00A11868">
            <w:pPr>
              <w:jc w:val="center"/>
              <w:rPr>
                <w:b/>
                <w:lang w:val="en-US"/>
              </w:rPr>
            </w:pPr>
            <w:r>
              <w:rPr>
                <w:b/>
                <w:lang w:val="en-US"/>
              </w:rPr>
              <w:t>6</w:t>
            </w:r>
          </w:p>
        </w:tc>
        <w:tc>
          <w:tcPr>
            <w:tcW w:w="4368" w:type="pct"/>
            <w:gridSpan w:val="10"/>
            <w:vAlign w:val="center"/>
          </w:tcPr>
          <w:p w:rsidR="000710C0" w:rsidRPr="00946126" w:rsidRDefault="000710C0" w:rsidP="00A11868">
            <w:pPr>
              <w:widowControl/>
              <w:tabs>
                <w:tab w:val="left" w:pos="0"/>
              </w:tabs>
              <w:autoSpaceDE/>
              <w:autoSpaceDN/>
              <w:adjustRightInd/>
              <w:ind w:left="-82"/>
              <w:rPr>
                <w:b/>
                <w:lang w:val="sr-Cyrl-CS"/>
              </w:rPr>
            </w:pPr>
            <w:r w:rsidRPr="00946126">
              <w:rPr>
                <w:b/>
                <w:noProof/>
              </w:rPr>
              <w:t>Pogrmic-Majkic K.</w:t>
            </w:r>
            <w:r w:rsidRPr="00946126">
              <w:rPr>
                <w:noProof/>
              </w:rPr>
              <w:t xml:space="preserve">, Fa S., Samardzija D.,  Hrubik J., Kaišarevic S., Andric N. (2016) Atrazine activates multiple signaling pathways enhancing the rapid hCG-induced androgenesis in rat Leydig cells. </w:t>
            </w:r>
            <w:r w:rsidRPr="00946126">
              <w:rPr>
                <w:i/>
                <w:noProof/>
              </w:rPr>
              <w:t>Toxicology.</w:t>
            </w:r>
            <w:r w:rsidRPr="00946126">
              <w:rPr>
                <w:noProof/>
              </w:rPr>
              <w:t>368-369:37-45. ISSN:</w:t>
            </w:r>
            <w:r w:rsidRPr="00946126">
              <w:t xml:space="preserve"> </w:t>
            </w:r>
            <w:r w:rsidRPr="00946126">
              <w:rPr>
                <w:noProof/>
              </w:rPr>
              <w:t xml:space="preserve">0300-483X. doi: 10.1016/j.tox.2016.08.016. </w:t>
            </w:r>
            <w:r w:rsidRPr="00946126">
              <w:rPr>
                <w:b/>
              </w:rPr>
              <w:t>M21; IF (2015): 3.817</w:t>
            </w:r>
          </w:p>
        </w:tc>
        <w:tc>
          <w:tcPr>
            <w:tcW w:w="354" w:type="pct"/>
            <w:vAlign w:val="center"/>
          </w:tcPr>
          <w:p w:rsidR="000710C0" w:rsidRPr="00A11868" w:rsidRDefault="000710C0" w:rsidP="00A11868">
            <w:pPr>
              <w:ind w:left="-82"/>
              <w:jc w:val="center"/>
              <w:rPr>
                <w:lang w:val="sr-Cyrl-CS"/>
              </w:rPr>
            </w:pPr>
            <w:r w:rsidRPr="00A11868">
              <w:rPr>
                <w:rFonts w:eastAsia="Times New Roman"/>
                <w:noProof/>
              </w:rPr>
              <w:t>M21</w:t>
            </w:r>
          </w:p>
        </w:tc>
      </w:tr>
      <w:tr w:rsidR="000710C0" w:rsidRPr="00C2517C" w:rsidTr="000710C0">
        <w:trPr>
          <w:trHeight w:val="227"/>
          <w:jc w:val="center"/>
        </w:trPr>
        <w:tc>
          <w:tcPr>
            <w:tcW w:w="278" w:type="pct"/>
            <w:vAlign w:val="center"/>
          </w:tcPr>
          <w:p w:rsidR="000710C0" w:rsidRPr="00946126" w:rsidRDefault="000710C0" w:rsidP="00A11868">
            <w:pPr>
              <w:jc w:val="center"/>
              <w:rPr>
                <w:b/>
                <w:lang w:val="en-US"/>
              </w:rPr>
            </w:pPr>
            <w:r>
              <w:rPr>
                <w:b/>
                <w:lang w:val="en-US"/>
              </w:rPr>
              <w:t>7</w:t>
            </w:r>
          </w:p>
        </w:tc>
        <w:tc>
          <w:tcPr>
            <w:tcW w:w="4368" w:type="pct"/>
            <w:gridSpan w:val="10"/>
            <w:vAlign w:val="center"/>
          </w:tcPr>
          <w:p w:rsidR="000710C0" w:rsidRPr="00946126" w:rsidRDefault="00083832" w:rsidP="00A11868">
            <w:pPr>
              <w:pStyle w:val="Heading1"/>
              <w:shd w:val="clear" w:color="auto" w:fill="FFFFFF"/>
              <w:spacing w:before="0" w:line="240" w:lineRule="auto"/>
              <w:ind w:left="-82"/>
              <w:rPr>
                <w:b w:val="0"/>
                <w:color w:val="auto"/>
                <w:lang w:val="sr-Cyrl-CS"/>
              </w:rPr>
            </w:pPr>
            <w:hyperlink r:id="rId6" w:history="1">
              <w:r w:rsidR="000710C0" w:rsidRPr="00946126">
                <w:rPr>
                  <w:rStyle w:val="highlight"/>
                  <w:rFonts w:ascii="Times New Roman" w:hAnsi="Times New Roman"/>
                  <w:b w:val="0"/>
                  <w:color w:val="auto"/>
                  <w:sz w:val="20"/>
                  <w:szCs w:val="20"/>
                  <w:shd w:val="clear" w:color="auto" w:fill="FFFFFF"/>
                </w:rPr>
                <w:t>Samardzija Nenadov</w:t>
              </w:r>
              <w:r w:rsidR="000710C0" w:rsidRPr="00946126">
                <w:rPr>
                  <w:rStyle w:val="Hyperlink"/>
                  <w:rFonts w:ascii="Times New Roman" w:hAnsi="Times New Roman"/>
                  <w:b w:val="0"/>
                  <w:color w:val="auto"/>
                  <w:sz w:val="20"/>
                  <w:szCs w:val="20"/>
                  <w:u w:val="none"/>
                  <w:shd w:val="clear" w:color="auto" w:fill="FFFFFF"/>
                </w:rPr>
                <w:t> D</w:t>
              </w:r>
            </w:hyperlink>
            <w:r w:rsidR="000710C0" w:rsidRPr="00946126">
              <w:rPr>
                <w:rStyle w:val="Hyperlink"/>
                <w:rFonts w:ascii="Times New Roman" w:hAnsi="Times New Roman"/>
                <w:b w:val="0"/>
                <w:color w:val="auto"/>
                <w:sz w:val="20"/>
                <w:szCs w:val="20"/>
                <w:u w:val="none"/>
                <w:shd w:val="clear" w:color="auto" w:fill="FFFFFF"/>
              </w:rPr>
              <w:t>.</w:t>
            </w:r>
            <w:r w:rsidR="000710C0" w:rsidRPr="00946126">
              <w:rPr>
                <w:rFonts w:ascii="Times New Roman" w:hAnsi="Times New Roman"/>
                <w:b w:val="0"/>
                <w:color w:val="auto"/>
                <w:sz w:val="20"/>
                <w:szCs w:val="20"/>
                <w:shd w:val="clear" w:color="auto" w:fill="FFFFFF"/>
              </w:rPr>
              <w:t>, </w:t>
            </w:r>
            <w:hyperlink r:id="rId7" w:history="1">
              <w:r w:rsidR="000710C0" w:rsidRPr="00946126">
                <w:rPr>
                  <w:rStyle w:val="Hyperlink"/>
                  <w:rFonts w:ascii="Times New Roman" w:hAnsi="Times New Roman"/>
                  <w:color w:val="auto"/>
                  <w:sz w:val="20"/>
                  <w:szCs w:val="20"/>
                  <w:u w:val="none"/>
                  <w:shd w:val="clear" w:color="auto" w:fill="FFFFFF"/>
                </w:rPr>
                <w:t xml:space="preserve">Pogrmic-Majkic </w:t>
              </w:r>
              <w:r w:rsidR="000710C0" w:rsidRPr="00946126">
                <w:rPr>
                  <w:rStyle w:val="Hyperlink"/>
                  <w:rFonts w:ascii="Times New Roman" w:hAnsi="Times New Roman"/>
                  <w:b w:val="0"/>
                  <w:color w:val="auto"/>
                  <w:sz w:val="20"/>
                  <w:szCs w:val="20"/>
                  <w:u w:val="none"/>
                  <w:shd w:val="clear" w:color="auto" w:fill="FFFFFF"/>
                </w:rPr>
                <w:t>K</w:t>
              </w:r>
            </w:hyperlink>
            <w:r w:rsidR="000710C0" w:rsidRPr="00946126">
              <w:rPr>
                <w:rFonts w:ascii="Times New Roman" w:hAnsi="Times New Roman"/>
                <w:color w:val="auto"/>
                <w:sz w:val="20"/>
                <w:szCs w:val="20"/>
              </w:rPr>
              <w:t>.</w:t>
            </w:r>
            <w:r w:rsidR="000710C0" w:rsidRPr="00946126">
              <w:rPr>
                <w:rFonts w:ascii="Times New Roman" w:hAnsi="Times New Roman"/>
                <w:b w:val="0"/>
                <w:color w:val="auto"/>
                <w:sz w:val="20"/>
                <w:szCs w:val="20"/>
                <w:shd w:val="clear" w:color="auto" w:fill="FFFFFF"/>
              </w:rPr>
              <w:t>, </w:t>
            </w:r>
            <w:hyperlink r:id="rId8" w:history="1">
              <w:r w:rsidR="000710C0" w:rsidRPr="00946126">
                <w:rPr>
                  <w:rStyle w:val="Hyperlink"/>
                  <w:rFonts w:ascii="Times New Roman" w:hAnsi="Times New Roman"/>
                  <w:b w:val="0"/>
                  <w:color w:val="auto"/>
                  <w:sz w:val="20"/>
                  <w:szCs w:val="20"/>
                  <w:u w:val="none"/>
                  <w:shd w:val="clear" w:color="auto" w:fill="FFFFFF"/>
                </w:rPr>
                <w:t>Fa S</w:t>
              </w:r>
            </w:hyperlink>
            <w:r w:rsidR="000710C0" w:rsidRPr="00946126">
              <w:rPr>
                <w:rStyle w:val="Hyperlink"/>
                <w:rFonts w:ascii="Times New Roman" w:hAnsi="Times New Roman"/>
                <w:b w:val="0"/>
                <w:color w:val="auto"/>
                <w:sz w:val="20"/>
                <w:szCs w:val="20"/>
                <w:u w:val="none"/>
                <w:shd w:val="clear" w:color="auto" w:fill="FFFFFF"/>
              </w:rPr>
              <w:t>.</w:t>
            </w:r>
            <w:r w:rsidR="000710C0" w:rsidRPr="00946126">
              <w:rPr>
                <w:rFonts w:ascii="Times New Roman" w:hAnsi="Times New Roman"/>
                <w:b w:val="0"/>
                <w:color w:val="auto"/>
                <w:sz w:val="20"/>
                <w:szCs w:val="20"/>
                <w:shd w:val="clear" w:color="auto" w:fill="FFFFFF"/>
              </w:rPr>
              <w:t>, </w:t>
            </w:r>
            <w:hyperlink r:id="rId9" w:history="1">
              <w:r w:rsidR="000710C0" w:rsidRPr="00946126">
                <w:rPr>
                  <w:rStyle w:val="Hyperlink"/>
                  <w:rFonts w:ascii="Times New Roman" w:hAnsi="Times New Roman"/>
                  <w:b w:val="0"/>
                  <w:color w:val="auto"/>
                  <w:sz w:val="20"/>
                  <w:szCs w:val="20"/>
                  <w:u w:val="none"/>
                  <w:shd w:val="clear" w:color="auto" w:fill="FFFFFF"/>
                </w:rPr>
                <w:t>Stanic B</w:t>
              </w:r>
            </w:hyperlink>
            <w:r w:rsidR="000710C0" w:rsidRPr="00946126">
              <w:rPr>
                <w:rFonts w:ascii="Times New Roman" w:hAnsi="Times New Roman"/>
                <w:b w:val="0"/>
                <w:color w:val="auto"/>
                <w:sz w:val="20"/>
                <w:szCs w:val="20"/>
              </w:rPr>
              <w:t>.</w:t>
            </w:r>
            <w:r w:rsidR="000710C0" w:rsidRPr="00946126">
              <w:rPr>
                <w:rFonts w:ascii="Times New Roman" w:hAnsi="Times New Roman"/>
                <w:b w:val="0"/>
                <w:color w:val="auto"/>
                <w:sz w:val="20"/>
                <w:szCs w:val="20"/>
                <w:shd w:val="clear" w:color="auto" w:fill="FFFFFF"/>
              </w:rPr>
              <w:t>, </w:t>
            </w:r>
            <w:hyperlink r:id="rId10" w:history="1">
              <w:r w:rsidR="000710C0" w:rsidRPr="00946126">
                <w:rPr>
                  <w:rStyle w:val="Hyperlink"/>
                  <w:rFonts w:ascii="Times New Roman" w:hAnsi="Times New Roman"/>
                  <w:b w:val="0"/>
                  <w:color w:val="auto"/>
                  <w:sz w:val="20"/>
                  <w:szCs w:val="20"/>
                  <w:u w:val="none"/>
                  <w:shd w:val="clear" w:color="auto" w:fill="FFFFFF"/>
                </w:rPr>
                <w:t>Tubic A</w:t>
              </w:r>
            </w:hyperlink>
            <w:r w:rsidR="000710C0" w:rsidRPr="00946126">
              <w:rPr>
                <w:rFonts w:ascii="Times New Roman" w:hAnsi="Times New Roman"/>
                <w:b w:val="0"/>
                <w:color w:val="auto"/>
                <w:sz w:val="20"/>
                <w:szCs w:val="20"/>
              </w:rPr>
              <w:t>.</w:t>
            </w:r>
            <w:r w:rsidR="000710C0" w:rsidRPr="00946126">
              <w:rPr>
                <w:rFonts w:ascii="Times New Roman" w:hAnsi="Times New Roman"/>
                <w:b w:val="0"/>
                <w:color w:val="auto"/>
                <w:sz w:val="20"/>
                <w:szCs w:val="20"/>
                <w:shd w:val="clear" w:color="auto" w:fill="FFFFFF"/>
              </w:rPr>
              <w:t>, </w:t>
            </w:r>
            <w:hyperlink r:id="rId11" w:history="1">
              <w:r w:rsidR="000710C0" w:rsidRPr="00946126">
                <w:rPr>
                  <w:rStyle w:val="Hyperlink"/>
                  <w:rFonts w:ascii="Times New Roman" w:hAnsi="Times New Roman"/>
                  <w:b w:val="0"/>
                  <w:color w:val="auto"/>
                  <w:sz w:val="20"/>
                  <w:szCs w:val="20"/>
                  <w:u w:val="none"/>
                  <w:shd w:val="clear" w:color="auto" w:fill="FFFFFF"/>
                </w:rPr>
                <w:t>Andric N</w:t>
              </w:r>
            </w:hyperlink>
            <w:r w:rsidR="000710C0" w:rsidRPr="00946126">
              <w:rPr>
                <w:rFonts w:ascii="Times New Roman" w:hAnsi="Times New Roman"/>
                <w:b w:val="0"/>
                <w:color w:val="auto"/>
                <w:sz w:val="20"/>
                <w:szCs w:val="20"/>
                <w:shd w:val="clear" w:color="auto" w:fill="FFFFFF"/>
              </w:rPr>
              <w:t xml:space="preserve">. (2018) </w:t>
            </w:r>
            <w:r w:rsidR="000710C0" w:rsidRPr="00946126">
              <w:rPr>
                <w:rFonts w:ascii="Times New Roman" w:hAnsi="Times New Roman"/>
                <w:b w:val="0"/>
                <w:color w:val="auto"/>
                <w:sz w:val="20"/>
                <w:szCs w:val="20"/>
              </w:rPr>
              <w:t xml:space="preserve">Environmental mixture with estrogenic activity increases Hsd3b1 expression through estrogen receptors in immature rat granulosa cells. </w:t>
            </w:r>
            <w:r w:rsidR="000710C0" w:rsidRPr="00946126">
              <w:rPr>
                <w:rFonts w:ascii="Times New Roman" w:hAnsi="Times New Roman"/>
                <w:b w:val="0"/>
                <w:i/>
                <w:color w:val="auto"/>
                <w:sz w:val="20"/>
                <w:szCs w:val="20"/>
                <w:shd w:val="clear" w:color="auto" w:fill="FFFFFF"/>
              </w:rPr>
              <w:t>Journal of Applied Toxicology</w:t>
            </w:r>
            <w:r w:rsidR="000710C0" w:rsidRPr="00946126">
              <w:rPr>
                <w:rFonts w:ascii="Times New Roman" w:hAnsi="Times New Roman"/>
                <w:b w:val="0"/>
                <w:color w:val="auto"/>
                <w:sz w:val="20"/>
                <w:szCs w:val="20"/>
                <w:shd w:val="clear" w:color="auto" w:fill="FFFFFF"/>
              </w:rPr>
              <w:t xml:space="preserve">. 38(6):879-887. ISSN 0260-437X.  doi: 10.1002/jat.3596. </w:t>
            </w:r>
            <w:r w:rsidR="000710C0" w:rsidRPr="00946126">
              <w:rPr>
                <w:rFonts w:ascii="Times New Roman" w:hAnsi="Times New Roman"/>
                <w:color w:val="auto"/>
                <w:sz w:val="20"/>
                <w:szCs w:val="20"/>
                <w:shd w:val="clear" w:color="auto" w:fill="FFFFFF"/>
              </w:rPr>
              <w:t>M21; IF (2016): 3,159</w:t>
            </w:r>
          </w:p>
        </w:tc>
        <w:tc>
          <w:tcPr>
            <w:tcW w:w="354" w:type="pct"/>
            <w:vAlign w:val="center"/>
          </w:tcPr>
          <w:p w:rsidR="000710C0" w:rsidRPr="00A11868" w:rsidRDefault="000710C0" w:rsidP="00A11868">
            <w:pPr>
              <w:ind w:left="-82"/>
              <w:jc w:val="center"/>
              <w:rPr>
                <w:lang w:val="sr-Cyrl-CS"/>
              </w:rPr>
            </w:pPr>
            <w:r w:rsidRPr="00A11868">
              <w:rPr>
                <w:rFonts w:eastAsia="Times New Roman"/>
                <w:noProof/>
              </w:rPr>
              <w:t>M21</w:t>
            </w:r>
          </w:p>
        </w:tc>
      </w:tr>
      <w:tr w:rsidR="000710C0" w:rsidRPr="00C2517C" w:rsidTr="000710C0">
        <w:trPr>
          <w:trHeight w:val="227"/>
          <w:jc w:val="center"/>
        </w:trPr>
        <w:tc>
          <w:tcPr>
            <w:tcW w:w="278" w:type="pct"/>
            <w:vAlign w:val="center"/>
          </w:tcPr>
          <w:p w:rsidR="000710C0" w:rsidRPr="00946126" w:rsidRDefault="000710C0" w:rsidP="00A11868">
            <w:pPr>
              <w:jc w:val="center"/>
              <w:rPr>
                <w:b/>
                <w:lang w:val="en-US"/>
              </w:rPr>
            </w:pPr>
            <w:r>
              <w:rPr>
                <w:b/>
                <w:lang w:val="en-US"/>
              </w:rPr>
              <w:t>8</w:t>
            </w:r>
          </w:p>
        </w:tc>
        <w:tc>
          <w:tcPr>
            <w:tcW w:w="4368" w:type="pct"/>
            <w:gridSpan w:val="10"/>
            <w:vAlign w:val="center"/>
          </w:tcPr>
          <w:p w:rsidR="000710C0" w:rsidRPr="00946126" w:rsidRDefault="00083832" w:rsidP="00A11868">
            <w:pPr>
              <w:ind w:left="-82"/>
              <w:rPr>
                <w:b/>
                <w:lang w:val="sr-Cyrl-CS"/>
              </w:rPr>
            </w:pPr>
            <w:hyperlink r:id="rId12" w:history="1">
              <w:r w:rsidR="000710C0" w:rsidRPr="00946126">
                <w:rPr>
                  <w:rStyle w:val="Hyperlink"/>
                  <w:b/>
                  <w:color w:val="auto"/>
                  <w:u w:val="none"/>
                  <w:shd w:val="clear" w:color="auto" w:fill="FFFFFF"/>
                </w:rPr>
                <w:t>Pogrmic-Majkic K</w:t>
              </w:r>
            </w:hyperlink>
            <w:r w:rsidR="000710C0" w:rsidRPr="00946126">
              <w:rPr>
                <w:rStyle w:val="Hyperlink"/>
                <w:b/>
                <w:color w:val="auto"/>
                <w:u w:val="none"/>
                <w:shd w:val="clear" w:color="auto" w:fill="FFFFFF"/>
              </w:rPr>
              <w:t>.</w:t>
            </w:r>
            <w:r w:rsidR="000710C0" w:rsidRPr="00946126">
              <w:rPr>
                <w:shd w:val="clear" w:color="auto" w:fill="FFFFFF"/>
              </w:rPr>
              <w:t>, </w:t>
            </w:r>
            <w:hyperlink r:id="rId13" w:history="1">
              <w:r w:rsidR="000710C0" w:rsidRPr="00946126">
                <w:rPr>
                  <w:rStyle w:val="Hyperlink"/>
                  <w:color w:val="auto"/>
                  <w:u w:val="none"/>
                  <w:shd w:val="clear" w:color="auto" w:fill="FFFFFF"/>
                </w:rPr>
                <w:t>Samardzija Nenadov D</w:t>
              </w:r>
            </w:hyperlink>
            <w:r w:rsidR="000710C0" w:rsidRPr="00946126">
              <w:rPr>
                <w:shd w:val="clear" w:color="auto" w:fill="FFFFFF"/>
              </w:rPr>
              <w:t xml:space="preserve">., </w:t>
            </w:r>
            <w:hyperlink r:id="rId14" w:history="1">
              <w:r w:rsidR="000710C0" w:rsidRPr="00946126">
                <w:rPr>
                  <w:rStyle w:val="Hyperlink"/>
                  <w:color w:val="auto"/>
                  <w:u w:val="none"/>
                  <w:shd w:val="clear" w:color="auto" w:fill="FFFFFF"/>
                </w:rPr>
                <w:t>Stanic B</w:t>
              </w:r>
            </w:hyperlink>
            <w:r w:rsidR="000710C0" w:rsidRPr="00946126">
              <w:rPr>
                <w:rStyle w:val="Hyperlink"/>
                <w:color w:val="auto"/>
                <w:u w:val="none"/>
                <w:shd w:val="clear" w:color="auto" w:fill="FFFFFF"/>
              </w:rPr>
              <w:t>.</w:t>
            </w:r>
            <w:r w:rsidR="000710C0" w:rsidRPr="00946126">
              <w:rPr>
                <w:shd w:val="clear" w:color="auto" w:fill="FFFFFF"/>
              </w:rPr>
              <w:t>, </w:t>
            </w:r>
            <w:hyperlink r:id="rId15" w:history="1">
              <w:r w:rsidR="000710C0" w:rsidRPr="00946126">
                <w:rPr>
                  <w:rStyle w:val="Hyperlink"/>
                  <w:color w:val="auto"/>
                  <w:u w:val="none"/>
                  <w:shd w:val="clear" w:color="auto" w:fill="FFFFFF"/>
                </w:rPr>
                <w:t>Milatovic S</w:t>
              </w:r>
            </w:hyperlink>
            <w:r w:rsidR="000710C0" w:rsidRPr="00946126">
              <w:t>.</w:t>
            </w:r>
            <w:r w:rsidR="000710C0" w:rsidRPr="00946126">
              <w:rPr>
                <w:shd w:val="clear" w:color="auto" w:fill="FFFFFF"/>
              </w:rPr>
              <w:t>, </w:t>
            </w:r>
            <w:hyperlink r:id="rId16" w:history="1">
              <w:r w:rsidR="000710C0" w:rsidRPr="00946126">
                <w:rPr>
                  <w:rStyle w:val="Hyperlink"/>
                  <w:color w:val="auto"/>
                  <w:u w:val="none"/>
                  <w:shd w:val="clear" w:color="auto" w:fill="FFFFFF"/>
                </w:rPr>
                <w:t>Trninic-Pjevic A</w:t>
              </w:r>
            </w:hyperlink>
            <w:r w:rsidR="000710C0" w:rsidRPr="00946126">
              <w:t>.</w:t>
            </w:r>
            <w:r w:rsidR="000710C0" w:rsidRPr="00946126">
              <w:rPr>
                <w:shd w:val="clear" w:color="auto" w:fill="FFFFFF"/>
              </w:rPr>
              <w:t>, </w:t>
            </w:r>
            <w:hyperlink r:id="rId17" w:history="1">
              <w:r w:rsidR="000710C0" w:rsidRPr="00946126">
                <w:rPr>
                  <w:rStyle w:val="Hyperlink"/>
                  <w:color w:val="auto"/>
                  <w:u w:val="none"/>
                  <w:shd w:val="clear" w:color="auto" w:fill="FFFFFF"/>
                </w:rPr>
                <w:t>Kopitovic V</w:t>
              </w:r>
            </w:hyperlink>
            <w:r w:rsidR="000710C0" w:rsidRPr="00946126">
              <w:t>.</w:t>
            </w:r>
            <w:r w:rsidR="000710C0" w:rsidRPr="00946126">
              <w:rPr>
                <w:shd w:val="clear" w:color="auto" w:fill="FFFFFF"/>
              </w:rPr>
              <w:t>, </w:t>
            </w:r>
            <w:hyperlink r:id="rId18" w:history="1">
              <w:r w:rsidR="000710C0" w:rsidRPr="00946126">
                <w:rPr>
                  <w:rStyle w:val="Hyperlink"/>
                  <w:color w:val="auto"/>
                  <w:u w:val="none"/>
                  <w:shd w:val="clear" w:color="auto" w:fill="FFFFFF"/>
                </w:rPr>
                <w:t>Andric N</w:t>
              </w:r>
            </w:hyperlink>
            <w:r w:rsidR="000710C0" w:rsidRPr="00946126">
              <w:rPr>
                <w:shd w:val="clear" w:color="auto" w:fill="FFFFFF"/>
              </w:rPr>
              <w:t xml:space="preserve">. (2019) </w:t>
            </w:r>
            <w:r w:rsidR="000710C0" w:rsidRPr="00946126">
              <w:t xml:space="preserve">T-2 toxin downregulates LHCGR expression, steroidogenesis, and cAMP level in human cumulus granulosa cells. </w:t>
            </w:r>
            <w:hyperlink r:id="rId19" w:tooltip="Environmental toxicology." w:history="1">
              <w:r w:rsidR="000710C0" w:rsidRPr="00946126">
                <w:rPr>
                  <w:rStyle w:val="Hyperlink"/>
                  <w:i/>
                  <w:color w:val="auto"/>
                  <w:u w:val="none"/>
                  <w:shd w:val="clear" w:color="auto" w:fill="FFFFFF"/>
                </w:rPr>
                <w:t>Environmental Toxicology</w:t>
              </w:r>
              <w:r w:rsidR="000710C0" w:rsidRPr="00946126">
                <w:rPr>
                  <w:rStyle w:val="Hyperlink"/>
                  <w:color w:val="auto"/>
                  <w:u w:val="none"/>
                  <w:shd w:val="clear" w:color="auto" w:fill="FFFFFF"/>
                </w:rPr>
                <w:t>.</w:t>
              </w:r>
            </w:hyperlink>
            <w:r w:rsidR="000710C0" w:rsidRPr="00946126">
              <w:rPr>
                <w:shd w:val="clear" w:color="auto" w:fill="FFFFFF"/>
              </w:rPr>
              <w:t xml:space="preserve"> 34(7):844-852. </w:t>
            </w:r>
            <w:hyperlink r:id="rId20" w:history="1">
              <w:r w:rsidR="000710C0" w:rsidRPr="00946126">
                <w:rPr>
                  <w:rStyle w:val="Hyperlink"/>
                  <w:color w:val="auto"/>
                  <w:u w:val="none"/>
                  <w:shd w:val="clear" w:color="auto" w:fill="FFFFFF"/>
                </w:rPr>
                <w:t>ISSN</w:t>
              </w:r>
            </w:hyperlink>
            <w:r w:rsidR="000710C0" w:rsidRPr="00946126">
              <w:t>: 1520-4081.</w:t>
            </w:r>
            <w:r w:rsidR="000710C0" w:rsidRPr="00946126">
              <w:rPr>
                <w:shd w:val="clear" w:color="auto" w:fill="FFFFFF"/>
              </w:rPr>
              <w:t xml:space="preserve"> doi: 10.1002/tox.22752. </w:t>
            </w:r>
            <w:r w:rsidR="000710C0" w:rsidRPr="00946126">
              <w:rPr>
                <w:b/>
                <w:shd w:val="clear" w:color="auto" w:fill="FFFFFF"/>
              </w:rPr>
              <w:t>M21; IF (2018): 2,649</w:t>
            </w:r>
          </w:p>
        </w:tc>
        <w:tc>
          <w:tcPr>
            <w:tcW w:w="354" w:type="pct"/>
            <w:vAlign w:val="center"/>
          </w:tcPr>
          <w:p w:rsidR="000710C0" w:rsidRPr="00A11868" w:rsidRDefault="000710C0" w:rsidP="00A11868">
            <w:pPr>
              <w:ind w:left="-82"/>
              <w:jc w:val="center"/>
              <w:rPr>
                <w:lang w:val="en-US"/>
              </w:rPr>
            </w:pPr>
            <w:r w:rsidRPr="00A11868">
              <w:rPr>
                <w:rFonts w:eastAsia="Times New Roman"/>
                <w:noProof/>
              </w:rPr>
              <w:t>M21</w:t>
            </w:r>
          </w:p>
        </w:tc>
      </w:tr>
      <w:tr w:rsidR="000710C0" w:rsidRPr="00C2517C" w:rsidTr="000710C0">
        <w:trPr>
          <w:trHeight w:val="227"/>
          <w:jc w:val="center"/>
        </w:trPr>
        <w:tc>
          <w:tcPr>
            <w:tcW w:w="278" w:type="pct"/>
            <w:vAlign w:val="center"/>
          </w:tcPr>
          <w:p w:rsidR="000710C0" w:rsidRPr="00946126" w:rsidRDefault="000710C0" w:rsidP="00A11868">
            <w:pPr>
              <w:jc w:val="center"/>
              <w:rPr>
                <w:b/>
                <w:lang w:val="en-US"/>
              </w:rPr>
            </w:pPr>
            <w:r>
              <w:rPr>
                <w:b/>
                <w:lang w:val="en-US"/>
              </w:rPr>
              <w:t>9</w:t>
            </w:r>
          </w:p>
        </w:tc>
        <w:tc>
          <w:tcPr>
            <w:tcW w:w="4368" w:type="pct"/>
            <w:gridSpan w:val="10"/>
            <w:vAlign w:val="center"/>
          </w:tcPr>
          <w:p w:rsidR="000710C0" w:rsidRPr="00946126" w:rsidRDefault="00083832" w:rsidP="00A11868">
            <w:pPr>
              <w:ind w:left="-82"/>
            </w:pPr>
            <w:hyperlink r:id="rId21" w:history="1">
              <w:r w:rsidR="000710C0" w:rsidRPr="00946126">
                <w:rPr>
                  <w:rStyle w:val="highlight"/>
                  <w:b/>
                  <w:shd w:val="clear" w:color="auto" w:fill="FFFFFF"/>
                </w:rPr>
                <w:t>Pogrmic-Majkic</w:t>
              </w:r>
              <w:r w:rsidR="000710C0" w:rsidRPr="00946126">
                <w:rPr>
                  <w:rStyle w:val="Hyperlink"/>
                  <w:b/>
                  <w:color w:val="auto"/>
                  <w:u w:val="none"/>
                  <w:shd w:val="clear" w:color="auto" w:fill="FFFFFF"/>
                </w:rPr>
                <w:t> K</w:t>
              </w:r>
            </w:hyperlink>
            <w:r w:rsidR="000710C0" w:rsidRPr="00946126">
              <w:rPr>
                <w:rStyle w:val="Hyperlink"/>
                <w:b/>
                <w:color w:val="auto"/>
                <w:u w:val="none"/>
                <w:shd w:val="clear" w:color="auto" w:fill="FFFFFF"/>
              </w:rPr>
              <w:t>.</w:t>
            </w:r>
            <w:r w:rsidR="000710C0" w:rsidRPr="00946126">
              <w:rPr>
                <w:shd w:val="clear" w:color="auto" w:fill="FFFFFF"/>
              </w:rPr>
              <w:t>, </w:t>
            </w:r>
            <w:hyperlink r:id="rId22" w:history="1">
              <w:r w:rsidR="000710C0" w:rsidRPr="00946126">
                <w:rPr>
                  <w:rStyle w:val="Hyperlink"/>
                  <w:color w:val="auto"/>
                  <w:u w:val="none"/>
                  <w:shd w:val="clear" w:color="auto" w:fill="FFFFFF"/>
                </w:rPr>
                <w:t>Samardzija Nenadov D</w:t>
              </w:r>
            </w:hyperlink>
            <w:r w:rsidR="000710C0" w:rsidRPr="00946126">
              <w:t>.</w:t>
            </w:r>
            <w:r w:rsidR="000710C0" w:rsidRPr="00946126">
              <w:rPr>
                <w:shd w:val="clear" w:color="auto" w:fill="FFFFFF"/>
              </w:rPr>
              <w:t>, </w:t>
            </w:r>
            <w:hyperlink r:id="rId23" w:history="1">
              <w:r w:rsidR="000710C0" w:rsidRPr="00946126">
                <w:rPr>
                  <w:rStyle w:val="Hyperlink"/>
                  <w:color w:val="auto"/>
                  <w:u w:val="none"/>
                  <w:shd w:val="clear" w:color="auto" w:fill="FFFFFF"/>
                </w:rPr>
                <w:t>Fa S</w:t>
              </w:r>
            </w:hyperlink>
            <w:r w:rsidR="000710C0" w:rsidRPr="00946126">
              <w:rPr>
                <w:rStyle w:val="Hyperlink"/>
                <w:color w:val="auto"/>
                <w:u w:val="none"/>
                <w:shd w:val="clear" w:color="auto" w:fill="FFFFFF"/>
              </w:rPr>
              <w:t>.</w:t>
            </w:r>
            <w:r w:rsidR="000710C0" w:rsidRPr="00946126">
              <w:rPr>
                <w:shd w:val="clear" w:color="auto" w:fill="FFFFFF"/>
              </w:rPr>
              <w:t>, </w:t>
            </w:r>
            <w:hyperlink r:id="rId24" w:history="1">
              <w:r w:rsidR="000710C0" w:rsidRPr="00946126">
                <w:rPr>
                  <w:rStyle w:val="Hyperlink"/>
                  <w:color w:val="auto"/>
                  <w:u w:val="none"/>
                  <w:shd w:val="clear" w:color="auto" w:fill="FFFFFF"/>
                </w:rPr>
                <w:t>Stanic B</w:t>
              </w:r>
            </w:hyperlink>
            <w:r w:rsidR="000710C0" w:rsidRPr="00946126">
              <w:t>.</w:t>
            </w:r>
            <w:r w:rsidR="000710C0" w:rsidRPr="00946126">
              <w:rPr>
                <w:shd w:val="clear" w:color="auto" w:fill="FFFFFF"/>
              </w:rPr>
              <w:t>, </w:t>
            </w:r>
            <w:hyperlink r:id="rId25" w:history="1">
              <w:r w:rsidR="000710C0" w:rsidRPr="00946126">
                <w:rPr>
                  <w:rStyle w:val="Hyperlink"/>
                  <w:color w:val="auto"/>
                  <w:u w:val="none"/>
                  <w:shd w:val="clear" w:color="auto" w:fill="FFFFFF"/>
                </w:rPr>
                <w:t>Trninic Pjevic A</w:t>
              </w:r>
            </w:hyperlink>
            <w:r w:rsidR="000710C0" w:rsidRPr="00946126">
              <w:t>.</w:t>
            </w:r>
            <w:r w:rsidR="000710C0" w:rsidRPr="00946126">
              <w:rPr>
                <w:shd w:val="clear" w:color="auto" w:fill="FFFFFF"/>
              </w:rPr>
              <w:t>, </w:t>
            </w:r>
            <w:hyperlink r:id="rId26" w:history="1">
              <w:r w:rsidR="000710C0" w:rsidRPr="00946126">
                <w:rPr>
                  <w:rStyle w:val="Hyperlink"/>
                  <w:color w:val="auto"/>
                  <w:u w:val="none"/>
                  <w:shd w:val="clear" w:color="auto" w:fill="FFFFFF"/>
                </w:rPr>
                <w:t>Andric N</w:t>
              </w:r>
            </w:hyperlink>
            <w:r w:rsidR="000710C0" w:rsidRPr="00946126">
              <w:rPr>
                <w:shd w:val="clear" w:color="auto" w:fill="FFFFFF"/>
              </w:rPr>
              <w:t xml:space="preserve">. (2019) </w:t>
            </w:r>
            <w:r w:rsidR="000710C0" w:rsidRPr="00946126">
              <w:t xml:space="preserve">BPA activates EGFR and ERK1/2 through PPARγ to increase expression of steroidogenic acute regulatory protein in human cumulus granulosa cells. </w:t>
            </w:r>
            <w:hyperlink r:id="rId27" w:tooltip="Chemosphere." w:history="1">
              <w:r w:rsidR="000710C0" w:rsidRPr="00946126">
                <w:rPr>
                  <w:rStyle w:val="Hyperlink"/>
                  <w:i/>
                  <w:color w:val="auto"/>
                  <w:u w:val="none"/>
                  <w:shd w:val="clear" w:color="auto" w:fill="FFFFFF"/>
                </w:rPr>
                <w:t>Chemosphere</w:t>
              </w:r>
              <w:r w:rsidR="000710C0" w:rsidRPr="00946126">
                <w:rPr>
                  <w:rStyle w:val="Hyperlink"/>
                  <w:color w:val="auto"/>
                  <w:u w:val="none"/>
                  <w:shd w:val="clear" w:color="auto" w:fill="FFFFFF"/>
                </w:rPr>
                <w:t>.</w:t>
              </w:r>
            </w:hyperlink>
            <w:r w:rsidR="000710C0" w:rsidRPr="00946126">
              <w:rPr>
                <w:shd w:val="clear" w:color="auto" w:fill="FFFFFF"/>
              </w:rPr>
              <w:t xml:space="preserve"> 229:60-67. ISSN: 0045-6535. doi: 10.1016/j.chemosphere.2019.04.174. </w:t>
            </w:r>
            <w:r w:rsidR="000710C0" w:rsidRPr="00946126">
              <w:rPr>
                <w:b/>
                <w:shd w:val="clear" w:color="auto" w:fill="FFFFFF"/>
              </w:rPr>
              <w:t>M21; IF (2018): 5,108</w:t>
            </w:r>
          </w:p>
          <w:p w:rsidR="000710C0" w:rsidRPr="00946126" w:rsidRDefault="000710C0" w:rsidP="00A11868">
            <w:pPr>
              <w:ind w:left="-82"/>
              <w:rPr>
                <w:b/>
                <w:lang w:val="sr-Cyrl-CS"/>
              </w:rPr>
            </w:pPr>
          </w:p>
        </w:tc>
        <w:tc>
          <w:tcPr>
            <w:tcW w:w="354" w:type="pct"/>
            <w:vAlign w:val="center"/>
          </w:tcPr>
          <w:p w:rsidR="000710C0" w:rsidRPr="00A11868" w:rsidRDefault="000710C0" w:rsidP="00A11868">
            <w:pPr>
              <w:ind w:left="-82"/>
              <w:jc w:val="center"/>
              <w:rPr>
                <w:lang w:val="sr-Cyrl-CS"/>
              </w:rPr>
            </w:pPr>
            <w:r w:rsidRPr="00A11868">
              <w:rPr>
                <w:rFonts w:eastAsia="Times New Roman"/>
                <w:noProof/>
              </w:rPr>
              <w:t>M21</w:t>
            </w:r>
          </w:p>
        </w:tc>
      </w:tr>
      <w:tr w:rsidR="000710C0" w:rsidRPr="00C2517C" w:rsidTr="000710C0">
        <w:trPr>
          <w:trHeight w:val="227"/>
          <w:jc w:val="center"/>
        </w:trPr>
        <w:tc>
          <w:tcPr>
            <w:tcW w:w="278" w:type="pct"/>
            <w:vAlign w:val="center"/>
          </w:tcPr>
          <w:p w:rsidR="000710C0" w:rsidRDefault="000710C0" w:rsidP="00A11868">
            <w:pPr>
              <w:jc w:val="center"/>
              <w:rPr>
                <w:b/>
                <w:lang w:val="en-US"/>
              </w:rPr>
            </w:pPr>
            <w:r>
              <w:rPr>
                <w:b/>
                <w:lang w:val="en-US"/>
              </w:rPr>
              <w:lastRenderedPageBreak/>
              <w:t>10</w:t>
            </w:r>
          </w:p>
        </w:tc>
        <w:tc>
          <w:tcPr>
            <w:tcW w:w="4368" w:type="pct"/>
            <w:gridSpan w:val="10"/>
            <w:vAlign w:val="center"/>
          </w:tcPr>
          <w:p w:rsidR="000710C0" w:rsidRPr="00946126" w:rsidRDefault="00083832" w:rsidP="00A11868">
            <w:pPr>
              <w:ind w:left="-82"/>
              <w:rPr>
                <w:b/>
              </w:rPr>
            </w:pPr>
            <w:hyperlink r:id="rId28" w:history="1">
              <w:r w:rsidR="000710C0" w:rsidRPr="00946126">
                <w:rPr>
                  <w:b/>
                </w:rPr>
                <w:t>Pogrmic-Majkic K</w:t>
              </w:r>
            </w:hyperlink>
            <w:r w:rsidR="000710C0" w:rsidRPr="00946126">
              <w:t>.</w:t>
            </w:r>
            <w:r w:rsidR="000710C0" w:rsidRPr="00946126">
              <w:rPr>
                <w:shd w:val="clear" w:color="auto" w:fill="FFFFFF"/>
              </w:rPr>
              <w:t>, </w:t>
            </w:r>
            <w:hyperlink r:id="rId29" w:history="1">
              <w:r w:rsidR="000710C0" w:rsidRPr="00946126">
                <w:rPr>
                  <w:rStyle w:val="Hyperlink"/>
                  <w:color w:val="auto"/>
                  <w:u w:val="none"/>
                  <w:shd w:val="clear" w:color="auto" w:fill="FFFFFF"/>
                </w:rPr>
                <w:t>Kosanin G</w:t>
              </w:r>
            </w:hyperlink>
            <w:r w:rsidR="000710C0" w:rsidRPr="00946126">
              <w:t>.</w:t>
            </w:r>
            <w:r w:rsidR="000710C0" w:rsidRPr="00946126">
              <w:rPr>
                <w:shd w:val="clear" w:color="auto" w:fill="FFFFFF"/>
              </w:rPr>
              <w:t>, </w:t>
            </w:r>
            <w:hyperlink r:id="rId30" w:history="1">
              <w:r w:rsidR="000710C0" w:rsidRPr="00946126">
                <w:rPr>
                  <w:rStyle w:val="Hyperlink"/>
                  <w:color w:val="auto"/>
                  <w:u w:val="none"/>
                  <w:shd w:val="clear" w:color="auto" w:fill="FFFFFF"/>
                </w:rPr>
                <w:t>Samardzija Nenadov D</w:t>
              </w:r>
            </w:hyperlink>
            <w:r w:rsidR="000710C0" w:rsidRPr="00946126">
              <w:t>.</w:t>
            </w:r>
            <w:r w:rsidR="000710C0" w:rsidRPr="00946126">
              <w:rPr>
                <w:shd w:val="clear" w:color="auto" w:fill="FFFFFF"/>
              </w:rPr>
              <w:t>, </w:t>
            </w:r>
            <w:hyperlink r:id="rId31" w:history="1">
              <w:r w:rsidR="000710C0" w:rsidRPr="00946126">
                <w:rPr>
                  <w:rStyle w:val="Hyperlink"/>
                  <w:color w:val="auto"/>
                  <w:u w:val="none"/>
                  <w:shd w:val="clear" w:color="auto" w:fill="FFFFFF"/>
                </w:rPr>
                <w:t>Fa S</w:t>
              </w:r>
            </w:hyperlink>
            <w:r w:rsidR="000710C0" w:rsidRPr="00946126">
              <w:rPr>
                <w:rStyle w:val="Hyperlink"/>
                <w:color w:val="auto"/>
                <w:u w:val="none"/>
                <w:shd w:val="clear" w:color="auto" w:fill="FFFFFF"/>
              </w:rPr>
              <w:t>.</w:t>
            </w:r>
            <w:r w:rsidR="000710C0" w:rsidRPr="00946126">
              <w:rPr>
                <w:shd w:val="clear" w:color="auto" w:fill="FFFFFF"/>
              </w:rPr>
              <w:t>, </w:t>
            </w:r>
            <w:hyperlink r:id="rId32" w:history="1">
              <w:r w:rsidR="000710C0" w:rsidRPr="00946126">
                <w:rPr>
                  <w:rStyle w:val="Hyperlink"/>
                  <w:color w:val="auto"/>
                  <w:u w:val="none"/>
                  <w:shd w:val="clear" w:color="auto" w:fill="FFFFFF"/>
                </w:rPr>
                <w:t>Stanic B</w:t>
              </w:r>
            </w:hyperlink>
            <w:r w:rsidR="000710C0" w:rsidRPr="00946126">
              <w:t>.</w:t>
            </w:r>
            <w:r w:rsidR="000710C0" w:rsidRPr="00946126">
              <w:rPr>
                <w:shd w:val="clear" w:color="auto" w:fill="FFFFFF"/>
              </w:rPr>
              <w:t>, </w:t>
            </w:r>
            <w:hyperlink r:id="rId33" w:history="1">
              <w:r w:rsidR="000710C0" w:rsidRPr="00946126">
                <w:rPr>
                  <w:rStyle w:val="Hyperlink"/>
                  <w:color w:val="auto"/>
                  <w:u w:val="none"/>
                  <w:shd w:val="clear" w:color="auto" w:fill="FFFFFF"/>
                </w:rPr>
                <w:t>Trninic Pjevic A</w:t>
              </w:r>
            </w:hyperlink>
            <w:r w:rsidR="000710C0" w:rsidRPr="00946126">
              <w:t>.</w:t>
            </w:r>
            <w:r w:rsidR="000710C0" w:rsidRPr="00946126">
              <w:rPr>
                <w:shd w:val="clear" w:color="auto" w:fill="FFFFFF"/>
              </w:rPr>
              <w:t>, </w:t>
            </w:r>
            <w:hyperlink r:id="rId34" w:history="1">
              <w:r w:rsidR="000710C0" w:rsidRPr="00946126">
                <w:rPr>
                  <w:rStyle w:val="Hyperlink"/>
                  <w:color w:val="auto"/>
                  <w:u w:val="none"/>
                  <w:shd w:val="clear" w:color="auto" w:fill="FFFFFF"/>
                </w:rPr>
                <w:t>Andric N</w:t>
              </w:r>
            </w:hyperlink>
            <w:r w:rsidR="000710C0" w:rsidRPr="00946126">
              <w:rPr>
                <w:shd w:val="clear" w:color="auto" w:fill="FFFFFF"/>
              </w:rPr>
              <w:t xml:space="preserve">. (2019) </w:t>
            </w:r>
            <w:r w:rsidR="000710C0" w:rsidRPr="00946126">
              <w:t xml:space="preserve">Rosiglitazone increases expression of steroidogenic acute regulatory protein and progesterone production through PPARγ-EGFR-ERK1/2 in human cumulus granulosa cells. </w:t>
            </w:r>
            <w:r w:rsidR="000710C0" w:rsidRPr="00946126">
              <w:rPr>
                <w:i/>
                <w:shd w:val="clear" w:color="auto" w:fill="FFFFFF"/>
              </w:rPr>
              <w:t>Reproduction, fertility, and development</w:t>
            </w:r>
            <w:r w:rsidR="000710C0" w:rsidRPr="00946126">
              <w:rPr>
                <w:shd w:val="clear" w:color="auto" w:fill="FFFFFF"/>
              </w:rPr>
              <w:t>.</w:t>
            </w:r>
            <w:r w:rsidR="000710C0" w:rsidRPr="00946126">
              <w:t xml:space="preserve"> </w:t>
            </w:r>
            <w:hyperlink r:id="rId35" w:history="1">
              <w:r w:rsidR="000710C0" w:rsidRPr="00946126">
                <w:rPr>
                  <w:rStyle w:val="Hyperlink"/>
                  <w:color w:val="auto"/>
                  <w:u w:val="none"/>
                  <w:shd w:val="clear" w:color="auto" w:fill="FFFFFF"/>
                </w:rPr>
                <w:t>ISSN</w:t>
              </w:r>
            </w:hyperlink>
            <w:r w:rsidR="000710C0" w:rsidRPr="00946126">
              <w:t xml:space="preserve">: 103-3613. </w:t>
            </w:r>
            <w:r w:rsidR="000710C0" w:rsidRPr="00946126">
              <w:rPr>
                <w:shd w:val="clear" w:color="auto" w:fill="FFFFFF"/>
              </w:rPr>
              <w:t xml:space="preserve">doi: 10.1071/RD19108. [Epub ahead of print]. </w:t>
            </w:r>
            <w:r w:rsidR="000710C0" w:rsidRPr="00946126">
              <w:rPr>
                <w:b/>
                <w:shd w:val="clear" w:color="auto" w:fill="FFFFFF"/>
              </w:rPr>
              <w:t>M21; IF (2018): 1,723</w:t>
            </w:r>
          </w:p>
        </w:tc>
        <w:tc>
          <w:tcPr>
            <w:tcW w:w="354" w:type="pct"/>
            <w:vAlign w:val="center"/>
          </w:tcPr>
          <w:p w:rsidR="000710C0" w:rsidRPr="00A11868" w:rsidRDefault="000710C0" w:rsidP="00A11868">
            <w:pPr>
              <w:ind w:left="-82"/>
              <w:jc w:val="center"/>
              <w:rPr>
                <w:lang w:val="sr-Cyrl-CS"/>
              </w:rPr>
            </w:pPr>
            <w:r w:rsidRPr="00A11868">
              <w:rPr>
                <w:rFonts w:eastAsia="Times New Roman"/>
                <w:noProof/>
              </w:rPr>
              <w:t>M21</w:t>
            </w:r>
          </w:p>
        </w:tc>
      </w:tr>
      <w:tr w:rsidR="000710C0" w:rsidRPr="00C2517C" w:rsidTr="006E16AB">
        <w:trPr>
          <w:trHeight w:val="227"/>
          <w:jc w:val="center"/>
        </w:trPr>
        <w:tc>
          <w:tcPr>
            <w:tcW w:w="5000" w:type="pct"/>
            <w:gridSpan w:val="12"/>
            <w:vAlign w:val="center"/>
          </w:tcPr>
          <w:p w:rsidR="000710C0" w:rsidRPr="00C2517C" w:rsidRDefault="000710C0" w:rsidP="00A11868">
            <w:pPr>
              <w:rPr>
                <w:b/>
                <w:sz w:val="22"/>
                <w:szCs w:val="22"/>
                <w:lang w:val="en-US"/>
              </w:rPr>
            </w:pPr>
            <w:r w:rsidRPr="00C2517C">
              <w:rPr>
                <w:b/>
                <w:sz w:val="22"/>
                <w:szCs w:val="22"/>
                <w:lang w:val="en-US"/>
              </w:rPr>
              <w:t>Cumulative data of scientific activity of the teacher</w:t>
            </w:r>
          </w:p>
        </w:tc>
      </w:tr>
      <w:tr w:rsidR="000710C0" w:rsidRPr="00C2517C" w:rsidTr="000710C0">
        <w:trPr>
          <w:trHeight w:val="227"/>
          <w:jc w:val="center"/>
        </w:trPr>
        <w:tc>
          <w:tcPr>
            <w:tcW w:w="2263" w:type="pct"/>
            <w:gridSpan w:val="5"/>
          </w:tcPr>
          <w:p w:rsidR="000710C0" w:rsidRPr="00C2517C" w:rsidRDefault="000710C0" w:rsidP="00A11868">
            <w:pPr>
              <w:rPr>
                <w:sz w:val="22"/>
                <w:szCs w:val="22"/>
                <w:lang w:val="en-US"/>
              </w:rPr>
            </w:pPr>
            <w:r w:rsidRPr="00C2517C">
              <w:rPr>
                <w:sz w:val="22"/>
                <w:szCs w:val="22"/>
                <w:lang w:val="en-US"/>
              </w:rPr>
              <w:t>Total number of citations, without self citations</w:t>
            </w:r>
          </w:p>
        </w:tc>
        <w:tc>
          <w:tcPr>
            <w:tcW w:w="2737" w:type="pct"/>
            <w:gridSpan w:val="7"/>
            <w:vAlign w:val="center"/>
          </w:tcPr>
          <w:p w:rsidR="000710C0" w:rsidRPr="005A7443" w:rsidRDefault="000710C0" w:rsidP="00A11868">
            <w:pPr>
              <w:rPr>
                <w:lang w:val="en-US"/>
              </w:rPr>
            </w:pPr>
            <w:r w:rsidRPr="005A7443">
              <w:rPr>
                <w:lang w:val="en-US"/>
              </w:rPr>
              <w:t>241</w:t>
            </w:r>
          </w:p>
        </w:tc>
      </w:tr>
      <w:tr w:rsidR="000710C0" w:rsidRPr="00C2517C" w:rsidTr="000710C0">
        <w:trPr>
          <w:trHeight w:val="227"/>
          <w:jc w:val="center"/>
        </w:trPr>
        <w:tc>
          <w:tcPr>
            <w:tcW w:w="2263" w:type="pct"/>
            <w:gridSpan w:val="5"/>
          </w:tcPr>
          <w:p w:rsidR="000710C0" w:rsidRPr="00C2517C" w:rsidRDefault="000710C0" w:rsidP="00A11868">
            <w:pPr>
              <w:rPr>
                <w:sz w:val="22"/>
                <w:szCs w:val="22"/>
                <w:lang w:val="en-US"/>
              </w:rPr>
            </w:pPr>
            <w:r w:rsidRPr="00C2517C">
              <w:rPr>
                <w:sz w:val="22"/>
                <w:szCs w:val="22"/>
                <w:lang w:val="en-US"/>
              </w:rPr>
              <w:t>Total number of papers on the SCI (or SSCI) list</w:t>
            </w:r>
          </w:p>
        </w:tc>
        <w:tc>
          <w:tcPr>
            <w:tcW w:w="2737" w:type="pct"/>
            <w:gridSpan w:val="7"/>
            <w:vAlign w:val="center"/>
          </w:tcPr>
          <w:p w:rsidR="000710C0" w:rsidRPr="005A7443" w:rsidRDefault="000710C0" w:rsidP="00A11868">
            <w:pPr>
              <w:rPr>
                <w:lang w:val="en-US"/>
              </w:rPr>
            </w:pPr>
            <w:r w:rsidRPr="005A7443">
              <w:rPr>
                <w:lang w:val="en-US"/>
              </w:rPr>
              <w:t>23</w:t>
            </w:r>
          </w:p>
        </w:tc>
      </w:tr>
      <w:tr w:rsidR="000710C0" w:rsidRPr="00C2517C" w:rsidTr="000710C0">
        <w:trPr>
          <w:trHeight w:val="227"/>
          <w:jc w:val="center"/>
        </w:trPr>
        <w:tc>
          <w:tcPr>
            <w:tcW w:w="2263" w:type="pct"/>
            <w:gridSpan w:val="5"/>
          </w:tcPr>
          <w:p w:rsidR="000710C0" w:rsidRPr="00C2517C" w:rsidRDefault="000710C0" w:rsidP="00A11868">
            <w:pPr>
              <w:rPr>
                <w:sz w:val="22"/>
                <w:szCs w:val="22"/>
                <w:lang w:val="en-US"/>
              </w:rPr>
            </w:pPr>
            <w:r w:rsidRPr="00C2517C">
              <w:rPr>
                <w:sz w:val="22"/>
                <w:szCs w:val="22"/>
                <w:lang w:val="en-US"/>
              </w:rPr>
              <w:t>Current participation in projects</w:t>
            </w:r>
          </w:p>
        </w:tc>
        <w:tc>
          <w:tcPr>
            <w:tcW w:w="1352" w:type="pct"/>
            <w:gridSpan w:val="4"/>
            <w:vAlign w:val="center"/>
          </w:tcPr>
          <w:p w:rsidR="000710C0" w:rsidRPr="00C2517C" w:rsidRDefault="000710C0" w:rsidP="00A11868">
            <w:pPr>
              <w:rPr>
                <w:b/>
                <w:sz w:val="22"/>
                <w:szCs w:val="22"/>
                <w:lang w:val="en-US"/>
              </w:rPr>
            </w:pPr>
            <w:r w:rsidRPr="00C2517C">
              <w:rPr>
                <w:sz w:val="22"/>
                <w:szCs w:val="22"/>
                <w:lang w:val="en-US"/>
              </w:rPr>
              <w:t xml:space="preserve">Domestic </w:t>
            </w:r>
            <w:r>
              <w:rPr>
                <w:sz w:val="22"/>
                <w:szCs w:val="22"/>
                <w:lang w:val="en-US"/>
              </w:rPr>
              <w:t xml:space="preserve"> </w:t>
            </w:r>
            <w:r w:rsidRPr="000710C0">
              <w:rPr>
                <w:b/>
                <w:sz w:val="22"/>
                <w:szCs w:val="22"/>
                <w:lang w:val="en-US"/>
              </w:rPr>
              <w:t>2</w:t>
            </w:r>
          </w:p>
        </w:tc>
        <w:tc>
          <w:tcPr>
            <w:tcW w:w="1385" w:type="pct"/>
            <w:gridSpan w:val="3"/>
            <w:vAlign w:val="center"/>
          </w:tcPr>
          <w:p w:rsidR="000710C0" w:rsidRPr="00C2517C" w:rsidRDefault="000710C0" w:rsidP="00A11868">
            <w:pPr>
              <w:rPr>
                <w:b/>
                <w:sz w:val="22"/>
                <w:szCs w:val="22"/>
                <w:lang w:val="en-US"/>
              </w:rPr>
            </w:pPr>
            <w:r w:rsidRPr="00C2517C">
              <w:rPr>
                <w:sz w:val="22"/>
                <w:szCs w:val="22"/>
                <w:lang w:val="en-US"/>
              </w:rPr>
              <w:t>International</w:t>
            </w:r>
            <w:r>
              <w:rPr>
                <w:sz w:val="22"/>
                <w:szCs w:val="22"/>
                <w:lang w:val="en-US"/>
              </w:rPr>
              <w:t xml:space="preserve"> </w:t>
            </w:r>
            <w:r w:rsidRPr="000710C0">
              <w:rPr>
                <w:b/>
                <w:sz w:val="22"/>
                <w:szCs w:val="22"/>
                <w:lang w:val="en-US"/>
              </w:rPr>
              <w:t>1</w:t>
            </w:r>
          </w:p>
        </w:tc>
      </w:tr>
      <w:tr w:rsidR="000710C0" w:rsidRPr="00C2517C" w:rsidTr="000710C0">
        <w:trPr>
          <w:trHeight w:val="227"/>
          <w:jc w:val="center"/>
        </w:trPr>
        <w:tc>
          <w:tcPr>
            <w:tcW w:w="2263" w:type="pct"/>
            <w:gridSpan w:val="5"/>
          </w:tcPr>
          <w:p w:rsidR="000710C0" w:rsidRPr="00C2517C" w:rsidRDefault="000710C0" w:rsidP="00A11868">
            <w:pPr>
              <w:rPr>
                <w:sz w:val="22"/>
                <w:szCs w:val="22"/>
                <w:lang w:val="en-US"/>
              </w:rPr>
            </w:pPr>
            <w:r w:rsidRPr="00C2517C">
              <w:rPr>
                <w:sz w:val="22"/>
                <w:szCs w:val="22"/>
                <w:lang w:val="en-US"/>
              </w:rPr>
              <w:t xml:space="preserve">Specialization </w:t>
            </w:r>
          </w:p>
        </w:tc>
        <w:tc>
          <w:tcPr>
            <w:tcW w:w="2737" w:type="pct"/>
            <w:gridSpan w:val="7"/>
            <w:vAlign w:val="center"/>
          </w:tcPr>
          <w:p w:rsidR="000710C0" w:rsidRPr="005A7443" w:rsidRDefault="000710C0" w:rsidP="00A11868">
            <w:pPr>
              <w:widowControl/>
              <w:autoSpaceDE/>
              <w:autoSpaceDN/>
              <w:adjustRightInd/>
            </w:pPr>
            <w:r w:rsidRPr="005A7443">
              <w:t xml:space="preserve">2019 </w:t>
            </w:r>
            <w:r w:rsidRPr="005A7443">
              <w:rPr>
                <w:shd w:val="clear" w:color="auto" w:fill="FFFFFF"/>
              </w:rPr>
              <w:t xml:space="preserve">University of Naples </w:t>
            </w:r>
            <w:r w:rsidRPr="005A7443">
              <w:t>”</w:t>
            </w:r>
            <w:r w:rsidRPr="005A7443">
              <w:rPr>
                <w:shd w:val="clear" w:color="auto" w:fill="FFFFFF"/>
              </w:rPr>
              <w:t>F</w:t>
            </w:r>
            <w:r w:rsidRPr="005A7443">
              <w:rPr>
                <w:rStyle w:val="Emphasis"/>
                <w:bCs/>
                <w:i w:val="0"/>
                <w:iCs w:val="0"/>
                <w:shd w:val="clear" w:color="auto" w:fill="FFFFFF"/>
              </w:rPr>
              <w:t>ederico II“</w:t>
            </w:r>
            <w:r w:rsidRPr="005A7443">
              <w:rPr>
                <w:shd w:val="clear" w:color="auto" w:fill="FFFFFF"/>
              </w:rPr>
              <w:t xml:space="preserve">, Department of Biology, Naples, Italy. </w:t>
            </w:r>
            <w:r w:rsidRPr="005A7443">
              <w:rPr>
                <w:color w:val="111111"/>
              </w:rPr>
              <w:t xml:space="preserve"> </w:t>
            </w:r>
            <w:r w:rsidRPr="005A7443">
              <w:rPr>
                <w:rStyle w:val="hps"/>
              </w:rPr>
              <w:t>Period</w:t>
            </w:r>
            <w:r w:rsidRPr="005A7443">
              <w:t xml:space="preserve"> 01.07.19-05.07.19. </w:t>
            </w:r>
            <w:r w:rsidRPr="005A7443">
              <w:rPr>
                <w:shd w:val="clear" w:color="auto" w:fill="FFFFFF"/>
              </w:rPr>
              <w:t>Erasmus Plus mobility program.</w:t>
            </w:r>
          </w:p>
          <w:p w:rsidR="000710C0" w:rsidRPr="005A7443" w:rsidRDefault="000710C0" w:rsidP="00A11868">
            <w:pPr>
              <w:widowControl/>
              <w:autoSpaceDE/>
              <w:autoSpaceDN/>
              <w:adjustRightInd/>
            </w:pPr>
            <w:r w:rsidRPr="005A7443">
              <w:t>2018 Sofia University St Kliment Ohridski, Medical Center ReproBioMed and Institute of Biology and Immunology of Reproduction, Bulgarian Academy of Sciences, Bulgaria.</w:t>
            </w:r>
            <w:r w:rsidRPr="005A7443">
              <w:rPr>
                <w:rStyle w:val="hps"/>
              </w:rPr>
              <w:t xml:space="preserve"> Period</w:t>
            </w:r>
            <w:r w:rsidRPr="005A7443">
              <w:t xml:space="preserve"> 18.11.18-01.12.18. </w:t>
            </w:r>
          </w:p>
          <w:p w:rsidR="000710C0" w:rsidRPr="00C2517C" w:rsidRDefault="000710C0" w:rsidP="00A11868">
            <w:pPr>
              <w:rPr>
                <w:b/>
                <w:sz w:val="22"/>
                <w:szCs w:val="22"/>
                <w:lang w:val="en-US"/>
              </w:rPr>
            </w:pPr>
            <w:r w:rsidRPr="005A7443">
              <w:t xml:space="preserve">2018  </w:t>
            </w:r>
            <w:r w:rsidRPr="005A7443">
              <w:rPr>
                <w:rStyle w:val="Emphasis"/>
                <w:bCs/>
                <w:i w:val="0"/>
                <w:shd w:val="clear" w:color="auto" w:fill="FFFFFF"/>
              </w:rPr>
              <w:t>University of Aveiro, Portugal</w:t>
            </w:r>
            <w:r w:rsidRPr="00D247B2">
              <w:rPr>
                <w:rStyle w:val="Emphasis"/>
                <w:bCs/>
                <w:shd w:val="clear" w:color="auto" w:fill="FFFFFF"/>
              </w:rPr>
              <w:t>,</w:t>
            </w:r>
            <w:r w:rsidRPr="00484E99">
              <w:rPr>
                <w:rStyle w:val="hps"/>
              </w:rPr>
              <w:t xml:space="preserve"> </w:t>
            </w:r>
            <w:r w:rsidRPr="00484E99">
              <w:rPr>
                <w:color w:val="111111"/>
              </w:rPr>
              <w:t>Institute of Biomedicine, Department of Medical Sciences</w:t>
            </w:r>
            <w:r>
              <w:rPr>
                <w:color w:val="111111"/>
              </w:rPr>
              <w:t>,</w:t>
            </w:r>
            <w:r w:rsidRPr="00484E99">
              <w:rPr>
                <w:color w:val="111111"/>
              </w:rPr>
              <w:t xml:space="preserve"> Signal Transduction Laboratory</w:t>
            </w:r>
            <w:r>
              <w:rPr>
                <w:color w:val="111111"/>
              </w:rPr>
              <w:t>.</w:t>
            </w:r>
            <w:r w:rsidRPr="00484E99">
              <w:rPr>
                <w:color w:val="111111"/>
              </w:rPr>
              <w:t xml:space="preserve"> </w:t>
            </w:r>
            <w:r>
              <w:rPr>
                <w:rStyle w:val="hps"/>
              </w:rPr>
              <w:t>Period</w:t>
            </w:r>
            <w:r w:rsidRPr="00484E99">
              <w:t xml:space="preserve"> 23.07.18-27.07.18. </w:t>
            </w:r>
            <w:r w:rsidRPr="00484E99">
              <w:rPr>
                <w:shd w:val="clear" w:color="auto" w:fill="FFFFFF"/>
              </w:rPr>
              <w:t xml:space="preserve">Erasmus Plus mobility </w:t>
            </w:r>
            <w:r>
              <w:rPr>
                <w:shd w:val="clear" w:color="auto" w:fill="FFFFFF"/>
              </w:rPr>
              <w:t>program.</w:t>
            </w:r>
          </w:p>
        </w:tc>
      </w:tr>
      <w:tr w:rsidR="000710C0" w:rsidRPr="00C2517C" w:rsidTr="000710C0">
        <w:trPr>
          <w:trHeight w:val="227"/>
          <w:jc w:val="center"/>
        </w:trPr>
        <w:tc>
          <w:tcPr>
            <w:tcW w:w="2263" w:type="pct"/>
            <w:gridSpan w:val="5"/>
          </w:tcPr>
          <w:p w:rsidR="000710C0" w:rsidRPr="00C2517C" w:rsidRDefault="000710C0" w:rsidP="00A11868">
            <w:pPr>
              <w:rPr>
                <w:lang w:val="en-US"/>
              </w:rPr>
            </w:pPr>
            <w:r w:rsidRPr="00C2517C">
              <w:rPr>
                <w:lang w:val="en-US"/>
              </w:rPr>
              <w:t>Other information you consider to be important</w:t>
            </w:r>
          </w:p>
        </w:tc>
        <w:tc>
          <w:tcPr>
            <w:tcW w:w="2737" w:type="pct"/>
            <w:gridSpan w:val="7"/>
            <w:vAlign w:val="center"/>
          </w:tcPr>
          <w:p w:rsidR="000710C0" w:rsidRPr="00C2517C" w:rsidRDefault="000710C0" w:rsidP="00A11868">
            <w:pPr>
              <w:rPr>
                <w:b/>
                <w:sz w:val="22"/>
                <w:szCs w:val="22"/>
                <w:lang w:val="en-US"/>
              </w:rPr>
            </w:pPr>
          </w:p>
        </w:tc>
      </w:tr>
    </w:tbl>
    <w:p w:rsidR="0047415A" w:rsidRPr="006E16AB" w:rsidRDefault="0047415A" w:rsidP="00A11868"/>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62233"/>
    <w:rsid w:val="000710C0"/>
    <w:rsid w:val="00083832"/>
    <w:rsid w:val="000964E1"/>
    <w:rsid w:val="000F3BBB"/>
    <w:rsid w:val="002E4EC7"/>
    <w:rsid w:val="00427D46"/>
    <w:rsid w:val="0047415A"/>
    <w:rsid w:val="004D2C20"/>
    <w:rsid w:val="005A7443"/>
    <w:rsid w:val="005E6423"/>
    <w:rsid w:val="006E16AB"/>
    <w:rsid w:val="00880906"/>
    <w:rsid w:val="008C170D"/>
    <w:rsid w:val="00950965"/>
    <w:rsid w:val="0095547F"/>
    <w:rsid w:val="00A11868"/>
    <w:rsid w:val="00A60BAE"/>
    <w:rsid w:val="00BB54F9"/>
    <w:rsid w:val="00DA73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paragraph" w:styleId="Heading1">
    <w:name w:val="heading 1"/>
    <w:basedOn w:val="Normal"/>
    <w:next w:val="Normal"/>
    <w:link w:val="Heading1Char"/>
    <w:uiPriority w:val="9"/>
    <w:qFormat/>
    <w:rsid w:val="000710C0"/>
    <w:pPr>
      <w:keepNext/>
      <w:keepLines/>
      <w:widowControl/>
      <w:autoSpaceDE/>
      <w:autoSpaceDN/>
      <w:adjustRightInd/>
      <w:spacing w:before="480" w:line="276" w:lineRule="auto"/>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customStyle="1" w:styleId="Heading1Char">
    <w:name w:val="Heading 1 Char"/>
    <w:basedOn w:val="DefaultParagraphFont"/>
    <w:link w:val="Heading1"/>
    <w:uiPriority w:val="9"/>
    <w:rsid w:val="000710C0"/>
    <w:rPr>
      <w:rFonts w:ascii="Cambria" w:eastAsia="Times New Roman" w:hAnsi="Cambria" w:cs="Times New Roman"/>
      <w:b/>
      <w:bCs/>
      <w:color w:val="365F91"/>
      <w:sz w:val="28"/>
      <w:szCs w:val="28"/>
    </w:rPr>
  </w:style>
  <w:style w:type="character" w:styleId="Hyperlink">
    <w:name w:val="Hyperlink"/>
    <w:uiPriority w:val="99"/>
    <w:unhideWhenUsed/>
    <w:rsid w:val="000710C0"/>
    <w:rPr>
      <w:color w:val="0000FF"/>
      <w:u w:val="single"/>
    </w:rPr>
  </w:style>
  <w:style w:type="character" w:customStyle="1" w:styleId="highlight">
    <w:name w:val="highlight"/>
    <w:basedOn w:val="DefaultParagraphFont"/>
    <w:rsid w:val="000710C0"/>
  </w:style>
  <w:style w:type="character" w:customStyle="1" w:styleId="hps">
    <w:name w:val="hps"/>
    <w:basedOn w:val="DefaultParagraphFont"/>
    <w:rsid w:val="000710C0"/>
  </w:style>
  <w:style w:type="character" w:styleId="Emphasis">
    <w:name w:val="Emphasis"/>
    <w:uiPriority w:val="20"/>
    <w:qFormat/>
    <w:rsid w:val="000710C0"/>
    <w:rPr>
      <w:i/>
      <w:i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Fa%20S%5BAuthor%5D&amp;cauthor=true&amp;cauthor_uid=29435998" TargetMode="External"/><Relationship Id="rId13" Type="http://schemas.openxmlformats.org/officeDocument/2006/relationships/hyperlink" Target="https://www.ncbi.nlm.nih.gov/pubmed/?term=Samardzija%20Nenadov%20D%5BAuthor%5D&amp;cauthor=true&amp;cauthor_uid=30951242" TargetMode="External"/><Relationship Id="rId18" Type="http://schemas.openxmlformats.org/officeDocument/2006/relationships/hyperlink" Target="https://www.ncbi.nlm.nih.gov/pubmed/?term=Andric%20N%5BAuthor%5D&amp;cauthor=true&amp;cauthor_uid=30951242" TargetMode="External"/><Relationship Id="rId26" Type="http://schemas.openxmlformats.org/officeDocument/2006/relationships/hyperlink" Target="https://www.ncbi.nlm.nih.gov/pubmed/?term=Andric%20N%5BAuthor%5D&amp;cauthor=true&amp;cauthor_uid=31075703" TargetMode="External"/><Relationship Id="rId3" Type="http://schemas.openxmlformats.org/officeDocument/2006/relationships/settings" Target="settings.xml"/><Relationship Id="rId21" Type="http://schemas.openxmlformats.org/officeDocument/2006/relationships/hyperlink" Target="https://www.ncbi.nlm.nih.gov/pubmed/?term=Pogrmic-Majkic%20K%5BAuthor%5D&amp;cauthor=true&amp;cauthor_uid=31075703" TargetMode="External"/><Relationship Id="rId34" Type="http://schemas.openxmlformats.org/officeDocument/2006/relationships/hyperlink" Target="https://www.ncbi.nlm.nih.gov/pubmed/?term=Andric%20N%5BAuthor%5D&amp;cauthor=true&amp;cauthor_uid=31233701" TargetMode="External"/><Relationship Id="rId7" Type="http://schemas.openxmlformats.org/officeDocument/2006/relationships/hyperlink" Target="https://www.ncbi.nlm.nih.gov/pubmed/?term=Pogrmic-Majkic%20K%5BAuthor%5D&amp;cauthor=true&amp;cauthor_uid=29435998" TargetMode="External"/><Relationship Id="rId12" Type="http://schemas.openxmlformats.org/officeDocument/2006/relationships/hyperlink" Target="https://www.ncbi.nlm.nih.gov/pubmed/?term=Pogrmic-Majkic%20K%5BAuthor%5D&amp;cauthor=true&amp;cauthor_uid=30951242" TargetMode="External"/><Relationship Id="rId17" Type="http://schemas.openxmlformats.org/officeDocument/2006/relationships/hyperlink" Target="https://www.ncbi.nlm.nih.gov/pubmed/?term=Kopitovic%20V%5BAuthor%5D&amp;cauthor=true&amp;cauthor_uid=30951242" TargetMode="External"/><Relationship Id="rId25" Type="http://schemas.openxmlformats.org/officeDocument/2006/relationships/hyperlink" Target="https://www.ncbi.nlm.nih.gov/pubmed/?term=Trninic%20Pjevic%20A%5BAuthor%5D&amp;cauthor=true&amp;cauthor_uid=31075703" TargetMode="External"/><Relationship Id="rId33" Type="http://schemas.openxmlformats.org/officeDocument/2006/relationships/hyperlink" Target="https://www.ncbi.nlm.nih.gov/pubmed/?term=Trninic%20Pjevic%20A%5BAuthor%5D&amp;cauthor=true&amp;cauthor_uid=31233701" TargetMode="External"/><Relationship Id="rId2" Type="http://schemas.openxmlformats.org/officeDocument/2006/relationships/styles" Target="styles.xml"/><Relationship Id="rId16" Type="http://schemas.openxmlformats.org/officeDocument/2006/relationships/hyperlink" Target="https://www.ncbi.nlm.nih.gov/pubmed/?term=Trninic-Pjevic%20A%5BAuthor%5D&amp;cauthor=true&amp;cauthor_uid=30951242" TargetMode="External"/><Relationship Id="rId20" Type="http://schemas.openxmlformats.org/officeDocument/2006/relationships/hyperlink" Target="https://www.ncbi.nlm.nih.gov/nlmcatalog?term=%22Environmental%20toxicology%20and%20water%20quality%20ISSN%201053-4725%22%5bTITLE%5d%20NOT%20100885357%5bNLM%20Unique%20ID%5d" TargetMode="External"/><Relationship Id="rId29" Type="http://schemas.openxmlformats.org/officeDocument/2006/relationships/hyperlink" Target="https://www.ncbi.nlm.nih.gov/pubmed/?term=Kosanin%20G%5BAuthor%5D&amp;cauthor=true&amp;cauthor_uid=31233701" TargetMode="External"/><Relationship Id="rId1" Type="http://schemas.openxmlformats.org/officeDocument/2006/relationships/customXml" Target="../customXml/item1.xml"/><Relationship Id="rId6" Type="http://schemas.openxmlformats.org/officeDocument/2006/relationships/hyperlink" Target="https://www.ncbi.nlm.nih.gov/pubmed/?term=Samardzija%20Nenadov%20D%5BAuthor%5D&amp;cauthor=true&amp;cauthor_uid=29435998" TargetMode="External"/><Relationship Id="rId11" Type="http://schemas.openxmlformats.org/officeDocument/2006/relationships/hyperlink" Target="https://www.ncbi.nlm.nih.gov/pubmed/?term=Andric%20N%5BAuthor%5D&amp;cauthor=true&amp;cauthor_uid=29435998" TargetMode="External"/><Relationship Id="rId24" Type="http://schemas.openxmlformats.org/officeDocument/2006/relationships/hyperlink" Target="https://www.ncbi.nlm.nih.gov/pubmed/?term=Stanic%20B%5BAuthor%5D&amp;cauthor=true&amp;cauthor_uid=31075703" TargetMode="External"/><Relationship Id="rId32" Type="http://schemas.openxmlformats.org/officeDocument/2006/relationships/hyperlink" Target="https://www.ncbi.nlm.nih.gov/pubmed/?term=Stanic%20B%5BAuthor%5D&amp;cauthor=true&amp;cauthor_uid=31233701" TargetMode="External"/><Relationship Id="rId37" Type="http://schemas.openxmlformats.org/officeDocument/2006/relationships/theme" Target="theme/theme1.xml"/><Relationship Id="rId5" Type="http://schemas.openxmlformats.org/officeDocument/2006/relationships/hyperlink" Target="http://www.ncbi.nlm.nih.gov/pubmed/?term=Atrazine+blocks+ovulation+via+suppression+of+Lhr+and+Cyp19a1+mRNA+and+estradiol+secretion+in+immature+gonadotropin-treated+rats" TargetMode="External"/><Relationship Id="rId15" Type="http://schemas.openxmlformats.org/officeDocument/2006/relationships/hyperlink" Target="https://www.ncbi.nlm.nih.gov/pubmed/?term=Milatovic%20S%5BAuthor%5D&amp;cauthor=true&amp;cauthor_uid=30951242" TargetMode="External"/><Relationship Id="rId23" Type="http://schemas.openxmlformats.org/officeDocument/2006/relationships/hyperlink" Target="https://www.ncbi.nlm.nih.gov/pubmed/?term=Fa%20S%5BAuthor%5D&amp;cauthor=true&amp;cauthor_uid=31075703" TargetMode="External"/><Relationship Id="rId28" Type="http://schemas.openxmlformats.org/officeDocument/2006/relationships/hyperlink" Target="https://www.ncbi.nlm.nih.gov/pubmed/?term=Pogrmic-Majkic%20K%5BAuthor%5D&amp;cauthor=true&amp;cauthor_uid=31233701" TargetMode="External"/><Relationship Id="rId36" Type="http://schemas.openxmlformats.org/officeDocument/2006/relationships/fontTable" Target="fontTable.xml"/><Relationship Id="rId10" Type="http://schemas.openxmlformats.org/officeDocument/2006/relationships/hyperlink" Target="https://www.ncbi.nlm.nih.gov/pubmed/?term=Tubic%20A%5BAuthor%5D&amp;cauthor=true&amp;cauthor_uid=29435998" TargetMode="External"/><Relationship Id="rId19" Type="http://schemas.openxmlformats.org/officeDocument/2006/relationships/hyperlink" Target="https://www.ncbi.nlm.nih.gov/pubmed/30951242" TargetMode="External"/><Relationship Id="rId31" Type="http://schemas.openxmlformats.org/officeDocument/2006/relationships/hyperlink" Target="https://www.ncbi.nlm.nih.gov/pubmed/?term=Fa%20S%5BAuthor%5D&amp;cauthor=true&amp;cauthor_uid=31233701" TargetMode="External"/><Relationship Id="rId4" Type="http://schemas.openxmlformats.org/officeDocument/2006/relationships/webSettings" Target="webSettings.xml"/><Relationship Id="rId9" Type="http://schemas.openxmlformats.org/officeDocument/2006/relationships/hyperlink" Target="https://www.ncbi.nlm.nih.gov/pubmed/?term=Stanic%20B%5BAuthor%5D&amp;cauthor=true&amp;cauthor_uid=29435998" TargetMode="External"/><Relationship Id="rId14" Type="http://schemas.openxmlformats.org/officeDocument/2006/relationships/hyperlink" Target="https://www.ncbi.nlm.nih.gov/pubmed/?term=Stanic%20B%5BAuthor%5D&amp;cauthor=true&amp;cauthor_uid=30951242" TargetMode="External"/><Relationship Id="rId22" Type="http://schemas.openxmlformats.org/officeDocument/2006/relationships/hyperlink" Target="https://www.ncbi.nlm.nih.gov/pubmed/?term=Samardzija%20Nenadov%20D%5BAuthor%5D&amp;cauthor=true&amp;cauthor_uid=31075703" TargetMode="External"/><Relationship Id="rId27" Type="http://schemas.openxmlformats.org/officeDocument/2006/relationships/hyperlink" Target="https://www.ncbi.nlm.nih.gov/pubmed/31075703" TargetMode="External"/><Relationship Id="rId30" Type="http://schemas.openxmlformats.org/officeDocument/2006/relationships/hyperlink" Target="https://www.ncbi.nlm.nih.gov/pubmed/?term=Samardzija%20Nenadov%20D%5BAuthor%5D&amp;cauthor=true&amp;cauthor_uid=31233701" TargetMode="External"/><Relationship Id="rId35" Type="http://schemas.openxmlformats.org/officeDocument/2006/relationships/hyperlink" Target="https://www.ncbi.nlm.nih.gov/nlmcatalog?term=%22Environmental%20toxicology%20and%20water%20quality%20ISSN%201053-4725%22%5bTITLE%5d%20NOT%20100885357%5bNLM%20Unique%20ID%5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930EDA-4C18-4C98-ABEC-1D3FBB044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1380</Words>
  <Characters>7870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4</cp:revision>
  <dcterms:created xsi:type="dcterms:W3CDTF">2019-09-24T13:09:00Z</dcterms:created>
  <dcterms:modified xsi:type="dcterms:W3CDTF">2020-03-07T11:27:00Z</dcterms:modified>
</cp:coreProperties>
</file>