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5"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9"/>
        <w:gridCol w:w="74"/>
        <w:gridCol w:w="2816"/>
        <w:gridCol w:w="854"/>
        <w:gridCol w:w="690"/>
        <w:gridCol w:w="1008"/>
        <w:gridCol w:w="184"/>
        <w:gridCol w:w="162"/>
        <w:gridCol w:w="946"/>
        <w:gridCol w:w="253"/>
        <w:gridCol w:w="1317"/>
        <w:gridCol w:w="1177"/>
        <w:gridCol w:w="8"/>
      </w:tblGrid>
      <w:tr w:rsidR="006E16AB" w:rsidRPr="00C2517C" w:rsidTr="00532AEC">
        <w:trPr>
          <w:trHeight w:val="227"/>
          <w:jc w:val="center"/>
        </w:trPr>
        <w:tc>
          <w:tcPr>
            <w:tcW w:w="2121" w:type="pct"/>
            <w:gridSpan w:val="4"/>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2879" w:type="pct"/>
            <w:gridSpan w:val="9"/>
            <w:vAlign w:val="center"/>
          </w:tcPr>
          <w:p w:rsidR="006E16AB" w:rsidRPr="00C2517C" w:rsidRDefault="00EC7BDC" w:rsidP="00E917D5">
            <w:pPr>
              <w:rPr>
                <w:sz w:val="22"/>
                <w:szCs w:val="22"/>
                <w:lang w:val="en-US"/>
              </w:rPr>
            </w:pPr>
            <w:proofErr w:type="spellStart"/>
            <w:r>
              <w:rPr>
                <w:sz w:val="22"/>
                <w:szCs w:val="22"/>
                <w:lang w:val="en-US"/>
              </w:rPr>
              <w:t>Dragana</w:t>
            </w:r>
            <w:proofErr w:type="spellEnd"/>
            <w:r>
              <w:rPr>
                <w:sz w:val="22"/>
                <w:szCs w:val="22"/>
                <w:lang w:val="en-US"/>
              </w:rPr>
              <w:t xml:space="preserve"> </w:t>
            </w:r>
            <w:proofErr w:type="spellStart"/>
            <w:r>
              <w:rPr>
                <w:sz w:val="22"/>
                <w:szCs w:val="22"/>
                <w:lang w:val="en-US"/>
              </w:rPr>
              <w:t>Vukov</w:t>
            </w:r>
            <w:proofErr w:type="spellEnd"/>
          </w:p>
        </w:tc>
      </w:tr>
      <w:tr w:rsidR="006E16AB" w:rsidRPr="00C2517C" w:rsidTr="00532AEC">
        <w:trPr>
          <w:trHeight w:val="227"/>
          <w:jc w:val="center"/>
        </w:trPr>
        <w:tc>
          <w:tcPr>
            <w:tcW w:w="2121" w:type="pct"/>
            <w:gridSpan w:val="4"/>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2879" w:type="pct"/>
            <w:gridSpan w:val="9"/>
            <w:vAlign w:val="center"/>
          </w:tcPr>
          <w:p w:rsidR="006E16AB" w:rsidRPr="00C2517C" w:rsidRDefault="00EC7BDC" w:rsidP="00E917D5">
            <w:pPr>
              <w:rPr>
                <w:sz w:val="22"/>
                <w:szCs w:val="22"/>
                <w:lang w:val="en-US"/>
              </w:rPr>
            </w:pPr>
            <w:r>
              <w:rPr>
                <w:sz w:val="22"/>
                <w:szCs w:val="22"/>
                <w:lang w:val="en-US"/>
              </w:rPr>
              <w:t>Full Professor</w:t>
            </w:r>
          </w:p>
        </w:tc>
      </w:tr>
      <w:tr w:rsidR="006E16AB" w:rsidRPr="00C2517C" w:rsidTr="00532AEC">
        <w:trPr>
          <w:trHeight w:val="227"/>
          <w:jc w:val="center"/>
        </w:trPr>
        <w:tc>
          <w:tcPr>
            <w:tcW w:w="2121" w:type="pct"/>
            <w:gridSpan w:val="4"/>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2879" w:type="pct"/>
            <w:gridSpan w:val="9"/>
            <w:vAlign w:val="center"/>
          </w:tcPr>
          <w:p w:rsidR="006E16AB" w:rsidRPr="00C2517C" w:rsidRDefault="00EC7BDC" w:rsidP="00E917D5">
            <w:pPr>
              <w:rPr>
                <w:sz w:val="22"/>
                <w:szCs w:val="22"/>
                <w:lang w:val="en-US"/>
              </w:rPr>
            </w:pPr>
            <w:r>
              <w:rPr>
                <w:sz w:val="22"/>
                <w:szCs w:val="22"/>
                <w:lang w:val="en-US"/>
              </w:rPr>
              <w:t>Botany</w:t>
            </w:r>
          </w:p>
        </w:tc>
      </w:tr>
      <w:tr w:rsidR="00DB38C4" w:rsidRPr="00C2517C" w:rsidTr="00DB38C4">
        <w:trPr>
          <w:trHeight w:val="227"/>
          <w:jc w:val="center"/>
        </w:trPr>
        <w:tc>
          <w:tcPr>
            <w:tcW w:w="1693" w:type="pct"/>
            <w:gridSpan w:val="3"/>
            <w:vAlign w:val="center"/>
          </w:tcPr>
          <w:p w:rsidR="00DB38C4" w:rsidRPr="00C2517C" w:rsidRDefault="00DB38C4" w:rsidP="00E917D5">
            <w:pPr>
              <w:rPr>
                <w:sz w:val="22"/>
                <w:szCs w:val="22"/>
                <w:lang w:val="en-US"/>
              </w:rPr>
            </w:pPr>
            <w:r w:rsidRPr="00C2517C">
              <w:rPr>
                <w:b/>
                <w:sz w:val="22"/>
                <w:szCs w:val="22"/>
                <w:lang w:val="en-US"/>
              </w:rPr>
              <w:t>Academic career</w:t>
            </w:r>
          </w:p>
        </w:tc>
        <w:tc>
          <w:tcPr>
            <w:tcW w:w="428" w:type="pct"/>
            <w:vAlign w:val="center"/>
          </w:tcPr>
          <w:p w:rsidR="00DB38C4" w:rsidRPr="00093584" w:rsidRDefault="00DB38C4" w:rsidP="00E917D5">
            <w:pPr>
              <w:rPr>
                <w:b/>
                <w:sz w:val="22"/>
                <w:szCs w:val="22"/>
                <w:lang w:val="en-US"/>
              </w:rPr>
            </w:pPr>
            <w:r w:rsidRPr="00093584">
              <w:rPr>
                <w:b/>
                <w:sz w:val="22"/>
                <w:szCs w:val="22"/>
                <w:lang w:val="en-US"/>
              </w:rPr>
              <w:t xml:space="preserve">Year  </w:t>
            </w:r>
          </w:p>
        </w:tc>
        <w:tc>
          <w:tcPr>
            <w:tcW w:w="943" w:type="pct"/>
            <w:gridSpan w:val="3"/>
            <w:vAlign w:val="center"/>
          </w:tcPr>
          <w:p w:rsidR="00DB38C4" w:rsidRPr="00093584" w:rsidRDefault="00DB38C4" w:rsidP="00E917D5">
            <w:pPr>
              <w:rPr>
                <w:b/>
                <w:sz w:val="22"/>
                <w:szCs w:val="22"/>
                <w:lang w:val="en-US"/>
              </w:rPr>
            </w:pPr>
            <w:r w:rsidRPr="00093584">
              <w:rPr>
                <w:b/>
                <w:sz w:val="22"/>
                <w:szCs w:val="22"/>
                <w:lang w:val="en-US"/>
              </w:rPr>
              <w:t>Institution</w:t>
            </w:r>
          </w:p>
        </w:tc>
        <w:tc>
          <w:tcPr>
            <w:tcW w:w="1936" w:type="pct"/>
            <w:gridSpan w:val="6"/>
            <w:vAlign w:val="center"/>
          </w:tcPr>
          <w:p w:rsidR="00DB38C4" w:rsidRPr="00093584" w:rsidRDefault="00DB38C4" w:rsidP="0095547F">
            <w:pPr>
              <w:rPr>
                <w:b/>
                <w:sz w:val="22"/>
                <w:szCs w:val="22"/>
                <w:lang w:val="en-US"/>
              </w:rPr>
            </w:pPr>
            <w:r w:rsidRPr="00093584">
              <w:rPr>
                <w:rStyle w:val="tlid-translation"/>
                <w:b/>
              </w:rPr>
              <w:t>Narrow scientific field</w:t>
            </w:r>
            <w:r w:rsidRPr="00093584">
              <w:rPr>
                <w:b/>
              </w:rPr>
              <w:t xml:space="preserve"> </w:t>
            </w:r>
            <w:r w:rsidRPr="00093584">
              <w:rPr>
                <w:rStyle w:val="tlid-translation"/>
                <w:b/>
              </w:rPr>
              <w:t>or art field</w:t>
            </w:r>
          </w:p>
        </w:tc>
      </w:tr>
      <w:tr w:rsidR="00DB38C4" w:rsidRPr="00C2517C" w:rsidTr="00DB38C4">
        <w:trPr>
          <w:trHeight w:val="227"/>
          <w:jc w:val="center"/>
        </w:trPr>
        <w:tc>
          <w:tcPr>
            <w:tcW w:w="1693" w:type="pct"/>
            <w:gridSpan w:val="3"/>
            <w:vAlign w:val="center"/>
          </w:tcPr>
          <w:p w:rsidR="00DB38C4" w:rsidRPr="00C2517C" w:rsidRDefault="00DB38C4" w:rsidP="00E917D5">
            <w:pPr>
              <w:rPr>
                <w:sz w:val="22"/>
                <w:szCs w:val="22"/>
                <w:lang w:val="en-US"/>
              </w:rPr>
            </w:pPr>
            <w:r w:rsidRPr="00C2517C">
              <w:rPr>
                <w:sz w:val="22"/>
                <w:szCs w:val="22"/>
                <w:lang w:val="en-US"/>
              </w:rPr>
              <w:t>Election to the title</w:t>
            </w:r>
          </w:p>
        </w:tc>
        <w:tc>
          <w:tcPr>
            <w:tcW w:w="428" w:type="pct"/>
            <w:vAlign w:val="center"/>
          </w:tcPr>
          <w:p w:rsidR="00DB38C4" w:rsidRPr="00C2517C" w:rsidRDefault="00DB38C4" w:rsidP="00E917D5">
            <w:pPr>
              <w:rPr>
                <w:sz w:val="22"/>
                <w:szCs w:val="22"/>
                <w:lang w:val="en-US"/>
              </w:rPr>
            </w:pPr>
            <w:r>
              <w:rPr>
                <w:sz w:val="22"/>
                <w:szCs w:val="22"/>
                <w:lang w:val="en-US"/>
              </w:rPr>
              <w:t>2018</w:t>
            </w:r>
          </w:p>
        </w:tc>
        <w:tc>
          <w:tcPr>
            <w:tcW w:w="943" w:type="pct"/>
            <w:gridSpan w:val="3"/>
            <w:vAlign w:val="center"/>
          </w:tcPr>
          <w:p w:rsidR="00DB38C4" w:rsidRPr="00C2517C" w:rsidRDefault="00DB38C4" w:rsidP="00E917D5">
            <w:pPr>
              <w:rPr>
                <w:sz w:val="22"/>
                <w:szCs w:val="22"/>
                <w:lang w:val="en-US"/>
              </w:rPr>
            </w:pPr>
            <w:r>
              <w:rPr>
                <w:sz w:val="22"/>
                <w:szCs w:val="22"/>
                <w:lang w:val="en-US"/>
              </w:rPr>
              <w:t>PMF UNS</w:t>
            </w:r>
          </w:p>
        </w:tc>
        <w:tc>
          <w:tcPr>
            <w:tcW w:w="1936" w:type="pct"/>
            <w:gridSpan w:val="6"/>
            <w:vAlign w:val="center"/>
          </w:tcPr>
          <w:p w:rsidR="00DB38C4" w:rsidRPr="00C2517C" w:rsidRDefault="00DB38C4" w:rsidP="00E917D5">
            <w:pPr>
              <w:rPr>
                <w:sz w:val="22"/>
                <w:szCs w:val="22"/>
                <w:lang w:val="en-US"/>
              </w:rPr>
            </w:pPr>
            <w:r>
              <w:rPr>
                <w:sz w:val="22"/>
                <w:szCs w:val="22"/>
                <w:lang w:val="en-US"/>
              </w:rPr>
              <w:t>Botany</w:t>
            </w:r>
          </w:p>
        </w:tc>
      </w:tr>
      <w:tr w:rsidR="00DB38C4" w:rsidRPr="00C2517C" w:rsidTr="00DB38C4">
        <w:trPr>
          <w:trHeight w:val="227"/>
          <w:jc w:val="center"/>
        </w:trPr>
        <w:tc>
          <w:tcPr>
            <w:tcW w:w="1693" w:type="pct"/>
            <w:gridSpan w:val="3"/>
            <w:vAlign w:val="center"/>
          </w:tcPr>
          <w:p w:rsidR="00DB38C4" w:rsidRPr="00C2517C" w:rsidRDefault="00DB38C4" w:rsidP="00E917D5">
            <w:pPr>
              <w:rPr>
                <w:sz w:val="22"/>
                <w:szCs w:val="22"/>
                <w:lang w:val="en-US"/>
              </w:rPr>
            </w:pPr>
            <w:r w:rsidRPr="00C2517C">
              <w:rPr>
                <w:sz w:val="22"/>
                <w:szCs w:val="22"/>
                <w:lang w:val="en-US"/>
              </w:rPr>
              <w:t>PhD</w:t>
            </w:r>
          </w:p>
        </w:tc>
        <w:tc>
          <w:tcPr>
            <w:tcW w:w="428" w:type="pct"/>
            <w:vAlign w:val="center"/>
          </w:tcPr>
          <w:p w:rsidR="00DB38C4" w:rsidRPr="00C2517C" w:rsidRDefault="00DB38C4" w:rsidP="00E917D5">
            <w:pPr>
              <w:rPr>
                <w:sz w:val="22"/>
                <w:szCs w:val="22"/>
                <w:lang w:val="en-US"/>
              </w:rPr>
            </w:pPr>
            <w:r>
              <w:rPr>
                <w:sz w:val="22"/>
                <w:szCs w:val="22"/>
                <w:lang w:val="en-US"/>
              </w:rPr>
              <w:t>2008</w:t>
            </w:r>
          </w:p>
        </w:tc>
        <w:tc>
          <w:tcPr>
            <w:tcW w:w="943" w:type="pct"/>
            <w:gridSpan w:val="3"/>
            <w:vAlign w:val="center"/>
          </w:tcPr>
          <w:p w:rsidR="00DB38C4" w:rsidRPr="00C2517C" w:rsidRDefault="00DB38C4" w:rsidP="000273FB">
            <w:pPr>
              <w:rPr>
                <w:sz w:val="22"/>
                <w:szCs w:val="22"/>
                <w:lang w:val="en-US"/>
              </w:rPr>
            </w:pPr>
            <w:r>
              <w:rPr>
                <w:sz w:val="22"/>
                <w:szCs w:val="22"/>
                <w:lang w:val="en-US"/>
              </w:rPr>
              <w:t>PMF UNS</w:t>
            </w:r>
          </w:p>
        </w:tc>
        <w:tc>
          <w:tcPr>
            <w:tcW w:w="1936" w:type="pct"/>
            <w:gridSpan w:val="6"/>
          </w:tcPr>
          <w:p w:rsidR="00DB38C4" w:rsidRDefault="00DB38C4">
            <w:r w:rsidRPr="004F3712">
              <w:rPr>
                <w:sz w:val="22"/>
                <w:szCs w:val="22"/>
                <w:lang w:val="en-US"/>
              </w:rPr>
              <w:t>Botany</w:t>
            </w:r>
          </w:p>
        </w:tc>
      </w:tr>
      <w:tr w:rsidR="00DB38C4" w:rsidRPr="00C2517C" w:rsidTr="00DB38C4">
        <w:trPr>
          <w:trHeight w:val="227"/>
          <w:jc w:val="center"/>
        </w:trPr>
        <w:tc>
          <w:tcPr>
            <w:tcW w:w="1693" w:type="pct"/>
            <w:gridSpan w:val="3"/>
            <w:vAlign w:val="center"/>
          </w:tcPr>
          <w:p w:rsidR="00DB38C4" w:rsidRPr="00C2517C" w:rsidRDefault="00DB38C4" w:rsidP="00E917D5">
            <w:pPr>
              <w:rPr>
                <w:sz w:val="22"/>
                <w:szCs w:val="22"/>
                <w:lang w:val="en-US"/>
              </w:rPr>
            </w:pPr>
            <w:r w:rsidRPr="00C2517C">
              <w:rPr>
                <w:sz w:val="22"/>
                <w:szCs w:val="22"/>
                <w:lang w:val="en-US"/>
              </w:rPr>
              <w:t>Master degree</w:t>
            </w:r>
          </w:p>
        </w:tc>
        <w:tc>
          <w:tcPr>
            <w:tcW w:w="428" w:type="pct"/>
            <w:vAlign w:val="center"/>
          </w:tcPr>
          <w:p w:rsidR="00DB38C4" w:rsidRPr="00C2517C" w:rsidRDefault="00DB38C4" w:rsidP="00E917D5">
            <w:pPr>
              <w:rPr>
                <w:sz w:val="22"/>
                <w:szCs w:val="22"/>
                <w:lang w:val="en-US"/>
              </w:rPr>
            </w:pPr>
            <w:r>
              <w:rPr>
                <w:sz w:val="22"/>
                <w:szCs w:val="22"/>
                <w:lang w:val="en-US"/>
              </w:rPr>
              <w:t>2003</w:t>
            </w:r>
          </w:p>
        </w:tc>
        <w:tc>
          <w:tcPr>
            <w:tcW w:w="943" w:type="pct"/>
            <w:gridSpan w:val="3"/>
            <w:vAlign w:val="center"/>
          </w:tcPr>
          <w:p w:rsidR="00DB38C4" w:rsidRPr="00C2517C" w:rsidRDefault="00DB38C4" w:rsidP="000273FB">
            <w:pPr>
              <w:rPr>
                <w:sz w:val="22"/>
                <w:szCs w:val="22"/>
                <w:lang w:val="en-US"/>
              </w:rPr>
            </w:pPr>
            <w:r>
              <w:rPr>
                <w:sz w:val="22"/>
                <w:szCs w:val="22"/>
                <w:lang w:val="en-US"/>
              </w:rPr>
              <w:t>PMF UNS</w:t>
            </w:r>
          </w:p>
        </w:tc>
        <w:tc>
          <w:tcPr>
            <w:tcW w:w="1936" w:type="pct"/>
            <w:gridSpan w:val="6"/>
          </w:tcPr>
          <w:p w:rsidR="00DB38C4" w:rsidRDefault="00DB38C4">
            <w:r w:rsidRPr="004F3712">
              <w:rPr>
                <w:sz w:val="22"/>
                <w:szCs w:val="22"/>
                <w:lang w:val="en-US"/>
              </w:rPr>
              <w:t>Botany</w:t>
            </w:r>
          </w:p>
        </w:tc>
      </w:tr>
      <w:tr w:rsidR="00DB38C4" w:rsidRPr="00C2517C" w:rsidTr="00DB38C4">
        <w:trPr>
          <w:trHeight w:val="227"/>
          <w:jc w:val="center"/>
        </w:trPr>
        <w:tc>
          <w:tcPr>
            <w:tcW w:w="1693" w:type="pct"/>
            <w:gridSpan w:val="3"/>
            <w:vAlign w:val="center"/>
          </w:tcPr>
          <w:p w:rsidR="00DB38C4" w:rsidRPr="00C2517C" w:rsidRDefault="00DB38C4" w:rsidP="00E917D5">
            <w:pPr>
              <w:rPr>
                <w:sz w:val="22"/>
                <w:szCs w:val="22"/>
                <w:lang w:val="en-US"/>
              </w:rPr>
            </w:pPr>
            <w:r w:rsidRPr="00C2517C">
              <w:rPr>
                <w:sz w:val="22"/>
                <w:szCs w:val="22"/>
                <w:lang w:val="en-US"/>
              </w:rPr>
              <w:t xml:space="preserve">Diploma </w:t>
            </w:r>
          </w:p>
        </w:tc>
        <w:tc>
          <w:tcPr>
            <w:tcW w:w="428" w:type="pct"/>
            <w:vAlign w:val="center"/>
          </w:tcPr>
          <w:p w:rsidR="00DB38C4" w:rsidRPr="00C2517C" w:rsidRDefault="00DB38C4" w:rsidP="00E917D5">
            <w:pPr>
              <w:rPr>
                <w:sz w:val="22"/>
                <w:szCs w:val="22"/>
                <w:lang w:val="en-US"/>
              </w:rPr>
            </w:pPr>
            <w:r>
              <w:rPr>
                <w:sz w:val="22"/>
                <w:szCs w:val="22"/>
                <w:lang w:val="en-US"/>
              </w:rPr>
              <w:t>1996</w:t>
            </w:r>
          </w:p>
        </w:tc>
        <w:tc>
          <w:tcPr>
            <w:tcW w:w="943" w:type="pct"/>
            <w:gridSpan w:val="3"/>
            <w:vAlign w:val="center"/>
          </w:tcPr>
          <w:p w:rsidR="00DB38C4" w:rsidRPr="00C2517C" w:rsidRDefault="00DB38C4" w:rsidP="000273FB">
            <w:pPr>
              <w:rPr>
                <w:sz w:val="22"/>
                <w:szCs w:val="22"/>
                <w:lang w:val="en-US"/>
              </w:rPr>
            </w:pPr>
            <w:r>
              <w:rPr>
                <w:sz w:val="22"/>
                <w:szCs w:val="22"/>
                <w:lang w:val="en-US"/>
              </w:rPr>
              <w:t>PMF UNS</w:t>
            </w:r>
          </w:p>
        </w:tc>
        <w:tc>
          <w:tcPr>
            <w:tcW w:w="1936" w:type="pct"/>
            <w:gridSpan w:val="6"/>
          </w:tcPr>
          <w:p w:rsidR="00DB38C4" w:rsidRDefault="00DB38C4">
            <w:r w:rsidRPr="004F3712">
              <w:rPr>
                <w:sz w:val="22"/>
                <w:szCs w:val="22"/>
                <w:lang w:val="en-US"/>
              </w:rPr>
              <w:t>Botany</w:t>
            </w:r>
          </w:p>
        </w:tc>
      </w:tr>
      <w:tr w:rsidR="006E16AB" w:rsidRPr="00C2517C" w:rsidTr="00532AEC">
        <w:trPr>
          <w:trHeight w:val="227"/>
          <w:jc w:val="center"/>
        </w:trPr>
        <w:tc>
          <w:tcPr>
            <w:tcW w:w="5000" w:type="pct"/>
            <w:gridSpan w:val="13"/>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E16AB" w:rsidRPr="00C2517C" w:rsidTr="00532AEC">
        <w:trPr>
          <w:trHeight w:val="227"/>
          <w:jc w:val="center"/>
        </w:trPr>
        <w:tc>
          <w:tcPr>
            <w:tcW w:w="282" w:type="pct"/>
            <w:gridSpan w:val="2"/>
            <w:vAlign w:val="center"/>
          </w:tcPr>
          <w:p w:rsidR="006E16AB" w:rsidRPr="00C2517C" w:rsidRDefault="006E16AB" w:rsidP="00E917D5">
            <w:pPr>
              <w:spacing w:after="60"/>
              <w:rPr>
                <w:sz w:val="22"/>
                <w:szCs w:val="22"/>
                <w:lang w:val="en-US"/>
              </w:rPr>
            </w:pPr>
            <w:r w:rsidRPr="00C2517C">
              <w:rPr>
                <w:sz w:val="22"/>
                <w:szCs w:val="22"/>
                <w:lang w:val="en-US"/>
              </w:rPr>
              <w:t>No.</w:t>
            </w:r>
          </w:p>
        </w:tc>
        <w:tc>
          <w:tcPr>
            <w:tcW w:w="2185"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78" w:type="pct"/>
            <w:gridSpan w:val="3"/>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601"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1254" w:type="pct"/>
            <w:gridSpan w:val="3"/>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6E16AB" w:rsidRPr="00C2517C" w:rsidTr="00532AEC">
        <w:trPr>
          <w:trHeight w:val="227"/>
          <w:jc w:val="center"/>
        </w:trPr>
        <w:tc>
          <w:tcPr>
            <w:tcW w:w="282" w:type="pct"/>
            <w:gridSpan w:val="2"/>
            <w:vAlign w:val="center"/>
          </w:tcPr>
          <w:p w:rsidR="006E16AB" w:rsidRPr="00C2517C" w:rsidRDefault="00EC7BDC" w:rsidP="00E917D5">
            <w:pPr>
              <w:spacing w:after="60"/>
              <w:rPr>
                <w:sz w:val="22"/>
                <w:szCs w:val="22"/>
                <w:lang w:val="en-US"/>
              </w:rPr>
            </w:pPr>
            <w:r>
              <w:rPr>
                <w:sz w:val="22"/>
                <w:szCs w:val="22"/>
                <w:lang w:val="en-US"/>
              </w:rPr>
              <w:t>1.</w:t>
            </w:r>
          </w:p>
        </w:tc>
        <w:tc>
          <w:tcPr>
            <w:tcW w:w="2185" w:type="pct"/>
            <w:gridSpan w:val="3"/>
            <w:vAlign w:val="center"/>
          </w:tcPr>
          <w:p w:rsidR="006E16AB" w:rsidRPr="00C2517C" w:rsidRDefault="00532AEC" w:rsidP="00E917D5">
            <w:pPr>
              <w:spacing w:after="60"/>
              <w:rPr>
                <w:sz w:val="22"/>
                <w:szCs w:val="22"/>
                <w:lang w:val="en-US"/>
              </w:rPr>
            </w:pPr>
            <w:r>
              <w:rPr>
                <w:sz w:val="22"/>
                <w:szCs w:val="22"/>
                <w:lang w:val="en-US"/>
              </w:rPr>
              <w:t xml:space="preserve">Diversity, distribution , microhabitat differentiation and community structure of bryophytes of </w:t>
            </w:r>
            <w:proofErr w:type="spellStart"/>
            <w:r>
              <w:rPr>
                <w:sz w:val="22"/>
                <w:szCs w:val="22"/>
                <w:lang w:val="en-US"/>
              </w:rPr>
              <w:t>Fruška</w:t>
            </w:r>
            <w:proofErr w:type="spellEnd"/>
            <w:r>
              <w:rPr>
                <w:sz w:val="22"/>
                <w:szCs w:val="22"/>
                <w:lang w:val="en-US"/>
              </w:rPr>
              <w:t xml:space="preserve"> Gora mountain</w:t>
            </w:r>
          </w:p>
        </w:tc>
        <w:tc>
          <w:tcPr>
            <w:tcW w:w="678" w:type="pct"/>
            <w:gridSpan w:val="3"/>
            <w:vAlign w:val="center"/>
          </w:tcPr>
          <w:p w:rsidR="006E16AB" w:rsidRPr="00C2517C" w:rsidRDefault="00EC7BDC" w:rsidP="00E917D5">
            <w:pPr>
              <w:spacing w:after="60"/>
              <w:rPr>
                <w:sz w:val="22"/>
                <w:szCs w:val="22"/>
                <w:lang w:val="en-US"/>
              </w:rPr>
            </w:pPr>
            <w:proofErr w:type="spellStart"/>
            <w:r>
              <w:rPr>
                <w:sz w:val="22"/>
                <w:szCs w:val="22"/>
                <w:lang w:val="en-US"/>
              </w:rPr>
              <w:t>Miloš</w:t>
            </w:r>
            <w:proofErr w:type="spellEnd"/>
            <w:r>
              <w:rPr>
                <w:sz w:val="22"/>
                <w:szCs w:val="22"/>
                <w:lang w:val="en-US"/>
              </w:rPr>
              <w:t xml:space="preserve"> </w:t>
            </w:r>
            <w:proofErr w:type="spellStart"/>
            <w:r>
              <w:rPr>
                <w:sz w:val="22"/>
                <w:szCs w:val="22"/>
                <w:lang w:val="en-US"/>
              </w:rPr>
              <w:t>Ilić</w:t>
            </w:r>
            <w:proofErr w:type="spellEnd"/>
          </w:p>
        </w:tc>
        <w:tc>
          <w:tcPr>
            <w:tcW w:w="601" w:type="pct"/>
            <w:gridSpan w:val="2"/>
            <w:vAlign w:val="center"/>
          </w:tcPr>
          <w:p w:rsidR="006E16AB" w:rsidRPr="00C2517C" w:rsidRDefault="006E16AB" w:rsidP="00E917D5">
            <w:pPr>
              <w:spacing w:after="60"/>
              <w:rPr>
                <w:sz w:val="22"/>
                <w:szCs w:val="22"/>
                <w:lang w:val="en-US"/>
              </w:rPr>
            </w:pPr>
          </w:p>
        </w:tc>
        <w:tc>
          <w:tcPr>
            <w:tcW w:w="1254" w:type="pct"/>
            <w:gridSpan w:val="3"/>
            <w:vAlign w:val="center"/>
          </w:tcPr>
          <w:p w:rsidR="006E16AB" w:rsidRPr="00C2517C" w:rsidRDefault="00EC7BDC" w:rsidP="00E917D5">
            <w:pPr>
              <w:spacing w:after="60"/>
              <w:rPr>
                <w:sz w:val="22"/>
                <w:szCs w:val="22"/>
                <w:lang w:val="en-US"/>
              </w:rPr>
            </w:pPr>
            <w:r>
              <w:rPr>
                <w:sz w:val="22"/>
                <w:szCs w:val="22"/>
                <w:lang w:val="en-US"/>
              </w:rPr>
              <w:t>2019</w:t>
            </w:r>
          </w:p>
        </w:tc>
      </w:tr>
      <w:tr w:rsidR="006E16AB" w:rsidRPr="00C2517C" w:rsidTr="00532AEC">
        <w:trPr>
          <w:trHeight w:val="227"/>
          <w:jc w:val="center"/>
        </w:trPr>
        <w:tc>
          <w:tcPr>
            <w:tcW w:w="282" w:type="pct"/>
            <w:gridSpan w:val="2"/>
            <w:vAlign w:val="center"/>
          </w:tcPr>
          <w:p w:rsidR="006E16AB" w:rsidRPr="00C2517C" w:rsidRDefault="00EC7BDC" w:rsidP="00E917D5">
            <w:pPr>
              <w:spacing w:after="60"/>
              <w:rPr>
                <w:sz w:val="22"/>
                <w:szCs w:val="22"/>
                <w:lang w:val="en-US"/>
              </w:rPr>
            </w:pPr>
            <w:r>
              <w:rPr>
                <w:sz w:val="22"/>
                <w:szCs w:val="22"/>
                <w:lang w:val="en-US"/>
              </w:rPr>
              <w:t>2.</w:t>
            </w:r>
          </w:p>
        </w:tc>
        <w:tc>
          <w:tcPr>
            <w:tcW w:w="2185" w:type="pct"/>
            <w:gridSpan w:val="3"/>
            <w:vAlign w:val="center"/>
          </w:tcPr>
          <w:p w:rsidR="006E16AB" w:rsidRPr="00C2517C" w:rsidRDefault="00532AEC" w:rsidP="00E917D5">
            <w:pPr>
              <w:spacing w:after="60"/>
              <w:rPr>
                <w:sz w:val="22"/>
                <w:szCs w:val="22"/>
                <w:lang w:val="en-US"/>
              </w:rPr>
            </w:pPr>
            <w:r>
              <w:rPr>
                <w:sz w:val="22"/>
                <w:szCs w:val="22"/>
                <w:lang w:val="en-US"/>
              </w:rPr>
              <w:t xml:space="preserve">Status and temporal dynamics of the flora and vegetation of the </w:t>
            </w:r>
            <w:proofErr w:type="spellStart"/>
            <w:r>
              <w:rPr>
                <w:sz w:val="22"/>
                <w:szCs w:val="22"/>
                <w:lang w:val="en-US"/>
              </w:rPr>
              <w:t>Deliblato</w:t>
            </w:r>
            <w:proofErr w:type="spellEnd"/>
            <w:r>
              <w:rPr>
                <w:sz w:val="22"/>
                <w:szCs w:val="22"/>
                <w:lang w:val="en-US"/>
              </w:rPr>
              <w:t xml:space="preserve"> sands</w:t>
            </w:r>
          </w:p>
        </w:tc>
        <w:tc>
          <w:tcPr>
            <w:tcW w:w="678" w:type="pct"/>
            <w:gridSpan w:val="3"/>
            <w:vAlign w:val="center"/>
          </w:tcPr>
          <w:p w:rsidR="006E16AB" w:rsidRPr="00C2517C" w:rsidRDefault="00EC7BDC" w:rsidP="00E917D5">
            <w:pPr>
              <w:spacing w:after="60"/>
              <w:rPr>
                <w:sz w:val="22"/>
                <w:szCs w:val="22"/>
                <w:lang w:val="en-US"/>
              </w:rPr>
            </w:pPr>
            <w:proofErr w:type="spellStart"/>
            <w:r>
              <w:rPr>
                <w:sz w:val="22"/>
                <w:szCs w:val="22"/>
                <w:lang w:val="en-US"/>
              </w:rPr>
              <w:t>Mirjana</w:t>
            </w:r>
            <w:proofErr w:type="spellEnd"/>
            <w:r>
              <w:rPr>
                <w:sz w:val="22"/>
                <w:szCs w:val="22"/>
                <w:lang w:val="en-US"/>
              </w:rPr>
              <w:t xml:space="preserve"> </w:t>
            </w:r>
            <w:proofErr w:type="spellStart"/>
            <w:r>
              <w:rPr>
                <w:sz w:val="22"/>
                <w:szCs w:val="22"/>
                <w:lang w:val="en-US"/>
              </w:rPr>
              <w:t>Ćuk</w:t>
            </w:r>
            <w:proofErr w:type="spellEnd"/>
          </w:p>
        </w:tc>
        <w:tc>
          <w:tcPr>
            <w:tcW w:w="601" w:type="pct"/>
            <w:gridSpan w:val="2"/>
            <w:vAlign w:val="center"/>
          </w:tcPr>
          <w:p w:rsidR="006E16AB" w:rsidRPr="00C2517C" w:rsidRDefault="006E16AB" w:rsidP="00E917D5">
            <w:pPr>
              <w:spacing w:after="60"/>
              <w:rPr>
                <w:sz w:val="22"/>
                <w:szCs w:val="22"/>
                <w:lang w:val="en-US"/>
              </w:rPr>
            </w:pPr>
          </w:p>
        </w:tc>
        <w:tc>
          <w:tcPr>
            <w:tcW w:w="1254" w:type="pct"/>
            <w:gridSpan w:val="3"/>
            <w:vAlign w:val="center"/>
          </w:tcPr>
          <w:p w:rsidR="006E16AB" w:rsidRPr="00C2517C" w:rsidRDefault="00EC7BDC" w:rsidP="00E917D5">
            <w:pPr>
              <w:spacing w:after="60"/>
              <w:rPr>
                <w:sz w:val="22"/>
                <w:szCs w:val="22"/>
                <w:lang w:val="en-US"/>
              </w:rPr>
            </w:pPr>
            <w:r>
              <w:rPr>
                <w:sz w:val="22"/>
                <w:szCs w:val="22"/>
                <w:lang w:val="en-US"/>
              </w:rPr>
              <w:t>2019</w:t>
            </w:r>
          </w:p>
        </w:tc>
      </w:tr>
      <w:tr w:rsidR="006E16AB" w:rsidRPr="00C2517C" w:rsidTr="00532AEC">
        <w:trPr>
          <w:trHeight w:val="227"/>
          <w:jc w:val="center"/>
        </w:trPr>
        <w:tc>
          <w:tcPr>
            <w:tcW w:w="5000" w:type="pct"/>
            <w:gridSpan w:val="13"/>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532AEC">
        <w:trPr>
          <w:trHeight w:val="227"/>
          <w:jc w:val="center"/>
        </w:trPr>
        <w:tc>
          <w:tcPr>
            <w:tcW w:w="5000" w:type="pct"/>
            <w:gridSpan w:val="13"/>
            <w:vAlign w:val="center"/>
          </w:tcPr>
          <w:p w:rsidR="006E16AB" w:rsidRPr="00C2517C" w:rsidRDefault="006E16AB" w:rsidP="00EC7BDC">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1.</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 xml:space="preserve">Živković, M.M., Anđelković, A.A., Cvijanović, D.L., Novković, M.Z., Vukov, D.M., Šipoš, Š.Š., Ilić, M.M., Pankov, N.P., Miljanović, B.M., Marisavljević, D.P., Pavlović, D.M., Radulović, S.B.; The beginnings of </w:t>
            </w:r>
            <w:r w:rsidRPr="00690A2C">
              <w:rPr>
                <w:i/>
                <w:color w:val="000000"/>
                <w:sz w:val="18"/>
                <w:szCs w:val="18"/>
              </w:rPr>
              <w:t>Pistia stratiotes</w:t>
            </w:r>
            <w:r w:rsidRPr="00690A2C">
              <w:rPr>
                <w:color w:val="000000"/>
                <w:sz w:val="18"/>
                <w:szCs w:val="18"/>
              </w:rPr>
              <w:t xml:space="preserve"> L. Invasion in the lower danube delta: The first record for the Province of Vojvodina (Serbia) (2019) BioInvasions Records, 8 (2), pp. 218-229.</w:t>
            </w:r>
          </w:p>
        </w:tc>
        <w:tc>
          <w:tcPr>
            <w:tcW w:w="590" w:type="pct"/>
            <w:vAlign w:val="center"/>
          </w:tcPr>
          <w:p w:rsidR="00532AEC" w:rsidRPr="00C2517C" w:rsidRDefault="00532AEC" w:rsidP="00532AEC">
            <w:pPr>
              <w:rPr>
                <w:sz w:val="22"/>
                <w:szCs w:val="22"/>
                <w:lang w:val="en-US"/>
              </w:rPr>
            </w:pPr>
            <w:r>
              <w:rPr>
                <w:sz w:val="22"/>
                <w:szCs w:val="22"/>
                <w:lang w:val="en-US"/>
              </w:rPr>
              <w:t>M22</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2.</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Damnjanović, B., Novković, M., Vesić, A., Živković, M., Radulović, S., Vukov, D., Anđelković, A., Cvijanović, D.; Biodiversity-friendly designs for gravel pit lakes along the Drina River floodplain (the Middle Danube Basin, Serbia) (2019) Wetlands Ecology and Management, 27 (1)</w:t>
            </w:r>
          </w:p>
        </w:tc>
        <w:tc>
          <w:tcPr>
            <w:tcW w:w="590" w:type="pct"/>
            <w:vAlign w:val="center"/>
          </w:tcPr>
          <w:p w:rsidR="00532AEC" w:rsidRPr="00C2517C" w:rsidRDefault="00532AEC" w:rsidP="00532AEC">
            <w:pPr>
              <w:rPr>
                <w:sz w:val="22"/>
                <w:szCs w:val="22"/>
                <w:lang w:val="en-US"/>
              </w:rPr>
            </w:pPr>
            <w:r>
              <w:rPr>
                <w:sz w:val="22"/>
                <w:szCs w:val="22"/>
                <w:lang w:val="en-US"/>
              </w:rPr>
              <w:t>M22</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3.</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 xml:space="preserve">Šegota, V., Zlatković, B., Vukov, D., Alegro, A., Koletić, N., Vuković, N., Rimac, A.; Status assessment of the rare aquatic plant </w:t>
            </w:r>
            <w:r w:rsidRPr="00690A2C">
              <w:rPr>
                <w:i/>
                <w:color w:val="000000"/>
                <w:sz w:val="18"/>
                <w:szCs w:val="18"/>
              </w:rPr>
              <w:t>Groenlandia densa</w:t>
            </w:r>
            <w:r w:rsidRPr="00690A2C">
              <w:rPr>
                <w:color w:val="000000"/>
                <w:sz w:val="18"/>
                <w:szCs w:val="18"/>
              </w:rPr>
              <w:t xml:space="preserve"> (L.) Fourr. (Potamogetonaceae) in the Western Balkans (2019) Botany Letters, 166 (2), pp. 125-133.</w:t>
            </w:r>
          </w:p>
        </w:tc>
        <w:tc>
          <w:tcPr>
            <w:tcW w:w="590" w:type="pct"/>
            <w:vAlign w:val="center"/>
          </w:tcPr>
          <w:p w:rsidR="00532AEC" w:rsidRPr="00C2517C" w:rsidRDefault="00532AEC" w:rsidP="00532AEC">
            <w:pPr>
              <w:rPr>
                <w:sz w:val="22"/>
                <w:szCs w:val="22"/>
                <w:lang w:val="en-US"/>
              </w:rPr>
            </w:pPr>
            <w:r>
              <w:rPr>
                <w:sz w:val="22"/>
                <w:szCs w:val="22"/>
                <w:lang w:val="en-US"/>
              </w:rPr>
              <w:t>M22</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4.</w:t>
            </w:r>
          </w:p>
        </w:tc>
        <w:tc>
          <w:tcPr>
            <w:tcW w:w="4161" w:type="pct"/>
            <w:gridSpan w:val="10"/>
            <w:shd w:val="clear" w:color="auto" w:fill="auto"/>
            <w:vAlign w:val="center"/>
          </w:tcPr>
          <w:p w:rsidR="00532AEC" w:rsidRPr="00690A2C" w:rsidRDefault="00532AEC" w:rsidP="00532AEC">
            <w:pPr>
              <w:rPr>
                <w:color w:val="000000"/>
                <w:sz w:val="18"/>
                <w:szCs w:val="18"/>
              </w:rPr>
            </w:pPr>
            <w:r w:rsidRPr="00690A2C">
              <w:rPr>
                <w:color w:val="000000"/>
                <w:sz w:val="18"/>
                <w:szCs w:val="18"/>
              </w:rPr>
              <w:t>Cvijanović, D., Lakušić, D., Živković, M., Novković, M., Anđelković, A., Pavlović, D., Vukov, D., Radulović, S. An overview of aquatic vegetation in Serbia (2018) TUEXENIA, 38, pp. 269-286.</w:t>
            </w:r>
          </w:p>
        </w:tc>
        <w:tc>
          <w:tcPr>
            <w:tcW w:w="590" w:type="pct"/>
            <w:vAlign w:val="center"/>
          </w:tcPr>
          <w:p w:rsidR="00532AEC" w:rsidRDefault="00532AEC" w:rsidP="00532AEC">
            <w:pPr>
              <w:rPr>
                <w:sz w:val="22"/>
                <w:szCs w:val="22"/>
                <w:lang w:val="en-US"/>
              </w:rPr>
            </w:pPr>
            <w:r>
              <w:rPr>
                <w:sz w:val="22"/>
                <w:szCs w:val="22"/>
                <w:lang w:val="en-US"/>
              </w:rPr>
              <w:t>M22</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5.</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Vukov, D., Ilić, M., Ćuk, M., Radulović, S., Igić, R., Janauer, G.A.; Combined effects of physical environmental conditions and anthropogenic alterations are associated with macrophyte habitat fragmentation in rivers - Study of the Danube in Serbia (2018) Science of the Total Environment, 634, pp. 780-790.</w:t>
            </w:r>
          </w:p>
        </w:tc>
        <w:tc>
          <w:tcPr>
            <w:tcW w:w="590" w:type="pct"/>
            <w:vAlign w:val="center"/>
          </w:tcPr>
          <w:p w:rsidR="00532AEC" w:rsidRPr="00C2517C" w:rsidRDefault="00532AEC" w:rsidP="00532AEC">
            <w:pPr>
              <w:rPr>
                <w:sz w:val="22"/>
                <w:szCs w:val="22"/>
                <w:lang w:val="en-US"/>
              </w:rPr>
            </w:pPr>
            <w:r>
              <w:rPr>
                <w:sz w:val="22"/>
                <w:szCs w:val="22"/>
                <w:lang w:val="en-US"/>
              </w:rPr>
              <w:t>M21</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6.</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Vukov, D., Ilić, M., Ćuk, M., Igić, R., Janauer, G.A.; The relationship between habitat factors and aquatic macrophyte assemblages in the Danube River in Serbia (2017) Archives of Biological Sciences, 69 (3), pp. 427-437.</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7.</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Anačkov, G.T., Rat, M.M., Radak, B.D., Igić, R.S., Vukov, D.M., Rućando, M.M., Krstivojević, M.M., Radulović, S.B., Cvijanović, D.L., Milić, D.M., Panjković, B.I., Szabados, K.L., Perić, R.D., Kiš, A.M., Stojšić, V.R., Boža, P.P.; Alien invasive neophytes of the Southeastern part of the Pannonian Plain (2013) Central European Journal of Biology, 8 (10), pp. 1032-1043.</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8.</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 xml:space="preserve">Vukov, D., Jurca, T., Rućando, M., Igić, R., Miljanović, B.; </w:t>
            </w:r>
            <w:r w:rsidRPr="00690A2C">
              <w:rPr>
                <w:i/>
                <w:color w:val="000000"/>
                <w:sz w:val="18"/>
                <w:szCs w:val="18"/>
              </w:rPr>
              <w:t>Cabomba caroliniana</w:t>
            </w:r>
            <w:r w:rsidRPr="00690A2C">
              <w:rPr>
                <w:color w:val="000000"/>
                <w:sz w:val="18"/>
                <w:szCs w:val="18"/>
              </w:rPr>
              <w:t xml:space="preserve"> A. Gray 1837 - A new, alien and potentially invasive species in Serbia (2013) Archives of Biological Sciences, 65 (4), pp. 1515-1520.</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9.</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Vukov, D., Igić, R., Rućando, M., Radulović, S.; Diversity of vascular hydrophytes in the Zasavica River (Serbia) - changes after thirteen years (2012) Archives of Biological Sciences, 64 (4), pp. 1607-1617.</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10.</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Vukov, D., Igić, R.; The aquatic plant species diversity in large river systems (2011) Species Diversity and Extinction, pp. 381-362.</w:t>
            </w:r>
          </w:p>
        </w:tc>
        <w:tc>
          <w:tcPr>
            <w:tcW w:w="590" w:type="pct"/>
            <w:vAlign w:val="center"/>
          </w:tcPr>
          <w:p w:rsidR="00532AEC" w:rsidRPr="00C2517C" w:rsidRDefault="00532AEC" w:rsidP="00532AEC">
            <w:pPr>
              <w:rPr>
                <w:sz w:val="22"/>
                <w:szCs w:val="22"/>
                <w:lang w:val="en-US"/>
              </w:rPr>
            </w:pPr>
            <w:r>
              <w:rPr>
                <w:sz w:val="22"/>
                <w:szCs w:val="22"/>
                <w:lang w:val="en-US"/>
              </w:rPr>
              <w:t>M14</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11.</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Radulović, S., Laketić, D., Vukov, D.; A riverside tale: Assessment of altered habitat effects on macrophyte assemblage on the river tamiš, Serbia (2010) Archives of Biological Sciences, 62 (4), pp. 1163-1174.</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sidRPr="00690A2C">
              <w:rPr>
                <w:sz w:val="18"/>
                <w:szCs w:val="18"/>
                <w:lang w:val="en-US"/>
              </w:rPr>
              <w:t>12.</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Pajević, S., Borišev, M., Rončević, S., Vukov, D., Igić, R.; Heavy metal accumulation of Danube river aquatic plants - Indication of chemical contamination (2008) Central European Journal of Biology, 3 (3), pp. 285-294.</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Pr="00690A2C" w:rsidRDefault="00532AEC" w:rsidP="00532AEC">
            <w:pPr>
              <w:rPr>
                <w:sz w:val="18"/>
                <w:szCs w:val="18"/>
                <w:lang w:val="en-US"/>
              </w:rPr>
            </w:pPr>
            <w:r>
              <w:rPr>
                <w:sz w:val="18"/>
                <w:szCs w:val="18"/>
                <w:lang w:val="en-US"/>
              </w:rPr>
              <w:lastRenderedPageBreak/>
              <w:t>13.</w:t>
            </w:r>
          </w:p>
        </w:tc>
        <w:tc>
          <w:tcPr>
            <w:tcW w:w="4161" w:type="pct"/>
            <w:gridSpan w:val="10"/>
            <w:shd w:val="clear" w:color="auto" w:fill="auto"/>
            <w:vAlign w:val="center"/>
          </w:tcPr>
          <w:p w:rsidR="00532AEC" w:rsidRPr="00690A2C" w:rsidRDefault="00532AEC" w:rsidP="00532AEC">
            <w:pPr>
              <w:rPr>
                <w:sz w:val="18"/>
                <w:szCs w:val="18"/>
                <w:lang w:val="en-US"/>
              </w:rPr>
            </w:pPr>
            <w:r w:rsidRPr="00690A2C">
              <w:rPr>
                <w:color w:val="000000"/>
                <w:sz w:val="18"/>
                <w:szCs w:val="18"/>
              </w:rPr>
              <w:t>Vukov, D., Boža, P., Igić, R., Anačkov, G.; The distribution and the abundance of hydrophytes along the Danube River in Serbia (2008) Central European Journal of Biology, 3 (2), pp. 177-187.</w:t>
            </w:r>
          </w:p>
        </w:tc>
        <w:tc>
          <w:tcPr>
            <w:tcW w:w="590" w:type="pct"/>
            <w:vAlign w:val="center"/>
          </w:tcPr>
          <w:p w:rsidR="00532AEC" w:rsidRPr="00C2517C" w:rsidRDefault="00532AEC"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Default="00532AEC" w:rsidP="00532AEC">
            <w:pPr>
              <w:rPr>
                <w:sz w:val="18"/>
                <w:szCs w:val="18"/>
                <w:lang w:val="en-US"/>
              </w:rPr>
            </w:pPr>
            <w:r>
              <w:rPr>
                <w:sz w:val="18"/>
                <w:szCs w:val="18"/>
                <w:lang w:val="en-US"/>
              </w:rPr>
              <w:t>14.</w:t>
            </w:r>
          </w:p>
        </w:tc>
        <w:tc>
          <w:tcPr>
            <w:tcW w:w="4161" w:type="pct"/>
            <w:gridSpan w:val="10"/>
            <w:shd w:val="clear" w:color="auto" w:fill="auto"/>
            <w:vAlign w:val="center"/>
          </w:tcPr>
          <w:p w:rsidR="00532AEC" w:rsidRPr="00690A2C" w:rsidRDefault="00A6676B" w:rsidP="00A6676B">
            <w:pPr>
              <w:rPr>
                <w:color w:val="000000"/>
                <w:sz w:val="18"/>
                <w:szCs w:val="18"/>
              </w:rPr>
            </w:pPr>
            <w:r>
              <w:rPr>
                <w:color w:val="000000"/>
                <w:sz w:val="18"/>
                <w:szCs w:val="18"/>
              </w:rPr>
              <w:t>Ilić,</w:t>
            </w:r>
            <w:r w:rsidR="00532AEC" w:rsidRPr="00532AEC">
              <w:rPr>
                <w:color w:val="000000"/>
                <w:sz w:val="18"/>
                <w:szCs w:val="18"/>
              </w:rPr>
              <w:t xml:space="preserve"> M</w:t>
            </w:r>
            <w:r>
              <w:rPr>
                <w:color w:val="000000"/>
                <w:sz w:val="18"/>
                <w:szCs w:val="18"/>
              </w:rPr>
              <w:t>.</w:t>
            </w:r>
            <w:r w:rsidR="00532AEC" w:rsidRPr="00532AEC">
              <w:rPr>
                <w:color w:val="000000"/>
                <w:sz w:val="18"/>
                <w:szCs w:val="18"/>
              </w:rPr>
              <w:t>,</w:t>
            </w:r>
            <w:r>
              <w:rPr>
                <w:color w:val="000000"/>
                <w:sz w:val="18"/>
                <w:szCs w:val="18"/>
              </w:rPr>
              <w:t xml:space="preserve"> Igić,</w:t>
            </w:r>
            <w:r w:rsidR="00532AEC" w:rsidRPr="00532AEC">
              <w:rPr>
                <w:color w:val="000000"/>
                <w:sz w:val="18"/>
                <w:szCs w:val="18"/>
              </w:rPr>
              <w:t xml:space="preserve"> R</w:t>
            </w:r>
            <w:r>
              <w:rPr>
                <w:color w:val="000000"/>
                <w:sz w:val="18"/>
                <w:szCs w:val="18"/>
              </w:rPr>
              <w:t>.</w:t>
            </w:r>
            <w:r w:rsidR="00532AEC" w:rsidRPr="00532AEC">
              <w:rPr>
                <w:color w:val="000000"/>
                <w:sz w:val="18"/>
                <w:szCs w:val="18"/>
              </w:rPr>
              <w:t>,</w:t>
            </w:r>
            <w:r>
              <w:rPr>
                <w:color w:val="000000"/>
                <w:sz w:val="18"/>
                <w:szCs w:val="18"/>
              </w:rPr>
              <w:t xml:space="preserve"> Ć</w:t>
            </w:r>
            <w:r w:rsidR="00532AEC" w:rsidRPr="00532AEC">
              <w:rPr>
                <w:color w:val="000000"/>
                <w:sz w:val="18"/>
                <w:szCs w:val="18"/>
              </w:rPr>
              <w:t>uk</w:t>
            </w:r>
            <w:r>
              <w:rPr>
                <w:color w:val="000000"/>
                <w:sz w:val="18"/>
                <w:szCs w:val="18"/>
              </w:rPr>
              <w:t>,</w:t>
            </w:r>
            <w:r w:rsidR="00532AEC" w:rsidRPr="00532AEC">
              <w:rPr>
                <w:color w:val="000000"/>
                <w:sz w:val="18"/>
                <w:szCs w:val="18"/>
              </w:rPr>
              <w:t xml:space="preserve"> M</w:t>
            </w:r>
            <w:r>
              <w:rPr>
                <w:color w:val="000000"/>
                <w:sz w:val="18"/>
                <w:szCs w:val="18"/>
              </w:rPr>
              <w:t>.</w:t>
            </w:r>
            <w:r w:rsidR="00532AEC" w:rsidRPr="00532AEC">
              <w:rPr>
                <w:color w:val="000000"/>
                <w:sz w:val="18"/>
                <w:szCs w:val="18"/>
              </w:rPr>
              <w:t>,Vukov</w:t>
            </w:r>
            <w:r>
              <w:rPr>
                <w:color w:val="000000"/>
                <w:sz w:val="18"/>
                <w:szCs w:val="18"/>
              </w:rPr>
              <w:t>,</w:t>
            </w:r>
            <w:r w:rsidR="00532AEC" w:rsidRPr="00532AEC">
              <w:rPr>
                <w:color w:val="000000"/>
                <w:sz w:val="18"/>
                <w:szCs w:val="18"/>
              </w:rPr>
              <w:t xml:space="preserve"> D</w:t>
            </w:r>
            <w:r>
              <w:rPr>
                <w:color w:val="000000"/>
                <w:sz w:val="18"/>
                <w:szCs w:val="18"/>
              </w:rPr>
              <w:t>.</w:t>
            </w:r>
            <w:r w:rsidR="00532AEC" w:rsidRPr="00532AEC">
              <w:rPr>
                <w:color w:val="000000"/>
                <w:sz w:val="18"/>
                <w:szCs w:val="18"/>
              </w:rPr>
              <w:t xml:space="preserve"> Field sampling methods for investigating forest-floor bryophytes: Microcoenose vs. random sampling, </w:t>
            </w:r>
            <w:r w:rsidRPr="00532AEC">
              <w:rPr>
                <w:color w:val="000000"/>
                <w:sz w:val="18"/>
                <w:szCs w:val="18"/>
              </w:rPr>
              <w:t xml:space="preserve">(2018) </w:t>
            </w:r>
            <w:r w:rsidR="00532AEC" w:rsidRPr="00532AEC">
              <w:rPr>
                <w:color w:val="000000"/>
                <w:sz w:val="18"/>
                <w:szCs w:val="18"/>
              </w:rPr>
              <w:t>A</w:t>
            </w:r>
            <w:r w:rsidRPr="00532AEC">
              <w:rPr>
                <w:color w:val="000000"/>
                <w:sz w:val="18"/>
                <w:szCs w:val="18"/>
              </w:rPr>
              <w:t>rchives of</w:t>
            </w:r>
            <w:r w:rsidR="00532AEC" w:rsidRPr="00532AEC">
              <w:rPr>
                <w:color w:val="000000"/>
                <w:sz w:val="18"/>
                <w:szCs w:val="18"/>
              </w:rPr>
              <w:t xml:space="preserve"> B</w:t>
            </w:r>
            <w:r w:rsidRPr="00532AEC">
              <w:rPr>
                <w:color w:val="000000"/>
                <w:sz w:val="18"/>
                <w:szCs w:val="18"/>
              </w:rPr>
              <w:t>iological</w:t>
            </w:r>
            <w:r w:rsidR="00532AEC" w:rsidRPr="00532AEC">
              <w:rPr>
                <w:color w:val="000000"/>
                <w:sz w:val="18"/>
                <w:szCs w:val="18"/>
              </w:rPr>
              <w:t xml:space="preserve"> S</w:t>
            </w:r>
            <w:r w:rsidRPr="00532AEC">
              <w:rPr>
                <w:color w:val="000000"/>
                <w:sz w:val="18"/>
                <w:szCs w:val="18"/>
              </w:rPr>
              <w:t>ciences</w:t>
            </w:r>
            <w:r w:rsidR="00532AEC" w:rsidRPr="00532AEC">
              <w:rPr>
                <w:color w:val="000000"/>
                <w:sz w:val="18"/>
                <w:szCs w:val="18"/>
              </w:rPr>
              <w:t>, vol. 70, br. 3, str. 589-598</w:t>
            </w:r>
            <w:r>
              <w:rPr>
                <w:color w:val="000000"/>
                <w:sz w:val="18"/>
                <w:szCs w:val="18"/>
              </w:rPr>
              <w:t>.</w:t>
            </w:r>
          </w:p>
        </w:tc>
        <w:tc>
          <w:tcPr>
            <w:tcW w:w="590" w:type="pct"/>
            <w:vAlign w:val="center"/>
          </w:tcPr>
          <w:p w:rsidR="00532AEC" w:rsidRDefault="00A6676B" w:rsidP="00532AEC">
            <w:pPr>
              <w:rPr>
                <w:sz w:val="22"/>
                <w:szCs w:val="22"/>
                <w:lang w:val="en-US"/>
              </w:rPr>
            </w:pPr>
            <w:r>
              <w:rPr>
                <w:sz w:val="22"/>
                <w:szCs w:val="22"/>
                <w:lang w:val="en-US"/>
              </w:rPr>
              <w:t>M23</w:t>
            </w:r>
          </w:p>
        </w:tc>
      </w:tr>
      <w:tr w:rsidR="00532AEC" w:rsidRPr="00C2517C" w:rsidTr="00532AEC">
        <w:trPr>
          <w:gridAfter w:val="1"/>
          <w:wAfter w:w="4" w:type="pct"/>
          <w:trHeight w:val="227"/>
          <w:jc w:val="center"/>
        </w:trPr>
        <w:tc>
          <w:tcPr>
            <w:tcW w:w="245" w:type="pct"/>
            <w:vAlign w:val="center"/>
          </w:tcPr>
          <w:p w:rsidR="00532AEC" w:rsidRDefault="00532AEC" w:rsidP="00532AEC">
            <w:pPr>
              <w:rPr>
                <w:sz w:val="18"/>
                <w:szCs w:val="18"/>
                <w:lang w:val="en-US"/>
              </w:rPr>
            </w:pPr>
            <w:r>
              <w:rPr>
                <w:sz w:val="18"/>
                <w:szCs w:val="18"/>
                <w:lang w:val="en-US"/>
              </w:rPr>
              <w:t>15.</w:t>
            </w:r>
          </w:p>
        </w:tc>
        <w:tc>
          <w:tcPr>
            <w:tcW w:w="4161" w:type="pct"/>
            <w:gridSpan w:val="10"/>
            <w:shd w:val="clear" w:color="auto" w:fill="auto"/>
            <w:vAlign w:val="center"/>
          </w:tcPr>
          <w:p w:rsidR="00532AEC" w:rsidRPr="00690A2C" w:rsidRDefault="00A6676B" w:rsidP="00981A4F">
            <w:pPr>
              <w:widowControl/>
              <w:autoSpaceDE/>
              <w:autoSpaceDN/>
              <w:adjustRightInd/>
              <w:spacing w:before="100" w:beforeAutospacing="1" w:after="100" w:afterAutospacing="1" w:line="209" w:lineRule="atLeast"/>
              <w:textAlignment w:val="baseline"/>
              <w:rPr>
                <w:color w:val="000000"/>
                <w:sz w:val="18"/>
                <w:szCs w:val="18"/>
              </w:rPr>
            </w:pPr>
            <w:r w:rsidRPr="00A6676B">
              <w:rPr>
                <w:color w:val="000000"/>
                <w:sz w:val="18"/>
                <w:szCs w:val="18"/>
              </w:rPr>
              <w:t xml:space="preserve">Ćuk, M., Ilić, M., Igić, R., Šikuljak, T., Vukov, D., Čarni, A. </w:t>
            </w:r>
            <w:r w:rsidRPr="00A6676B">
              <w:rPr>
                <w:color w:val="111111"/>
                <w:sz w:val="18"/>
                <w:szCs w:val="18"/>
              </w:rPr>
              <w:t xml:space="preserve">Classification and diversity of perennial sand-dune vegetation in Serbia (2019) </w:t>
            </w:r>
            <w:r w:rsidRPr="00A6676B">
              <w:rPr>
                <w:color w:val="000000"/>
                <w:sz w:val="18"/>
                <w:szCs w:val="18"/>
              </w:rPr>
              <w:t>Archives of Biological Sciences</w:t>
            </w:r>
            <w:r w:rsidRPr="00A6676B">
              <w:rPr>
                <w:color w:val="000000" w:themeColor="text1"/>
                <w:sz w:val="18"/>
                <w:szCs w:val="18"/>
              </w:rPr>
              <w:t xml:space="preserve">, </w:t>
            </w:r>
            <w:r w:rsidRPr="00A6676B">
              <w:rPr>
                <w:rFonts w:eastAsia="Times New Roman"/>
                <w:color w:val="000000" w:themeColor="text1"/>
                <w:sz w:val="18"/>
                <w:szCs w:val="18"/>
                <w:lang w:val="en-US" w:eastAsia="en-US"/>
              </w:rPr>
              <w:t>DOI: 10.2298/ABS190717047C</w:t>
            </w:r>
          </w:p>
        </w:tc>
        <w:tc>
          <w:tcPr>
            <w:tcW w:w="590" w:type="pct"/>
            <w:vAlign w:val="center"/>
          </w:tcPr>
          <w:p w:rsidR="00532AEC" w:rsidRDefault="00A6676B" w:rsidP="00532AEC">
            <w:pPr>
              <w:rPr>
                <w:sz w:val="22"/>
                <w:szCs w:val="22"/>
                <w:lang w:val="en-US"/>
              </w:rPr>
            </w:pPr>
            <w:r>
              <w:rPr>
                <w:sz w:val="22"/>
                <w:szCs w:val="22"/>
                <w:lang w:val="en-US"/>
              </w:rPr>
              <w:t>M23</w:t>
            </w:r>
          </w:p>
        </w:tc>
      </w:tr>
      <w:tr w:rsidR="006E16AB" w:rsidRPr="00C2517C" w:rsidTr="00532AEC">
        <w:trPr>
          <w:trHeight w:val="227"/>
          <w:jc w:val="center"/>
        </w:trPr>
        <w:tc>
          <w:tcPr>
            <w:tcW w:w="5000" w:type="pct"/>
            <w:gridSpan w:val="13"/>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532AEC">
        <w:trPr>
          <w:trHeight w:val="227"/>
          <w:jc w:val="center"/>
        </w:trPr>
        <w:tc>
          <w:tcPr>
            <w:tcW w:w="2972" w:type="pct"/>
            <w:gridSpan w:val="6"/>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028" w:type="pct"/>
            <w:gridSpan w:val="7"/>
            <w:vAlign w:val="center"/>
          </w:tcPr>
          <w:p w:rsidR="006E16AB" w:rsidRPr="00981A4F" w:rsidRDefault="00532AEC" w:rsidP="00E917D5">
            <w:pPr>
              <w:spacing w:after="60"/>
              <w:rPr>
                <w:sz w:val="22"/>
                <w:szCs w:val="22"/>
                <w:lang w:val="en-US"/>
              </w:rPr>
            </w:pPr>
            <w:r w:rsidRPr="00981A4F">
              <w:rPr>
                <w:sz w:val="22"/>
                <w:szCs w:val="22"/>
                <w:lang w:val="en-US"/>
              </w:rPr>
              <w:t>95</w:t>
            </w:r>
          </w:p>
        </w:tc>
      </w:tr>
      <w:tr w:rsidR="006E16AB" w:rsidRPr="00C2517C" w:rsidTr="00532AEC">
        <w:trPr>
          <w:trHeight w:val="227"/>
          <w:jc w:val="center"/>
        </w:trPr>
        <w:tc>
          <w:tcPr>
            <w:tcW w:w="2972" w:type="pct"/>
            <w:gridSpan w:val="6"/>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028" w:type="pct"/>
            <w:gridSpan w:val="7"/>
            <w:vAlign w:val="center"/>
          </w:tcPr>
          <w:p w:rsidR="006E16AB" w:rsidRPr="00981A4F" w:rsidRDefault="00532AEC" w:rsidP="00E917D5">
            <w:pPr>
              <w:spacing w:after="60"/>
              <w:rPr>
                <w:sz w:val="22"/>
                <w:szCs w:val="22"/>
                <w:lang w:val="en-US"/>
              </w:rPr>
            </w:pPr>
            <w:r w:rsidRPr="00981A4F">
              <w:rPr>
                <w:sz w:val="22"/>
                <w:szCs w:val="22"/>
                <w:lang w:val="en-US"/>
              </w:rPr>
              <w:t>17</w:t>
            </w:r>
          </w:p>
        </w:tc>
      </w:tr>
      <w:tr w:rsidR="006E16AB" w:rsidRPr="00C2517C" w:rsidTr="00532AEC">
        <w:trPr>
          <w:trHeight w:val="227"/>
          <w:jc w:val="center"/>
        </w:trPr>
        <w:tc>
          <w:tcPr>
            <w:tcW w:w="2972" w:type="pct"/>
            <w:gridSpan w:val="6"/>
          </w:tcPr>
          <w:p w:rsidR="006E16AB" w:rsidRPr="00C2517C" w:rsidRDefault="006E16AB" w:rsidP="00E917D5">
            <w:pPr>
              <w:rPr>
                <w:sz w:val="22"/>
                <w:szCs w:val="22"/>
                <w:lang w:val="en-US"/>
              </w:rPr>
            </w:pPr>
            <w:r w:rsidRPr="00C2517C">
              <w:rPr>
                <w:sz w:val="22"/>
                <w:szCs w:val="22"/>
                <w:lang w:val="en-US"/>
              </w:rPr>
              <w:t>Current participation in projects</w:t>
            </w:r>
          </w:p>
        </w:tc>
        <w:tc>
          <w:tcPr>
            <w:tcW w:w="647" w:type="pct"/>
            <w:gridSpan w:val="3"/>
            <w:vAlign w:val="center"/>
          </w:tcPr>
          <w:p w:rsidR="006E16AB" w:rsidRPr="00C2517C" w:rsidRDefault="006E16AB" w:rsidP="00E917D5">
            <w:pPr>
              <w:spacing w:after="60"/>
              <w:rPr>
                <w:b/>
                <w:sz w:val="22"/>
                <w:szCs w:val="22"/>
                <w:lang w:val="en-US"/>
              </w:rPr>
            </w:pPr>
            <w:r w:rsidRPr="00C2517C">
              <w:rPr>
                <w:sz w:val="22"/>
                <w:szCs w:val="22"/>
                <w:lang w:val="en-US"/>
              </w:rPr>
              <w:t>Domestic</w:t>
            </w:r>
            <w:r w:rsidR="00981A4F">
              <w:rPr>
                <w:sz w:val="22"/>
                <w:szCs w:val="22"/>
                <w:lang w:val="en-US"/>
              </w:rPr>
              <w:t>:</w:t>
            </w:r>
            <w:r w:rsidRPr="00C2517C">
              <w:rPr>
                <w:sz w:val="22"/>
                <w:szCs w:val="22"/>
                <w:lang w:val="en-US"/>
              </w:rPr>
              <w:t xml:space="preserve"> </w:t>
            </w:r>
            <w:r w:rsidR="00532AEC">
              <w:rPr>
                <w:sz w:val="22"/>
                <w:szCs w:val="22"/>
                <w:lang w:val="en-US"/>
              </w:rPr>
              <w:t>1</w:t>
            </w:r>
          </w:p>
        </w:tc>
        <w:tc>
          <w:tcPr>
            <w:tcW w:w="1381" w:type="pct"/>
            <w:gridSpan w:val="4"/>
            <w:vAlign w:val="center"/>
          </w:tcPr>
          <w:p w:rsidR="006E16AB" w:rsidRPr="00C2517C" w:rsidRDefault="00981A4F" w:rsidP="00E917D5">
            <w:pPr>
              <w:spacing w:after="60"/>
              <w:rPr>
                <w:b/>
                <w:sz w:val="22"/>
                <w:szCs w:val="22"/>
                <w:lang w:val="en-US"/>
              </w:rPr>
            </w:pPr>
            <w:r>
              <w:rPr>
                <w:sz w:val="22"/>
                <w:szCs w:val="22"/>
                <w:lang w:val="en-US"/>
              </w:rPr>
              <w:t>I</w:t>
            </w:r>
            <w:r w:rsidR="006E16AB" w:rsidRPr="00C2517C">
              <w:rPr>
                <w:sz w:val="22"/>
                <w:szCs w:val="22"/>
                <w:lang w:val="en-US"/>
              </w:rPr>
              <w:t>nternational</w:t>
            </w:r>
            <w:r>
              <w:rPr>
                <w:sz w:val="22"/>
                <w:szCs w:val="22"/>
                <w:lang w:val="en-US"/>
              </w:rPr>
              <w:t>:</w:t>
            </w:r>
            <w:r w:rsidR="00532AEC">
              <w:rPr>
                <w:sz w:val="22"/>
                <w:szCs w:val="22"/>
                <w:lang w:val="en-US"/>
              </w:rPr>
              <w:t xml:space="preserve"> 1</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202" w:rsidRDefault="00151202" w:rsidP="00532AEC">
      <w:r>
        <w:separator/>
      </w:r>
    </w:p>
  </w:endnote>
  <w:endnote w:type="continuationSeparator" w:id="0">
    <w:p w:rsidR="00151202" w:rsidRDefault="00151202" w:rsidP="00532A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202" w:rsidRDefault="00151202" w:rsidP="00532AEC">
      <w:r>
        <w:separator/>
      </w:r>
    </w:p>
  </w:footnote>
  <w:footnote w:type="continuationSeparator" w:id="0">
    <w:p w:rsidR="00151202" w:rsidRDefault="00151202" w:rsidP="00532A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83A8A"/>
    <w:multiLevelType w:val="multilevel"/>
    <w:tmpl w:val="6AB2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6E16AB"/>
    <w:rsid w:val="00093584"/>
    <w:rsid w:val="00151202"/>
    <w:rsid w:val="00263162"/>
    <w:rsid w:val="0047415A"/>
    <w:rsid w:val="004C1A3C"/>
    <w:rsid w:val="004D2C20"/>
    <w:rsid w:val="00532AEC"/>
    <w:rsid w:val="006E16AB"/>
    <w:rsid w:val="00803F28"/>
    <w:rsid w:val="00860118"/>
    <w:rsid w:val="00880906"/>
    <w:rsid w:val="008C170D"/>
    <w:rsid w:val="0095547F"/>
    <w:rsid w:val="00981A4F"/>
    <w:rsid w:val="009B373F"/>
    <w:rsid w:val="00A6676B"/>
    <w:rsid w:val="00C32ABB"/>
    <w:rsid w:val="00CC6E3D"/>
    <w:rsid w:val="00D818F1"/>
    <w:rsid w:val="00DB38C4"/>
    <w:rsid w:val="00DE2FD4"/>
    <w:rsid w:val="00EA18D3"/>
    <w:rsid w:val="00EC7B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Header">
    <w:name w:val="header"/>
    <w:basedOn w:val="Normal"/>
    <w:link w:val="HeaderChar"/>
    <w:uiPriority w:val="99"/>
    <w:semiHidden/>
    <w:unhideWhenUsed/>
    <w:rsid w:val="00532AEC"/>
    <w:pPr>
      <w:tabs>
        <w:tab w:val="center" w:pos="4703"/>
        <w:tab w:val="right" w:pos="9406"/>
      </w:tabs>
    </w:pPr>
  </w:style>
  <w:style w:type="character" w:customStyle="1" w:styleId="HeaderChar">
    <w:name w:val="Header Char"/>
    <w:basedOn w:val="DefaultParagraphFont"/>
    <w:link w:val="Header"/>
    <w:uiPriority w:val="99"/>
    <w:semiHidden/>
    <w:rsid w:val="00532AEC"/>
    <w:rPr>
      <w:rFonts w:ascii="Times New Roman" w:eastAsia="Cambria" w:hAnsi="Times New Roman" w:cs="Times New Roman"/>
      <w:sz w:val="20"/>
      <w:szCs w:val="20"/>
      <w:lang w:val="sr-Latn-CS" w:eastAsia="sr-Latn-CS"/>
    </w:rPr>
  </w:style>
  <w:style w:type="paragraph" w:styleId="Footer">
    <w:name w:val="footer"/>
    <w:basedOn w:val="Normal"/>
    <w:link w:val="FooterChar"/>
    <w:uiPriority w:val="99"/>
    <w:semiHidden/>
    <w:unhideWhenUsed/>
    <w:rsid w:val="00532AEC"/>
    <w:pPr>
      <w:tabs>
        <w:tab w:val="center" w:pos="4703"/>
        <w:tab w:val="right" w:pos="9406"/>
      </w:tabs>
    </w:pPr>
  </w:style>
  <w:style w:type="character" w:customStyle="1" w:styleId="FooterChar">
    <w:name w:val="Footer Char"/>
    <w:basedOn w:val="DefaultParagraphFont"/>
    <w:link w:val="Footer"/>
    <w:uiPriority w:val="99"/>
    <w:semiHidden/>
    <w:rsid w:val="00532AEC"/>
    <w:rPr>
      <w:rFonts w:ascii="Times New Roman" w:eastAsia="Cambria" w:hAnsi="Times New Roman" w:cs="Times New Roman"/>
      <w:sz w:val="20"/>
      <w:szCs w:val="20"/>
      <w:lang w:val="sr-Latn-CS" w:eastAsia="sr-Latn-CS"/>
    </w:rPr>
  </w:style>
</w:styles>
</file>

<file path=word/webSettings.xml><?xml version="1.0" encoding="utf-8"?>
<w:webSettings xmlns:r="http://schemas.openxmlformats.org/officeDocument/2006/relationships" xmlns:w="http://schemas.openxmlformats.org/wordprocessingml/2006/main">
  <w:divs>
    <w:div w:id="73678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9009B8-EAE5-4715-8BC1-E082F9A26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5</cp:revision>
  <dcterms:created xsi:type="dcterms:W3CDTF">2019-09-20T15:21:00Z</dcterms:created>
  <dcterms:modified xsi:type="dcterms:W3CDTF">2020-02-04T10:51:00Z</dcterms:modified>
</cp:coreProperties>
</file>