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20"/>
        <w:gridCol w:w="33"/>
        <w:gridCol w:w="881"/>
        <w:gridCol w:w="714"/>
        <w:gridCol w:w="469"/>
        <w:gridCol w:w="1479"/>
        <w:gridCol w:w="647"/>
        <w:gridCol w:w="1603"/>
        <w:gridCol w:w="236"/>
        <w:gridCol w:w="1318"/>
        <w:gridCol w:w="485"/>
        <w:gridCol w:w="1191"/>
      </w:tblGrid>
      <w:tr w:rsidR="006D02F2" w:rsidRPr="00A22864" w:rsidTr="003751CB">
        <w:trPr>
          <w:trHeight w:val="229"/>
          <w:jc w:val="center"/>
        </w:trPr>
        <w:tc>
          <w:tcPr>
            <w:tcW w:w="1366" w:type="pct"/>
            <w:gridSpan w:val="5"/>
            <w:vAlign w:val="center"/>
          </w:tcPr>
          <w:p w:rsidR="006D02F2" w:rsidRPr="00C2517C" w:rsidRDefault="006D02F2" w:rsidP="00C23AC5">
            <w:pPr>
              <w:rPr>
                <w:sz w:val="22"/>
                <w:szCs w:val="22"/>
                <w:lang w:val="en-US"/>
              </w:rPr>
            </w:pPr>
            <w:r w:rsidRPr="00C2517C">
              <w:rPr>
                <w:b/>
                <w:sz w:val="22"/>
                <w:szCs w:val="22"/>
                <w:lang w:val="en-US"/>
              </w:rPr>
              <w:t>Name and family name</w:t>
            </w:r>
          </w:p>
        </w:tc>
        <w:tc>
          <w:tcPr>
            <w:tcW w:w="3634" w:type="pct"/>
            <w:gridSpan w:val="7"/>
            <w:vAlign w:val="center"/>
          </w:tcPr>
          <w:p w:rsidR="006D02F2" w:rsidRPr="00694E6E" w:rsidRDefault="00694E6E" w:rsidP="00274EFF">
            <w:pPr>
              <w:spacing w:after="60"/>
              <w:rPr>
                <w:b/>
              </w:rPr>
            </w:pPr>
            <w:r w:rsidRPr="00694E6E">
              <w:rPr>
                <w:b/>
              </w:rPr>
              <w:t xml:space="preserve">Vladislava </w:t>
            </w:r>
            <w:r w:rsidR="00E2245D" w:rsidRPr="00694E6E">
              <w:rPr>
                <w:b/>
              </w:rPr>
              <w:t>Galovi</w:t>
            </w:r>
            <w:r w:rsidRPr="00694E6E">
              <w:rPr>
                <w:b/>
              </w:rPr>
              <w:t>ć</w:t>
            </w:r>
          </w:p>
        </w:tc>
      </w:tr>
      <w:tr w:rsidR="006D02F2" w:rsidRPr="00A22864" w:rsidTr="003751CB">
        <w:trPr>
          <w:trHeight w:val="229"/>
          <w:jc w:val="center"/>
        </w:trPr>
        <w:tc>
          <w:tcPr>
            <w:tcW w:w="1366" w:type="pct"/>
            <w:gridSpan w:val="5"/>
            <w:vAlign w:val="center"/>
          </w:tcPr>
          <w:p w:rsidR="006D02F2" w:rsidRPr="00C2517C" w:rsidRDefault="006D02F2" w:rsidP="00C23AC5">
            <w:pPr>
              <w:rPr>
                <w:sz w:val="22"/>
                <w:szCs w:val="22"/>
                <w:lang w:val="en-US"/>
              </w:rPr>
            </w:pPr>
            <w:r w:rsidRPr="00C2517C">
              <w:rPr>
                <w:b/>
                <w:sz w:val="22"/>
                <w:szCs w:val="22"/>
                <w:lang w:val="en-US"/>
              </w:rPr>
              <w:t xml:space="preserve">Title </w:t>
            </w:r>
          </w:p>
        </w:tc>
        <w:tc>
          <w:tcPr>
            <w:tcW w:w="3634" w:type="pct"/>
            <w:gridSpan w:val="7"/>
          </w:tcPr>
          <w:p w:rsidR="006D02F2" w:rsidRPr="008E1183" w:rsidRDefault="00F5792B" w:rsidP="00C23AC5">
            <w:pPr>
              <w:rPr>
                <w:sz w:val="18"/>
                <w:szCs w:val="18"/>
                <w:lang w:val="sr-Cyrl-CS"/>
              </w:rPr>
            </w:pPr>
            <w:r>
              <w:t>Associate research professor</w:t>
            </w:r>
          </w:p>
        </w:tc>
      </w:tr>
      <w:tr w:rsidR="006D02F2" w:rsidRPr="00A22864" w:rsidTr="003751CB">
        <w:trPr>
          <w:trHeight w:val="229"/>
          <w:jc w:val="center"/>
        </w:trPr>
        <w:tc>
          <w:tcPr>
            <w:tcW w:w="1366" w:type="pct"/>
            <w:gridSpan w:val="5"/>
            <w:vAlign w:val="center"/>
          </w:tcPr>
          <w:p w:rsidR="006D02F2" w:rsidRPr="00C2517C" w:rsidRDefault="006D02F2" w:rsidP="00C23AC5">
            <w:pPr>
              <w:rPr>
                <w:sz w:val="22"/>
                <w:szCs w:val="22"/>
                <w:lang w:val="en-US"/>
              </w:rPr>
            </w:pPr>
            <w:r w:rsidRPr="00C2517C">
              <w:rPr>
                <w:b/>
                <w:sz w:val="22"/>
                <w:szCs w:val="22"/>
                <w:lang w:val="en-US"/>
              </w:rPr>
              <w:t>Narrow scientific area</w:t>
            </w:r>
          </w:p>
        </w:tc>
        <w:tc>
          <w:tcPr>
            <w:tcW w:w="3634" w:type="pct"/>
            <w:gridSpan w:val="7"/>
          </w:tcPr>
          <w:p w:rsidR="006D02F2" w:rsidRPr="008E1183" w:rsidRDefault="006D02F2" w:rsidP="00C23AC5">
            <w:pPr>
              <w:rPr>
                <w:sz w:val="18"/>
                <w:szCs w:val="18"/>
                <w:lang w:val="sr-Cyrl-CS"/>
              </w:rPr>
            </w:pPr>
            <w:r w:rsidRPr="008E1183">
              <w:rPr>
                <w:sz w:val="18"/>
                <w:szCs w:val="18"/>
              </w:rPr>
              <w:t>Molecular biology and biotechnology</w:t>
            </w:r>
          </w:p>
        </w:tc>
      </w:tr>
      <w:tr w:rsidR="006D02F2" w:rsidRPr="00A22864" w:rsidTr="003751CB">
        <w:trPr>
          <w:trHeight w:val="229"/>
          <w:jc w:val="center"/>
        </w:trPr>
        <w:tc>
          <w:tcPr>
            <w:tcW w:w="749" w:type="pct"/>
            <w:gridSpan w:val="3"/>
            <w:vAlign w:val="center"/>
          </w:tcPr>
          <w:p w:rsidR="006D02F2" w:rsidRPr="00C2517C" w:rsidRDefault="006D02F2" w:rsidP="00C23AC5">
            <w:pPr>
              <w:rPr>
                <w:sz w:val="22"/>
                <w:szCs w:val="22"/>
                <w:lang w:val="en-US"/>
              </w:rPr>
            </w:pPr>
            <w:r w:rsidRPr="00C2517C">
              <w:rPr>
                <w:b/>
                <w:sz w:val="22"/>
                <w:szCs w:val="22"/>
                <w:lang w:val="en-US"/>
              </w:rPr>
              <w:t>Academic career</w:t>
            </w:r>
          </w:p>
        </w:tc>
        <w:tc>
          <w:tcPr>
            <w:tcW w:w="618" w:type="pct"/>
            <w:gridSpan w:val="2"/>
            <w:vAlign w:val="center"/>
          </w:tcPr>
          <w:p w:rsidR="006D02F2" w:rsidRPr="00AE3572" w:rsidRDefault="006D02F2" w:rsidP="00274EFF">
            <w:pPr>
              <w:spacing w:after="60"/>
              <w:rPr>
                <w:b/>
              </w:rPr>
            </w:pPr>
            <w:r w:rsidRPr="00AE3572">
              <w:rPr>
                <w:b/>
              </w:rPr>
              <w:t>Year</w:t>
            </w:r>
          </w:p>
        </w:tc>
        <w:tc>
          <w:tcPr>
            <w:tcW w:w="1947" w:type="pct"/>
            <w:gridSpan w:val="3"/>
            <w:vAlign w:val="center"/>
          </w:tcPr>
          <w:p w:rsidR="006D02F2" w:rsidRPr="00AE3572" w:rsidRDefault="006D02F2" w:rsidP="00274EFF">
            <w:pPr>
              <w:spacing w:after="60"/>
              <w:rPr>
                <w:b/>
              </w:rPr>
            </w:pPr>
            <w:r w:rsidRPr="00AE3572">
              <w:rPr>
                <w:b/>
              </w:rPr>
              <w:t>Institution</w:t>
            </w:r>
          </w:p>
        </w:tc>
        <w:tc>
          <w:tcPr>
            <w:tcW w:w="1687" w:type="pct"/>
            <w:gridSpan w:val="4"/>
            <w:vAlign w:val="center"/>
          </w:tcPr>
          <w:p w:rsidR="006D02F2" w:rsidRPr="00AE3572" w:rsidRDefault="006D02F2" w:rsidP="00274EFF">
            <w:pPr>
              <w:spacing w:after="60"/>
              <w:rPr>
                <w:b/>
                <w:lang w:val="sr-Cyrl-CS"/>
              </w:rPr>
            </w:pPr>
            <w:r w:rsidRPr="00AE3572">
              <w:rPr>
                <w:rStyle w:val="tlid-translation"/>
                <w:b/>
              </w:rPr>
              <w:t>Narrow scientific field</w:t>
            </w:r>
            <w:r w:rsidRPr="00AE3572">
              <w:rPr>
                <w:b/>
              </w:rPr>
              <w:t xml:space="preserve"> </w:t>
            </w:r>
            <w:r w:rsidRPr="00AE3572">
              <w:rPr>
                <w:rStyle w:val="tlid-translation"/>
                <w:b/>
              </w:rPr>
              <w:t>or art field</w:t>
            </w:r>
          </w:p>
        </w:tc>
      </w:tr>
      <w:tr w:rsidR="006D02F2" w:rsidRPr="00A22864" w:rsidTr="003751CB">
        <w:trPr>
          <w:trHeight w:val="229"/>
          <w:jc w:val="center"/>
        </w:trPr>
        <w:tc>
          <w:tcPr>
            <w:tcW w:w="749" w:type="pct"/>
            <w:gridSpan w:val="3"/>
            <w:vAlign w:val="center"/>
          </w:tcPr>
          <w:p w:rsidR="006D02F2" w:rsidRPr="00062CE6" w:rsidRDefault="006D02F2" w:rsidP="00C23AC5">
            <w:pPr>
              <w:rPr>
                <w:b/>
                <w:sz w:val="22"/>
                <w:szCs w:val="22"/>
                <w:lang w:val="en-US"/>
              </w:rPr>
            </w:pPr>
            <w:r w:rsidRPr="00062CE6">
              <w:rPr>
                <w:b/>
                <w:sz w:val="22"/>
                <w:szCs w:val="22"/>
                <w:lang w:val="en-US"/>
              </w:rPr>
              <w:t>Election to the title</w:t>
            </w:r>
          </w:p>
        </w:tc>
        <w:tc>
          <w:tcPr>
            <w:tcW w:w="618" w:type="pct"/>
            <w:gridSpan w:val="2"/>
          </w:tcPr>
          <w:p w:rsidR="006D02F2" w:rsidRPr="00A22864" w:rsidRDefault="006D02F2" w:rsidP="00FD7D70">
            <w:pPr>
              <w:spacing w:after="60"/>
              <w:rPr>
                <w:lang w:val="sr-Cyrl-CS"/>
              </w:rPr>
            </w:pPr>
            <w:r w:rsidRPr="00ED24AE">
              <w:t>2019</w:t>
            </w:r>
            <w:r>
              <w:t>.</w:t>
            </w:r>
          </w:p>
        </w:tc>
        <w:tc>
          <w:tcPr>
            <w:tcW w:w="1947" w:type="pct"/>
            <w:gridSpan w:val="3"/>
          </w:tcPr>
          <w:p w:rsidR="006D02F2" w:rsidRPr="00A22864" w:rsidRDefault="006D02F2" w:rsidP="00FD7D70">
            <w:pPr>
              <w:spacing w:after="60"/>
              <w:rPr>
                <w:lang w:val="sr-Cyrl-CS"/>
              </w:rPr>
            </w:pPr>
            <w:r w:rsidRPr="00FD7D70">
              <w:t xml:space="preserve">University of Belgrade, Faculty of Forestry </w:t>
            </w:r>
          </w:p>
        </w:tc>
        <w:tc>
          <w:tcPr>
            <w:tcW w:w="1687" w:type="pct"/>
            <w:gridSpan w:val="4"/>
          </w:tcPr>
          <w:p w:rsidR="006D02F2" w:rsidRPr="00A22864" w:rsidRDefault="006D02F2" w:rsidP="00FD7D70">
            <w:pPr>
              <w:spacing w:after="60"/>
              <w:rPr>
                <w:lang w:val="sr-Cyrl-CS"/>
              </w:rPr>
            </w:pPr>
            <w:r w:rsidRPr="00643EFB">
              <w:t>Molecular biology and biotechnology</w:t>
            </w:r>
          </w:p>
        </w:tc>
      </w:tr>
      <w:tr w:rsidR="006D02F2" w:rsidRPr="00A22864" w:rsidTr="003751CB">
        <w:trPr>
          <w:trHeight w:val="229"/>
          <w:jc w:val="center"/>
        </w:trPr>
        <w:tc>
          <w:tcPr>
            <w:tcW w:w="749" w:type="pct"/>
            <w:gridSpan w:val="3"/>
            <w:vAlign w:val="center"/>
          </w:tcPr>
          <w:p w:rsidR="006D02F2" w:rsidRPr="00062CE6" w:rsidRDefault="006D02F2" w:rsidP="00C23AC5">
            <w:pPr>
              <w:rPr>
                <w:b/>
                <w:sz w:val="22"/>
                <w:szCs w:val="22"/>
                <w:lang w:val="en-US"/>
              </w:rPr>
            </w:pPr>
            <w:r w:rsidRPr="00062CE6">
              <w:rPr>
                <w:b/>
                <w:sz w:val="22"/>
                <w:szCs w:val="22"/>
                <w:lang w:val="en-US"/>
              </w:rPr>
              <w:t>PhD</w:t>
            </w:r>
          </w:p>
        </w:tc>
        <w:tc>
          <w:tcPr>
            <w:tcW w:w="618" w:type="pct"/>
            <w:gridSpan w:val="2"/>
          </w:tcPr>
          <w:p w:rsidR="006D02F2" w:rsidRPr="00A22864" w:rsidRDefault="006D02F2" w:rsidP="00FD7D70">
            <w:pPr>
              <w:spacing w:after="60"/>
              <w:rPr>
                <w:lang w:val="sr-Cyrl-CS"/>
              </w:rPr>
            </w:pPr>
            <w:r w:rsidRPr="004E573B">
              <w:t>2006.</w:t>
            </w:r>
          </w:p>
        </w:tc>
        <w:tc>
          <w:tcPr>
            <w:tcW w:w="1947" w:type="pct"/>
            <w:gridSpan w:val="3"/>
          </w:tcPr>
          <w:p w:rsidR="006D02F2" w:rsidRPr="00A22864" w:rsidRDefault="006D02F2" w:rsidP="00FD7D70">
            <w:pPr>
              <w:spacing w:after="60"/>
              <w:rPr>
                <w:lang w:val="sr-Cyrl-CS"/>
              </w:rPr>
            </w:pPr>
            <w:r w:rsidRPr="00184E2D">
              <w:t>University of Belgrade, Faculty of Biology</w:t>
            </w:r>
          </w:p>
        </w:tc>
        <w:tc>
          <w:tcPr>
            <w:tcW w:w="1687" w:type="pct"/>
            <w:gridSpan w:val="4"/>
          </w:tcPr>
          <w:p w:rsidR="006D02F2" w:rsidRPr="00A22864" w:rsidRDefault="006D02F2" w:rsidP="00FD7D70">
            <w:pPr>
              <w:spacing w:after="60"/>
              <w:rPr>
                <w:lang w:val="sr-Cyrl-CS"/>
              </w:rPr>
            </w:pPr>
            <w:r w:rsidRPr="00643EFB">
              <w:t>Molecular biology and biotechnology</w:t>
            </w:r>
          </w:p>
        </w:tc>
      </w:tr>
      <w:tr w:rsidR="006D02F2" w:rsidRPr="00A22864" w:rsidTr="003751CB">
        <w:trPr>
          <w:trHeight w:val="229"/>
          <w:jc w:val="center"/>
        </w:trPr>
        <w:tc>
          <w:tcPr>
            <w:tcW w:w="749" w:type="pct"/>
            <w:gridSpan w:val="3"/>
            <w:vAlign w:val="center"/>
          </w:tcPr>
          <w:p w:rsidR="006D02F2" w:rsidRPr="00062CE6" w:rsidRDefault="006D02F2" w:rsidP="00C23AC5">
            <w:pPr>
              <w:rPr>
                <w:b/>
                <w:sz w:val="22"/>
                <w:szCs w:val="22"/>
                <w:lang w:val="en-US"/>
              </w:rPr>
            </w:pPr>
            <w:r w:rsidRPr="00062CE6">
              <w:rPr>
                <w:b/>
                <w:sz w:val="22"/>
                <w:szCs w:val="22"/>
                <w:lang w:val="en-US"/>
              </w:rPr>
              <w:t>Master degree</w:t>
            </w:r>
          </w:p>
        </w:tc>
        <w:tc>
          <w:tcPr>
            <w:tcW w:w="618" w:type="pct"/>
            <w:gridSpan w:val="2"/>
          </w:tcPr>
          <w:p w:rsidR="006D02F2" w:rsidRPr="00A22864" w:rsidRDefault="006D02F2" w:rsidP="00FD7D70">
            <w:pPr>
              <w:spacing w:after="60"/>
              <w:rPr>
                <w:lang w:val="sr-Cyrl-CS"/>
              </w:rPr>
            </w:pPr>
            <w:r w:rsidRPr="004E573B">
              <w:t>19</w:t>
            </w:r>
            <w:r>
              <w:t>9</w:t>
            </w:r>
            <w:r w:rsidRPr="004E573B">
              <w:t>6</w:t>
            </w:r>
            <w:r>
              <w:t>.</w:t>
            </w:r>
          </w:p>
        </w:tc>
        <w:tc>
          <w:tcPr>
            <w:tcW w:w="1947" w:type="pct"/>
            <w:gridSpan w:val="3"/>
          </w:tcPr>
          <w:p w:rsidR="006D02F2" w:rsidRPr="00A22864" w:rsidRDefault="006D02F2" w:rsidP="00FD7D70">
            <w:pPr>
              <w:spacing w:after="60"/>
              <w:rPr>
                <w:lang w:val="sr-Cyrl-CS"/>
              </w:rPr>
            </w:pPr>
            <w:r w:rsidRPr="00184E2D">
              <w:t>University of Novi Sad, Faculty of</w:t>
            </w:r>
            <w:r>
              <w:t xml:space="preserve"> </w:t>
            </w:r>
            <w:r w:rsidRPr="00184E2D">
              <w:t>Agriculture</w:t>
            </w:r>
          </w:p>
        </w:tc>
        <w:tc>
          <w:tcPr>
            <w:tcW w:w="1687" w:type="pct"/>
            <w:gridSpan w:val="4"/>
          </w:tcPr>
          <w:p w:rsidR="006D02F2" w:rsidRPr="00A22864" w:rsidRDefault="006D02F2" w:rsidP="00FD7D70">
            <w:pPr>
              <w:spacing w:after="60"/>
              <w:rPr>
                <w:lang w:val="sr-Cyrl-CS"/>
              </w:rPr>
            </w:pPr>
            <w:r w:rsidRPr="00643EFB">
              <w:t>Plant Genetics and Breeding</w:t>
            </w:r>
          </w:p>
        </w:tc>
      </w:tr>
      <w:tr w:rsidR="006D02F2" w:rsidRPr="00A22864" w:rsidTr="003751CB">
        <w:trPr>
          <w:trHeight w:val="229"/>
          <w:jc w:val="center"/>
        </w:trPr>
        <w:tc>
          <w:tcPr>
            <w:tcW w:w="749" w:type="pct"/>
            <w:gridSpan w:val="3"/>
            <w:vAlign w:val="center"/>
          </w:tcPr>
          <w:p w:rsidR="006D02F2" w:rsidRPr="00062CE6" w:rsidRDefault="006D02F2" w:rsidP="00C23AC5">
            <w:pPr>
              <w:rPr>
                <w:b/>
                <w:sz w:val="22"/>
                <w:szCs w:val="22"/>
                <w:lang w:val="en-US"/>
              </w:rPr>
            </w:pPr>
            <w:r w:rsidRPr="00062CE6">
              <w:rPr>
                <w:b/>
                <w:sz w:val="22"/>
                <w:szCs w:val="22"/>
                <w:lang w:val="en-US"/>
              </w:rPr>
              <w:t>Master diploma</w:t>
            </w:r>
          </w:p>
        </w:tc>
        <w:tc>
          <w:tcPr>
            <w:tcW w:w="618" w:type="pct"/>
            <w:gridSpan w:val="2"/>
            <w:vAlign w:val="center"/>
          </w:tcPr>
          <w:p w:rsidR="006D02F2" w:rsidRPr="00346730" w:rsidRDefault="006D02F2" w:rsidP="00FD7D70">
            <w:pPr>
              <w:spacing w:after="60"/>
            </w:pPr>
            <w:r>
              <w:t>-</w:t>
            </w:r>
          </w:p>
        </w:tc>
        <w:tc>
          <w:tcPr>
            <w:tcW w:w="1947" w:type="pct"/>
            <w:gridSpan w:val="3"/>
            <w:vAlign w:val="center"/>
          </w:tcPr>
          <w:p w:rsidR="006D02F2" w:rsidRPr="00346730" w:rsidRDefault="006D02F2" w:rsidP="00FD7D70">
            <w:pPr>
              <w:spacing w:after="60"/>
            </w:pPr>
            <w:r>
              <w:t>-</w:t>
            </w:r>
          </w:p>
        </w:tc>
        <w:tc>
          <w:tcPr>
            <w:tcW w:w="1687" w:type="pct"/>
            <w:gridSpan w:val="4"/>
          </w:tcPr>
          <w:p w:rsidR="006D02F2" w:rsidRPr="00346730" w:rsidRDefault="006D02F2" w:rsidP="00FD7D70">
            <w:pPr>
              <w:spacing w:after="60"/>
            </w:pPr>
            <w:r w:rsidRPr="00643EFB">
              <w:t>-</w:t>
            </w:r>
          </w:p>
        </w:tc>
      </w:tr>
      <w:tr w:rsidR="006D02F2" w:rsidRPr="00A22864" w:rsidTr="003751CB">
        <w:trPr>
          <w:trHeight w:val="229"/>
          <w:jc w:val="center"/>
        </w:trPr>
        <w:tc>
          <w:tcPr>
            <w:tcW w:w="749" w:type="pct"/>
            <w:gridSpan w:val="3"/>
            <w:vAlign w:val="center"/>
          </w:tcPr>
          <w:p w:rsidR="006D02F2" w:rsidRPr="00062CE6" w:rsidRDefault="006D02F2" w:rsidP="00C23AC5">
            <w:pPr>
              <w:rPr>
                <w:b/>
                <w:sz w:val="22"/>
                <w:szCs w:val="22"/>
                <w:lang w:val="en-US"/>
              </w:rPr>
            </w:pPr>
            <w:r w:rsidRPr="00062CE6">
              <w:rPr>
                <w:b/>
                <w:sz w:val="22"/>
                <w:szCs w:val="22"/>
                <w:lang w:val="en-US"/>
              </w:rPr>
              <w:t xml:space="preserve">Diploma </w:t>
            </w:r>
          </w:p>
        </w:tc>
        <w:tc>
          <w:tcPr>
            <w:tcW w:w="618" w:type="pct"/>
            <w:gridSpan w:val="2"/>
            <w:vAlign w:val="center"/>
          </w:tcPr>
          <w:p w:rsidR="006D02F2" w:rsidRPr="00A22864" w:rsidRDefault="006D02F2" w:rsidP="00FD7D70">
            <w:pPr>
              <w:spacing w:after="60"/>
              <w:rPr>
                <w:lang w:val="sr-Cyrl-CS"/>
              </w:rPr>
            </w:pPr>
            <w:r w:rsidRPr="00087093">
              <w:rPr>
                <w:lang w:val="sr-Cyrl-CS"/>
              </w:rPr>
              <w:t xml:space="preserve"> 1986</w:t>
            </w:r>
          </w:p>
        </w:tc>
        <w:tc>
          <w:tcPr>
            <w:tcW w:w="1947" w:type="pct"/>
            <w:gridSpan w:val="3"/>
            <w:vAlign w:val="center"/>
          </w:tcPr>
          <w:p w:rsidR="006D02F2" w:rsidRPr="00A22864" w:rsidRDefault="006D02F2" w:rsidP="00FD7D70">
            <w:pPr>
              <w:spacing w:after="60"/>
              <w:rPr>
                <w:lang w:val="sr-Cyrl-CS"/>
              </w:rPr>
            </w:pPr>
            <w:r w:rsidRPr="00FD7D70">
              <w:rPr>
                <w:lang w:val="sr-Cyrl-CS"/>
              </w:rPr>
              <w:t xml:space="preserve">University of Novi Sad, Faculty of Agriculture </w:t>
            </w:r>
          </w:p>
        </w:tc>
        <w:tc>
          <w:tcPr>
            <w:tcW w:w="1687" w:type="pct"/>
            <w:gridSpan w:val="4"/>
          </w:tcPr>
          <w:p w:rsidR="006D02F2" w:rsidRPr="00A22864" w:rsidRDefault="006D02F2" w:rsidP="00FD7D70">
            <w:pPr>
              <w:spacing w:after="60"/>
              <w:rPr>
                <w:lang w:val="sr-Cyrl-CS"/>
              </w:rPr>
            </w:pPr>
            <w:r w:rsidRPr="00643EFB">
              <w:t>Horticulture</w:t>
            </w:r>
          </w:p>
        </w:tc>
      </w:tr>
      <w:tr w:rsidR="00FD7D70" w:rsidRPr="00A22864" w:rsidTr="003751CB">
        <w:trPr>
          <w:trHeight w:val="229"/>
          <w:jc w:val="center"/>
        </w:trPr>
        <w:tc>
          <w:tcPr>
            <w:tcW w:w="5000" w:type="pct"/>
            <w:gridSpan w:val="12"/>
            <w:vAlign w:val="center"/>
          </w:tcPr>
          <w:p w:rsidR="00FD7D70" w:rsidRPr="00A22864" w:rsidRDefault="006D02F2" w:rsidP="00FD7D70">
            <w:pPr>
              <w:spacing w:after="60"/>
              <w:rPr>
                <w:lang w:val="sr-Cyrl-CS"/>
              </w:rPr>
            </w:pPr>
            <w:r w:rsidRPr="00C2517C">
              <w:rPr>
                <w:b/>
                <w:sz w:val="22"/>
                <w:szCs w:val="22"/>
                <w:lang w:val="en-US"/>
              </w:rPr>
              <w:t>A list of dissertations-doctoral art projects in which the teacher is or was a mentor in the past 10 years</w:t>
            </w:r>
          </w:p>
        </w:tc>
      </w:tr>
      <w:tr w:rsidR="006D02F2" w:rsidRPr="00A22864" w:rsidTr="003751CB">
        <w:trPr>
          <w:trHeight w:val="229"/>
          <w:jc w:val="center"/>
        </w:trPr>
        <w:tc>
          <w:tcPr>
            <w:tcW w:w="289" w:type="pct"/>
            <w:gridSpan w:val="2"/>
            <w:vAlign w:val="center"/>
          </w:tcPr>
          <w:p w:rsidR="006D02F2" w:rsidRPr="006D02F2" w:rsidRDefault="006D02F2" w:rsidP="00FD7D70">
            <w:pPr>
              <w:spacing w:after="60"/>
            </w:pPr>
            <w:r>
              <w:t>No.</w:t>
            </w:r>
          </w:p>
        </w:tc>
        <w:tc>
          <w:tcPr>
            <w:tcW w:w="1850" w:type="pct"/>
            <w:gridSpan w:val="4"/>
            <w:vAlign w:val="center"/>
          </w:tcPr>
          <w:p w:rsidR="006D02F2" w:rsidRPr="00C2517C" w:rsidRDefault="006D02F2" w:rsidP="00C23AC5">
            <w:pPr>
              <w:spacing w:after="60"/>
              <w:rPr>
                <w:sz w:val="22"/>
                <w:szCs w:val="22"/>
                <w:lang w:val="en-US"/>
              </w:rPr>
            </w:pPr>
            <w:r w:rsidRPr="00C2517C">
              <w:rPr>
                <w:sz w:val="22"/>
                <w:szCs w:val="22"/>
                <w:lang w:val="en-US"/>
              </w:rPr>
              <w:t>Title of the dissertation – doctoral art project</w:t>
            </w:r>
          </w:p>
        </w:tc>
        <w:tc>
          <w:tcPr>
            <w:tcW w:w="1298" w:type="pct"/>
            <w:gridSpan w:val="3"/>
            <w:vAlign w:val="center"/>
          </w:tcPr>
          <w:p w:rsidR="006D02F2" w:rsidRPr="00C2517C" w:rsidRDefault="006D02F2" w:rsidP="00C23AC5">
            <w:pPr>
              <w:spacing w:after="60"/>
              <w:rPr>
                <w:sz w:val="22"/>
                <w:szCs w:val="22"/>
                <w:lang w:val="en-US"/>
              </w:rPr>
            </w:pPr>
            <w:r w:rsidRPr="00C2517C">
              <w:rPr>
                <w:sz w:val="22"/>
                <w:szCs w:val="22"/>
                <w:lang w:val="en-US"/>
              </w:rPr>
              <w:t xml:space="preserve">Name of the candidate </w:t>
            </w:r>
          </w:p>
        </w:tc>
        <w:tc>
          <w:tcPr>
            <w:tcW w:w="688" w:type="pct"/>
            <w:vAlign w:val="center"/>
          </w:tcPr>
          <w:p w:rsidR="006D02F2" w:rsidRPr="00C2517C" w:rsidRDefault="006D02F2" w:rsidP="00C23AC5">
            <w:pPr>
              <w:spacing w:after="60"/>
              <w:rPr>
                <w:sz w:val="22"/>
                <w:szCs w:val="22"/>
                <w:lang w:val="en-US"/>
              </w:rPr>
            </w:pPr>
            <w:r w:rsidRPr="00C2517C">
              <w:rPr>
                <w:sz w:val="22"/>
                <w:szCs w:val="22"/>
                <w:lang w:val="en-US"/>
              </w:rPr>
              <w:t xml:space="preserve">*submitted </w:t>
            </w:r>
          </w:p>
        </w:tc>
        <w:tc>
          <w:tcPr>
            <w:tcW w:w="875" w:type="pct"/>
            <w:gridSpan w:val="2"/>
            <w:vAlign w:val="center"/>
          </w:tcPr>
          <w:p w:rsidR="006D02F2" w:rsidRPr="00C2517C" w:rsidRDefault="006D02F2" w:rsidP="00C23AC5">
            <w:pPr>
              <w:spacing w:after="60"/>
              <w:rPr>
                <w:sz w:val="22"/>
                <w:szCs w:val="22"/>
                <w:lang w:val="en-US"/>
              </w:rPr>
            </w:pPr>
            <w:r w:rsidRPr="00C2517C">
              <w:rPr>
                <w:sz w:val="22"/>
                <w:szCs w:val="22"/>
                <w:lang w:val="en-US"/>
              </w:rPr>
              <w:t>** defended</w:t>
            </w:r>
          </w:p>
        </w:tc>
      </w:tr>
      <w:tr w:rsidR="00FD7D70" w:rsidRPr="00A22864" w:rsidTr="003751CB">
        <w:trPr>
          <w:trHeight w:val="229"/>
          <w:jc w:val="center"/>
        </w:trPr>
        <w:tc>
          <w:tcPr>
            <w:tcW w:w="289" w:type="pct"/>
            <w:gridSpan w:val="2"/>
          </w:tcPr>
          <w:p w:rsidR="00FD7D70" w:rsidRPr="00A22864" w:rsidRDefault="00FD7D70" w:rsidP="00FD7D70">
            <w:pPr>
              <w:spacing w:after="60"/>
              <w:rPr>
                <w:lang w:val="sr-Cyrl-CS"/>
              </w:rPr>
            </w:pPr>
            <w:r w:rsidRPr="001A756E">
              <w:t>1</w:t>
            </w:r>
          </w:p>
        </w:tc>
        <w:tc>
          <w:tcPr>
            <w:tcW w:w="1850" w:type="pct"/>
            <w:gridSpan w:val="4"/>
          </w:tcPr>
          <w:p w:rsidR="00FD7D70" w:rsidRPr="00A22864" w:rsidRDefault="00FD7D70" w:rsidP="00FD7D70">
            <w:pPr>
              <w:spacing w:after="60"/>
              <w:rPr>
                <w:lang w:val="sr-Cyrl-CS"/>
              </w:rPr>
            </w:pPr>
            <w:r>
              <w:t>Diversity of macrofungi and their role in the monitoring of forest ecosystems in Serbia</w:t>
            </w:r>
          </w:p>
        </w:tc>
        <w:tc>
          <w:tcPr>
            <w:tcW w:w="1298" w:type="pct"/>
            <w:gridSpan w:val="3"/>
          </w:tcPr>
          <w:p w:rsidR="00FD7D70" w:rsidRPr="00A22864" w:rsidRDefault="00D1022A" w:rsidP="00FD7D70">
            <w:pPr>
              <w:spacing w:after="60"/>
              <w:rPr>
                <w:lang w:val="sr-Cyrl-CS"/>
              </w:rPr>
            </w:pPr>
            <w:r>
              <w:t>Milana Rakić</w:t>
            </w:r>
          </w:p>
        </w:tc>
        <w:tc>
          <w:tcPr>
            <w:tcW w:w="688" w:type="pct"/>
          </w:tcPr>
          <w:p w:rsidR="00FD7D70" w:rsidRPr="009929B3" w:rsidRDefault="00FD7D70" w:rsidP="00FD7D70">
            <w:pPr>
              <w:spacing w:after="60"/>
            </w:pPr>
            <w:r>
              <w:t>2017.</w:t>
            </w:r>
          </w:p>
        </w:tc>
        <w:tc>
          <w:tcPr>
            <w:tcW w:w="875" w:type="pct"/>
            <w:gridSpan w:val="2"/>
          </w:tcPr>
          <w:p w:rsidR="00FD7D70" w:rsidRPr="00EA3431" w:rsidRDefault="00FD7D70" w:rsidP="00FD7D70">
            <w:pPr>
              <w:spacing w:after="60"/>
            </w:pPr>
            <w:r>
              <w:t>28.9.2019.</w:t>
            </w:r>
          </w:p>
        </w:tc>
      </w:tr>
      <w:tr w:rsidR="00FD7D70" w:rsidRPr="00A22864" w:rsidTr="003751CB">
        <w:trPr>
          <w:trHeight w:val="229"/>
          <w:jc w:val="center"/>
        </w:trPr>
        <w:tc>
          <w:tcPr>
            <w:tcW w:w="289" w:type="pct"/>
            <w:gridSpan w:val="2"/>
          </w:tcPr>
          <w:p w:rsidR="00FD7D70" w:rsidRPr="00A22864" w:rsidRDefault="00FD7D70" w:rsidP="00FD7D70">
            <w:pPr>
              <w:spacing w:after="60"/>
              <w:rPr>
                <w:lang w:val="sr-Cyrl-CS"/>
              </w:rPr>
            </w:pPr>
            <w:r w:rsidRPr="001A756E">
              <w:t>2</w:t>
            </w:r>
          </w:p>
        </w:tc>
        <w:tc>
          <w:tcPr>
            <w:tcW w:w="1850" w:type="pct"/>
            <w:gridSpan w:val="4"/>
          </w:tcPr>
          <w:p w:rsidR="00FD7D70" w:rsidRPr="00A22864" w:rsidRDefault="00FD7D70" w:rsidP="00FD7D70">
            <w:pPr>
              <w:spacing w:after="60"/>
              <w:rPr>
                <w:lang w:val="sr-Cyrl-CS"/>
              </w:rPr>
            </w:pPr>
            <w:r w:rsidRPr="00FD7D70">
              <w:t xml:space="preserve">Molecular and morphological diversity of fungal populations of genera </w:t>
            </w:r>
            <w:r w:rsidRPr="004610C4">
              <w:rPr>
                <w:i/>
                <w:iCs/>
              </w:rPr>
              <w:t>Marasmius</w:t>
            </w:r>
            <w:r w:rsidRPr="00FD7D70">
              <w:t xml:space="preserve"> Fr. 1836, </w:t>
            </w:r>
            <w:r w:rsidRPr="004610C4">
              <w:rPr>
                <w:i/>
                <w:iCs/>
              </w:rPr>
              <w:t>Mycetinis</w:t>
            </w:r>
            <w:r w:rsidRPr="00FD7D70">
              <w:t xml:space="preserve"> Earle 1909 and </w:t>
            </w:r>
            <w:r w:rsidRPr="004610C4">
              <w:rPr>
                <w:i/>
                <w:iCs/>
              </w:rPr>
              <w:t>Gymnopus</w:t>
            </w:r>
            <w:r w:rsidRPr="00FD7D70">
              <w:t xml:space="preserve"> (Pers.) Gray 1821 in the forest ecosystems of the National Parks of Serbia and Montenegro</w:t>
            </w:r>
            <w:r w:rsidRPr="00221A03">
              <w:t>.</w:t>
            </w:r>
          </w:p>
        </w:tc>
        <w:tc>
          <w:tcPr>
            <w:tcW w:w="1298" w:type="pct"/>
            <w:gridSpan w:val="3"/>
          </w:tcPr>
          <w:p w:rsidR="00FD7D70" w:rsidRPr="00A22864" w:rsidRDefault="00D1022A" w:rsidP="00FD7D70">
            <w:pPr>
              <w:spacing w:after="60"/>
              <w:rPr>
                <w:lang w:val="sr-Cyrl-CS"/>
              </w:rPr>
            </w:pPr>
            <w:r>
              <w:t>Eleonora Čapelja</w:t>
            </w:r>
          </w:p>
        </w:tc>
        <w:tc>
          <w:tcPr>
            <w:tcW w:w="688" w:type="pct"/>
          </w:tcPr>
          <w:p w:rsidR="00FD7D70" w:rsidRPr="009929B3" w:rsidRDefault="00FD7D70" w:rsidP="00FD7D70">
            <w:pPr>
              <w:spacing w:after="60"/>
            </w:pPr>
            <w:r>
              <w:t>2017.</w:t>
            </w:r>
          </w:p>
        </w:tc>
        <w:tc>
          <w:tcPr>
            <w:tcW w:w="875" w:type="pct"/>
            <w:gridSpan w:val="2"/>
          </w:tcPr>
          <w:p w:rsidR="00FD7D70" w:rsidRPr="00EA3431" w:rsidRDefault="00FD7D70" w:rsidP="00FD7D70">
            <w:pPr>
              <w:spacing w:after="60"/>
            </w:pPr>
            <w:r>
              <w:t>30.9.2019.</w:t>
            </w:r>
          </w:p>
        </w:tc>
      </w:tr>
      <w:tr w:rsidR="00FD7D70" w:rsidRPr="00A22864" w:rsidTr="003751CB">
        <w:trPr>
          <w:trHeight w:val="229"/>
          <w:jc w:val="center"/>
        </w:trPr>
        <w:tc>
          <w:tcPr>
            <w:tcW w:w="5000" w:type="pct"/>
            <w:gridSpan w:val="12"/>
            <w:vAlign w:val="center"/>
          </w:tcPr>
          <w:p w:rsidR="00FD7D70" w:rsidRPr="00A22864" w:rsidRDefault="006D02F2" w:rsidP="00FD7D70">
            <w:pPr>
              <w:spacing w:after="60"/>
              <w:rPr>
                <w:lang w:val="sr-Cyrl-CS"/>
              </w:rPr>
            </w:pPr>
            <w:r w:rsidRPr="00C2517C">
              <w:rPr>
                <w:sz w:val="22"/>
                <w:szCs w:val="22"/>
                <w:lang w:val="en-US"/>
              </w:rPr>
              <w:t>*</w:t>
            </w:r>
            <w:r w:rsidRPr="00C2517C">
              <w:rPr>
                <w:lang w:val="en-US"/>
              </w:rPr>
              <w:t xml:space="preserve"> </w:t>
            </w:r>
            <w:r w:rsidRPr="00C2517C">
              <w:rPr>
                <w:sz w:val="22"/>
                <w:szCs w:val="22"/>
                <w:lang w:val="en-US"/>
              </w:rPr>
              <w:t>Year in which the dissertation-doctoral art project was submitted (for dissertations-doctoral art projects in progress) ** The year in which the dissertation-doctoral art project was defended (only for dissertations-doctoral art projects from the previous period)</w:t>
            </w:r>
          </w:p>
        </w:tc>
      </w:tr>
      <w:tr w:rsidR="00FD7D70" w:rsidRPr="00A22864" w:rsidTr="003751CB">
        <w:trPr>
          <w:trHeight w:val="229"/>
          <w:jc w:val="center"/>
        </w:trPr>
        <w:tc>
          <w:tcPr>
            <w:tcW w:w="5000" w:type="pct"/>
            <w:gridSpan w:val="12"/>
            <w:vAlign w:val="center"/>
          </w:tcPr>
          <w:p w:rsidR="00FD7D70" w:rsidRPr="006D02F2" w:rsidRDefault="006D02F2" w:rsidP="00FD7D70">
            <w:pPr>
              <w:spacing w:after="60"/>
              <w:rPr>
                <w:b/>
                <w:sz w:val="22"/>
                <w:szCs w:val="22"/>
                <w:lang w:val="en-US"/>
              </w:rPr>
            </w:pPr>
            <w:r w:rsidRPr="00C2517C">
              <w:rPr>
                <w:b/>
                <w:sz w:val="22"/>
                <w:szCs w:val="22"/>
                <w:lang w:val="en-US"/>
              </w:rPr>
              <w:t>Categorization of the publication of scientific papers in the field of the given study program according to the classification of the relevant Ministry of Education, Science and Technological Development and in accordance with the additional requirements of the standard for the given field (minimum 5 not more than 20)</w:t>
            </w:r>
          </w:p>
        </w:tc>
      </w:tr>
      <w:tr w:rsidR="00FD7D70" w:rsidRPr="00A22864" w:rsidTr="003751CB">
        <w:trPr>
          <w:trHeight w:val="229"/>
          <w:jc w:val="center"/>
        </w:trPr>
        <w:tc>
          <w:tcPr>
            <w:tcW w:w="272" w:type="pct"/>
            <w:vAlign w:val="center"/>
          </w:tcPr>
          <w:p w:rsidR="00FD7D70" w:rsidRPr="00B7711A" w:rsidRDefault="00FD7D70" w:rsidP="00FD7D70">
            <w:pPr>
              <w:spacing w:after="60"/>
              <w:rPr>
                <w:b/>
              </w:rPr>
            </w:pPr>
            <w:r>
              <w:rPr>
                <w:b/>
              </w:rPr>
              <w:t>1.</w:t>
            </w:r>
          </w:p>
        </w:tc>
        <w:tc>
          <w:tcPr>
            <w:tcW w:w="4106" w:type="pct"/>
            <w:gridSpan w:val="10"/>
          </w:tcPr>
          <w:p w:rsidR="00FD7D70" w:rsidRPr="00A22864" w:rsidRDefault="00FD7D70" w:rsidP="00FD7D70">
            <w:pPr>
              <w:spacing w:after="60"/>
              <w:rPr>
                <w:b/>
                <w:lang w:val="sr-Cyrl-CS"/>
              </w:rPr>
            </w:pPr>
            <w:r w:rsidRPr="00D8445C">
              <w:t>Rausch T., Bogs J., Gromes R., Liedschulte V., Müller I., Galovic V., Wachter A. (2007): "Novel insight into the regulation of GSH biosynthesis in higher plants". Plant Biology, 9: 565 - 572. DOI: 10.1055/s-2007-965580  IF= 2.012</w:t>
            </w:r>
          </w:p>
        </w:tc>
        <w:tc>
          <w:tcPr>
            <w:tcW w:w="623" w:type="pct"/>
            <w:vAlign w:val="center"/>
          </w:tcPr>
          <w:p w:rsidR="00FD7D70" w:rsidRPr="00B7711A" w:rsidRDefault="00FD7D70" w:rsidP="00FD7D70">
            <w:pPr>
              <w:spacing w:after="60"/>
              <w:rPr>
                <w:b/>
              </w:rPr>
            </w:pPr>
            <w:r>
              <w:rPr>
                <w:b/>
              </w:rPr>
              <w:t>M21</w:t>
            </w:r>
          </w:p>
        </w:tc>
      </w:tr>
      <w:tr w:rsidR="00FD7D70" w:rsidRPr="00A22864" w:rsidTr="003751CB">
        <w:trPr>
          <w:trHeight w:val="229"/>
          <w:jc w:val="center"/>
        </w:trPr>
        <w:tc>
          <w:tcPr>
            <w:tcW w:w="272" w:type="pct"/>
            <w:vAlign w:val="center"/>
          </w:tcPr>
          <w:p w:rsidR="00FD7D70" w:rsidRPr="00B7711A" w:rsidRDefault="00FD7D70" w:rsidP="00FD7D70">
            <w:pPr>
              <w:spacing w:after="60"/>
              <w:rPr>
                <w:b/>
              </w:rPr>
            </w:pPr>
            <w:r>
              <w:rPr>
                <w:b/>
              </w:rPr>
              <w:t>2.</w:t>
            </w:r>
          </w:p>
        </w:tc>
        <w:tc>
          <w:tcPr>
            <w:tcW w:w="4106" w:type="pct"/>
            <w:gridSpan w:val="10"/>
          </w:tcPr>
          <w:p w:rsidR="00FD7D70" w:rsidRPr="00A22864" w:rsidRDefault="00FD7D70" w:rsidP="00FD7D70">
            <w:pPr>
              <w:spacing w:after="60"/>
              <w:rPr>
                <w:b/>
                <w:lang w:val="sr-Cyrl-CS"/>
              </w:rPr>
            </w:pPr>
            <w:r w:rsidRPr="00D8445C">
              <w:t>Galovic V., Orlovic S., Pap P., Kovacevic B., Markovic M., (2010). Specificity of SSR loci for Melampsora species on Poplars.  Genetika, 42:(3),513-520. http://www.bms.ns.ac.rs/bmseng101.</w:t>
            </w:r>
          </w:p>
        </w:tc>
        <w:tc>
          <w:tcPr>
            <w:tcW w:w="623" w:type="pct"/>
            <w:vAlign w:val="center"/>
          </w:tcPr>
          <w:p w:rsidR="00FD7D70" w:rsidRPr="00B7711A" w:rsidRDefault="00FD7D70" w:rsidP="00FD7D70">
            <w:pPr>
              <w:spacing w:after="60"/>
              <w:rPr>
                <w:b/>
              </w:rPr>
            </w:pPr>
            <w:r>
              <w:rPr>
                <w:b/>
              </w:rPr>
              <w:t>M23</w:t>
            </w:r>
          </w:p>
        </w:tc>
      </w:tr>
      <w:tr w:rsidR="00FD7D70" w:rsidRPr="00A22864" w:rsidTr="003751CB">
        <w:trPr>
          <w:trHeight w:val="229"/>
          <w:jc w:val="center"/>
        </w:trPr>
        <w:tc>
          <w:tcPr>
            <w:tcW w:w="272" w:type="pct"/>
            <w:vAlign w:val="center"/>
          </w:tcPr>
          <w:p w:rsidR="00FD7D70" w:rsidRPr="00B7711A" w:rsidRDefault="00FD7D70" w:rsidP="00FD7D70">
            <w:pPr>
              <w:spacing w:after="60"/>
              <w:rPr>
                <w:b/>
              </w:rPr>
            </w:pPr>
            <w:r>
              <w:rPr>
                <w:b/>
              </w:rPr>
              <w:t>3.</w:t>
            </w:r>
          </w:p>
        </w:tc>
        <w:tc>
          <w:tcPr>
            <w:tcW w:w="4106" w:type="pct"/>
            <w:gridSpan w:val="10"/>
          </w:tcPr>
          <w:p w:rsidR="00FD7D70" w:rsidRPr="00A22864" w:rsidRDefault="00FD7D70" w:rsidP="00FD7D70">
            <w:pPr>
              <w:spacing w:after="60"/>
              <w:rPr>
                <w:b/>
                <w:lang w:val="sr-Cyrl-CS"/>
              </w:rPr>
            </w:pPr>
            <w:r w:rsidRPr="00D8445C">
              <w:t>Galovic V., Orlovic S., Zoric M., Zgonjanin Bosic D., Salatic I., Petric G., (2010): Genetic characterisation and DNA fingerprinting profile of new poplar clones. Savremena poljoprivreda, 59 (3-4): 383-392.</w:t>
            </w:r>
          </w:p>
        </w:tc>
        <w:tc>
          <w:tcPr>
            <w:tcW w:w="623" w:type="pct"/>
            <w:vAlign w:val="center"/>
          </w:tcPr>
          <w:p w:rsidR="00FD7D70" w:rsidRPr="00B7711A" w:rsidRDefault="00FD7D70" w:rsidP="00FD7D70">
            <w:pPr>
              <w:spacing w:after="60"/>
              <w:rPr>
                <w:b/>
              </w:rPr>
            </w:pPr>
            <w:r>
              <w:rPr>
                <w:b/>
              </w:rPr>
              <w:t>M23</w:t>
            </w:r>
          </w:p>
        </w:tc>
      </w:tr>
      <w:tr w:rsidR="00FD7D70" w:rsidRPr="00A22864" w:rsidTr="003751CB">
        <w:trPr>
          <w:trHeight w:val="229"/>
          <w:jc w:val="center"/>
        </w:trPr>
        <w:tc>
          <w:tcPr>
            <w:tcW w:w="272" w:type="pct"/>
            <w:vAlign w:val="center"/>
          </w:tcPr>
          <w:p w:rsidR="00FD7D70" w:rsidRPr="006F7007" w:rsidRDefault="00FD7D70" w:rsidP="00FD7D70">
            <w:pPr>
              <w:spacing w:after="60"/>
              <w:rPr>
                <w:b/>
              </w:rPr>
            </w:pPr>
            <w:r>
              <w:rPr>
                <w:b/>
              </w:rPr>
              <w:t>4.</w:t>
            </w:r>
          </w:p>
        </w:tc>
        <w:tc>
          <w:tcPr>
            <w:tcW w:w="4106" w:type="pct"/>
            <w:gridSpan w:val="10"/>
          </w:tcPr>
          <w:p w:rsidR="00FD7D70" w:rsidRPr="00A22864" w:rsidRDefault="00FD7D70" w:rsidP="00FD7D70">
            <w:pPr>
              <w:spacing w:after="60"/>
              <w:rPr>
                <w:b/>
                <w:lang w:val="sr-Cyrl-CS"/>
              </w:rPr>
            </w:pPr>
            <w:r w:rsidRPr="00D8445C">
              <w:t>Galovic V, Orlovic S, Fladung M. (2015): Characterization of two poplar homologs of the GRAS/SCL gene, which encodes a transcription factor putatively associated with salt tolerance. iForest-Biogeosciences and Forestry, 8: 780-785. doi: 10.3832/ifor1330-008  IF= 1,110</w:t>
            </w:r>
          </w:p>
        </w:tc>
        <w:tc>
          <w:tcPr>
            <w:tcW w:w="623" w:type="pct"/>
            <w:vAlign w:val="center"/>
          </w:tcPr>
          <w:p w:rsidR="00FD7D70" w:rsidRPr="00B7711A" w:rsidRDefault="00FD7D70" w:rsidP="00FD7D70">
            <w:pPr>
              <w:spacing w:after="60"/>
              <w:rPr>
                <w:b/>
              </w:rPr>
            </w:pPr>
            <w:r>
              <w:rPr>
                <w:b/>
              </w:rPr>
              <w:t>M22</w:t>
            </w:r>
          </w:p>
        </w:tc>
      </w:tr>
      <w:tr w:rsidR="00FD7D70" w:rsidRPr="00A22864" w:rsidTr="003751CB">
        <w:trPr>
          <w:trHeight w:val="229"/>
          <w:jc w:val="center"/>
        </w:trPr>
        <w:tc>
          <w:tcPr>
            <w:tcW w:w="272" w:type="pct"/>
            <w:vAlign w:val="center"/>
          </w:tcPr>
          <w:p w:rsidR="00FD7D70" w:rsidRPr="00B7711A" w:rsidRDefault="00FD7D70" w:rsidP="00FD7D70">
            <w:pPr>
              <w:spacing w:after="60"/>
              <w:rPr>
                <w:b/>
              </w:rPr>
            </w:pPr>
            <w:r>
              <w:rPr>
                <w:b/>
              </w:rPr>
              <w:t>5.</w:t>
            </w:r>
          </w:p>
        </w:tc>
        <w:tc>
          <w:tcPr>
            <w:tcW w:w="4106" w:type="pct"/>
            <w:gridSpan w:val="10"/>
          </w:tcPr>
          <w:p w:rsidR="00FD7D70" w:rsidRPr="00A22864" w:rsidRDefault="00FD7D70" w:rsidP="00FD7D70">
            <w:pPr>
              <w:spacing w:after="60"/>
              <w:rPr>
                <w:b/>
                <w:lang w:val="sr-Cyrl-CS"/>
              </w:rPr>
            </w:pPr>
            <w:r w:rsidRPr="00D8445C">
              <w:t xml:space="preserve">R. Drenkhan1,50,*, V. Tomešová-Haataja2,*, S. Fraser3,*, R. E. Bradshaw4,*,…V. </w:t>
            </w:r>
            <w:r w:rsidRPr="00D8445C">
              <w:lastRenderedPageBreak/>
              <w:t>3.Galovic38, P. Pap38, M. Markovic38, L. Poljakovic Pajnik38, V. Vasic38, E. Ondrušková39, B. Piškur40, D. Sadiković40, J. J. Diez-Casero5,6, A. Solla41, H. Millberg42, J. Stenlid42, A. Angst43, V. Queloz43, A. Lehtijärvi44, H. T. Doğmuş-Lehtijärvi45, F. Oskay46, K. Davydenko47, V. Meshkova47, D. Craig48, S. Woodward49, I. Barnes9,* (2016). Global geographic distribution and host range of Dothistroma species: a comprehensive review. Forest Pathology 5 (46): 408-442. DOI: 10.1111/efp.12290  IF=1,522</w:t>
            </w:r>
          </w:p>
        </w:tc>
        <w:tc>
          <w:tcPr>
            <w:tcW w:w="623" w:type="pct"/>
            <w:vAlign w:val="center"/>
          </w:tcPr>
          <w:p w:rsidR="00FD7D70" w:rsidRPr="00B7711A" w:rsidRDefault="00FD7D70" w:rsidP="00FD7D70">
            <w:pPr>
              <w:spacing w:after="60"/>
              <w:rPr>
                <w:b/>
              </w:rPr>
            </w:pPr>
            <w:r>
              <w:rPr>
                <w:b/>
              </w:rPr>
              <w:lastRenderedPageBreak/>
              <w:t>M22</w:t>
            </w:r>
          </w:p>
        </w:tc>
      </w:tr>
      <w:tr w:rsidR="00FD7D70" w:rsidRPr="00A22864" w:rsidTr="003751CB">
        <w:trPr>
          <w:trHeight w:val="229"/>
          <w:jc w:val="center"/>
        </w:trPr>
        <w:tc>
          <w:tcPr>
            <w:tcW w:w="272" w:type="pct"/>
            <w:vAlign w:val="center"/>
          </w:tcPr>
          <w:p w:rsidR="00FD7D70" w:rsidRPr="00B7711A" w:rsidRDefault="00FD7D70" w:rsidP="00FD7D70">
            <w:pPr>
              <w:spacing w:after="60"/>
              <w:rPr>
                <w:b/>
              </w:rPr>
            </w:pPr>
            <w:r>
              <w:rPr>
                <w:b/>
              </w:rPr>
              <w:lastRenderedPageBreak/>
              <w:t>6.</w:t>
            </w:r>
          </w:p>
        </w:tc>
        <w:tc>
          <w:tcPr>
            <w:tcW w:w="4106" w:type="pct"/>
            <w:gridSpan w:val="10"/>
          </w:tcPr>
          <w:p w:rsidR="00FD7D70" w:rsidRPr="00A22864" w:rsidRDefault="00FD7D70" w:rsidP="00FD7D70">
            <w:pPr>
              <w:spacing w:after="60"/>
              <w:rPr>
                <w:b/>
                <w:lang w:val="sr-Cyrl-CS"/>
              </w:rPr>
            </w:pPr>
            <w:r w:rsidRPr="00D8445C">
              <w:t>Popović, B.M. ,Štajner, D. , Ždero-Pavlović, R. , Tari I., Csiszár, J. , Gallé Á. , Poór, P., Galović, V., Trudić, B. , Orlović S. (2017)  Biochemical response of poplar tissue culture (Populus spp.) on water stress, Journal of Plant Research. Volume 130, Issue 3, pp. 559–570. DOI 10.1007/s10265-017-0918-4  IF=2,155</w:t>
            </w:r>
          </w:p>
        </w:tc>
        <w:tc>
          <w:tcPr>
            <w:tcW w:w="623" w:type="pct"/>
            <w:vAlign w:val="center"/>
          </w:tcPr>
          <w:p w:rsidR="00FD7D70" w:rsidRPr="00B7711A" w:rsidRDefault="00FD7D70" w:rsidP="00FD7D70">
            <w:pPr>
              <w:spacing w:after="60"/>
              <w:rPr>
                <w:b/>
              </w:rPr>
            </w:pPr>
            <w:r>
              <w:rPr>
                <w:b/>
              </w:rPr>
              <w:t>M22</w:t>
            </w:r>
          </w:p>
        </w:tc>
      </w:tr>
      <w:tr w:rsidR="00FD7D70" w:rsidRPr="00A22864" w:rsidTr="003751CB">
        <w:trPr>
          <w:trHeight w:val="229"/>
          <w:jc w:val="center"/>
        </w:trPr>
        <w:tc>
          <w:tcPr>
            <w:tcW w:w="272" w:type="pct"/>
            <w:vAlign w:val="center"/>
          </w:tcPr>
          <w:p w:rsidR="00FD7D70" w:rsidRPr="00B7711A" w:rsidRDefault="00FD7D70" w:rsidP="00FD7D70">
            <w:pPr>
              <w:spacing w:after="60"/>
              <w:rPr>
                <w:b/>
              </w:rPr>
            </w:pPr>
            <w:r>
              <w:rPr>
                <w:b/>
              </w:rPr>
              <w:t xml:space="preserve">7. </w:t>
            </w:r>
          </w:p>
        </w:tc>
        <w:tc>
          <w:tcPr>
            <w:tcW w:w="4106" w:type="pct"/>
            <w:gridSpan w:val="10"/>
          </w:tcPr>
          <w:p w:rsidR="00FD7D70" w:rsidRPr="00A22864" w:rsidRDefault="00FD7D70" w:rsidP="00FD7D70">
            <w:pPr>
              <w:spacing w:after="60"/>
              <w:rPr>
                <w:b/>
                <w:lang w:val="sr-Cyrl-CS"/>
              </w:rPr>
            </w:pPr>
            <w:r w:rsidRPr="00D8445C">
              <w:t>Galović V., Marković M., Pap P., Mulett M., Rakić M., Vasiljević A., Pekeč S. (2018): Molecular taxonomy and phylogenetics of Daedaleopsis confragosa (Bolt.: Fr.) J. Schröt. from Wild Cherry in Serbia. Genetika. 50(2): 519-532  doi.org/10.2298/GENSR1802519G  IF=0.452</w:t>
            </w:r>
          </w:p>
        </w:tc>
        <w:tc>
          <w:tcPr>
            <w:tcW w:w="623" w:type="pct"/>
            <w:vAlign w:val="center"/>
          </w:tcPr>
          <w:p w:rsidR="00FD7D70" w:rsidRPr="00B7711A" w:rsidRDefault="00FD7D70" w:rsidP="00FD7D70">
            <w:pPr>
              <w:spacing w:after="60"/>
              <w:rPr>
                <w:b/>
              </w:rPr>
            </w:pPr>
            <w:r>
              <w:rPr>
                <w:b/>
              </w:rPr>
              <w:t>M23</w:t>
            </w:r>
          </w:p>
        </w:tc>
      </w:tr>
      <w:tr w:rsidR="00FD7D70" w:rsidRPr="00A22864" w:rsidTr="003751CB">
        <w:trPr>
          <w:trHeight w:val="229"/>
          <w:jc w:val="center"/>
        </w:trPr>
        <w:tc>
          <w:tcPr>
            <w:tcW w:w="5000" w:type="pct"/>
            <w:gridSpan w:val="12"/>
            <w:vAlign w:val="center"/>
          </w:tcPr>
          <w:p w:rsidR="00FD7D70" w:rsidRPr="00A22864" w:rsidRDefault="006D02F2" w:rsidP="00FD7D70">
            <w:pPr>
              <w:spacing w:after="60"/>
              <w:rPr>
                <w:b/>
                <w:lang w:val="sr-Cyrl-CS"/>
              </w:rPr>
            </w:pPr>
            <w:r w:rsidRPr="008E1183">
              <w:rPr>
                <w:b/>
                <w:sz w:val="18"/>
                <w:szCs w:val="18"/>
                <w:lang w:val="en-US"/>
              </w:rPr>
              <w:t>Cumulative data of scientific activity of the teacher</w:t>
            </w:r>
          </w:p>
        </w:tc>
      </w:tr>
      <w:tr w:rsidR="006D02F2" w:rsidRPr="00A22864" w:rsidTr="003751CB">
        <w:trPr>
          <w:trHeight w:val="229"/>
          <w:jc w:val="center"/>
        </w:trPr>
        <w:tc>
          <w:tcPr>
            <w:tcW w:w="1122" w:type="pct"/>
            <w:gridSpan w:val="4"/>
          </w:tcPr>
          <w:p w:rsidR="006D02F2" w:rsidRPr="00062CE6" w:rsidRDefault="006D02F2" w:rsidP="00C23AC5">
            <w:pPr>
              <w:rPr>
                <w:b/>
                <w:sz w:val="18"/>
                <w:szCs w:val="18"/>
                <w:lang w:val="en-US"/>
              </w:rPr>
            </w:pPr>
            <w:r w:rsidRPr="00062CE6">
              <w:rPr>
                <w:b/>
                <w:sz w:val="18"/>
                <w:szCs w:val="18"/>
                <w:lang w:val="en-US"/>
              </w:rPr>
              <w:t>Total number of citations, without self citations</w:t>
            </w:r>
          </w:p>
        </w:tc>
        <w:tc>
          <w:tcPr>
            <w:tcW w:w="3878" w:type="pct"/>
            <w:gridSpan w:val="8"/>
          </w:tcPr>
          <w:p w:rsidR="006D02F2" w:rsidRPr="00F424E9" w:rsidRDefault="006D02F2" w:rsidP="00FD7D70">
            <w:pPr>
              <w:spacing w:after="60"/>
              <w:rPr>
                <w:bCs/>
                <w:lang w:val="sr-Cyrl-CS"/>
              </w:rPr>
            </w:pPr>
            <w:r w:rsidRPr="00F424E9">
              <w:rPr>
                <w:bCs/>
              </w:rPr>
              <w:t>119</w:t>
            </w:r>
            <w:r>
              <w:rPr>
                <w:bCs/>
              </w:rPr>
              <w:t xml:space="preserve">, </w:t>
            </w:r>
            <w:r w:rsidRPr="00F424E9">
              <w:rPr>
                <w:bCs/>
              </w:rPr>
              <w:t>(h=5, Scopus, 04.2019.)</w:t>
            </w:r>
          </w:p>
        </w:tc>
      </w:tr>
      <w:tr w:rsidR="006D02F2" w:rsidRPr="00A22864" w:rsidTr="003751CB">
        <w:trPr>
          <w:trHeight w:val="229"/>
          <w:jc w:val="center"/>
        </w:trPr>
        <w:tc>
          <w:tcPr>
            <w:tcW w:w="1122" w:type="pct"/>
            <w:gridSpan w:val="4"/>
          </w:tcPr>
          <w:p w:rsidR="006D02F2" w:rsidRPr="00062CE6" w:rsidRDefault="006D02F2" w:rsidP="00C23AC5">
            <w:pPr>
              <w:rPr>
                <w:b/>
                <w:sz w:val="18"/>
                <w:szCs w:val="18"/>
                <w:lang w:val="en-US"/>
              </w:rPr>
            </w:pPr>
            <w:r w:rsidRPr="00062CE6">
              <w:rPr>
                <w:b/>
                <w:sz w:val="18"/>
                <w:szCs w:val="18"/>
                <w:lang w:val="en-US"/>
              </w:rPr>
              <w:t>Total number of papers on the SCI (or SSCI) list</w:t>
            </w:r>
          </w:p>
        </w:tc>
        <w:tc>
          <w:tcPr>
            <w:tcW w:w="3878" w:type="pct"/>
            <w:gridSpan w:val="8"/>
          </w:tcPr>
          <w:p w:rsidR="006D02F2" w:rsidRPr="00A22864" w:rsidRDefault="006D02F2" w:rsidP="00FD7D70">
            <w:pPr>
              <w:spacing w:after="60"/>
              <w:rPr>
                <w:b/>
                <w:lang w:val="sr-Cyrl-CS"/>
              </w:rPr>
            </w:pPr>
            <w:r w:rsidRPr="004964F1">
              <w:t>1</w:t>
            </w:r>
            <w:r>
              <w:t>7</w:t>
            </w:r>
          </w:p>
        </w:tc>
      </w:tr>
      <w:tr w:rsidR="006D02F2" w:rsidRPr="00A22864" w:rsidTr="003751CB">
        <w:trPr>
          <w:trHeight w:val="229"/>
          <w:jc w:val="center"/>
        </w:trPr>
        <w:tc>
          <w:tcPr>
            <w:tcW w:w="1122" w:type="pct"/>
            <w:gridSpan w:val="4"/>
          </w:tcPr>
          <w:p w:rsidR="006D02F2" w:rsidRPr="00062CE6" w:rsidRDefault="006D02F2" w:rsidP="00C23AC5">
            <w:pPr>
              <w:rPr>
                <w:b/>
                <w:sz w:val="18"/>
                <w:szCs w:val="18"/>
                <w:lang w:val="en-US"/>
              </w:rPr>
            </w:pPr>
            <w:r w:rsidRPr="00062CE6">
              <w:rPr>
                <w:b/>
                <w:sz w:val="18"/>
                <w:szCs w:val="18"/>
                <w:lang w:val="en-US"/>
              </w:rPr>
              <w:t>Current participation in projects</w:t>
            </w:r>
          </w:p>
        </w:tc>
        <w:tc>
          <w:tcPr>
            <w:tcW w:w="1355" w:type="pct"/>
            <w:gridSpan w:val="3"/>
            <w:vAlign w:val="center"/>
          </w:tcPr>
          <w:p w:rsidR="006D02F2" w:rsidRPr="00A22864" w:rsidRDefault="006D02F2" w:rsidP="00FD7D70">
            <w:pPr>
              <w:spacing w:after="60"/>
              <w:rPr>
                <w:b/>
                <w:lang w:val="sr-Cyrl-CS"/>
              </w:rPr>
            </w:pPr>
            <w:r>
              <w:rPr>
                <w:lang w:val="sr-Cyrl-CS"/>
              </w:rPr>
              <w:t xml:space="preserve">National </w:t>
            </w:r>
            <w:r>
              <w:rPr>
                <w:b/>
                <w:lang w:val="sr-Cyrl-CS"/>
              </w:rPr>
              <w:t>4</w:t>
            </w:r>
          </w:p>
        </w:tc>
        <w:tc>
          <w:tcPr>
            <w:tcW w:w="2523" w:type="pct"/>
            <w:gridSpan w:val="5"/>
            <w:vAlign w:val="center"/>
          </w:tcPr>
          <w:p w:rsidR="006D02F2" w:rsidRPr="00A22864" w:rsidRDefault="006D02F2" w:rsidP="00FD7D70">
            <w:pPr>
              <w:spacing w:after="60"/>
              <w:rPr>
                <w:b/>
                <w:lang w:val="sr-Cyrl-CS"/>
              </w:rPr>
            </w:pPr>
            <w:r>
              <w:rPr>
                <w:sz w:val="22"/>
                <w:szCs w:val="22"/>
                <w:lang w:val="en-US"/>
              </w:rPr>
              <w:t>I</w:t>
            </w:r>
            <w:r w:rsidRPr="00C2517C">
              <w:rPr>
                <w:sz w:val="22"/>
                <w:szCs w:val="22"/>
                <w:lang w:val="en-US"/>
              </w:rPr>
              <w:t>nternational</w:t>
            </w:r>
            <w:r>
              <w:rPr>
                <w:b/>
                <w:lang w:val="sr-Cyrl-CS"/>
              </w:rPr>
              <w:t xml:space="preserve"> 2</w:t>
            </w:r>
          </w:p>
        </w:tc>
      </w:tr>
      <w:tr w:rsidR="006D02F2" w:rsidRPr="00A22864" w:rsidTr="003751CB">
        <w:trPr>
          <w:trHeight w:val="229"/>
          <w:jc w:val="center"/>
        </w:trPr>
        <w:tc>
          <w:tcPr>
            <w:tcW w:w="1122" w:type="pct"/>
            <w:gridSpan w:val="4"/>
          </w:tcPr>
          <w:p w:rsidR="006D02F2" w:rsidRPr="00062CE6" w:rsidRDefault="006D02F2" w:rsidP="00C23AC5">
            <w:pPr>
              <w:rPr>
                <w:b/>
                <w:sz w:val="18"/>
                <w:szCs w:val="18"/>
                <w:lang w:val="en-US"/>
              </w:rPr>
            </w:pPr>
            <w:r w:rsidRPr="00062CE6">
              <w:rPr>
                <w:b/>
                <w:sz w:val="18"/>
                <w:szCs w:val="18"/>
                <w:lang w:val="en-US"/>
              </w:rPr>
              <w:t>Specialization</w:t>
            </w:r>
          </w:p>
        </w:tc>
        <w:tc>
          <w:tcPr>
            <w:tcW w:w="3878" w:type="pct"/>
            <w:gridSpan w:val="8"/>
            <w:vAlign w:val="center"/>
          </w:tcPr>
          <w:p w:rsidR="006D02F2" w:rsidRPr="008E1183" w:rsidRDefault="006D02F2" w:rsidP="006D02F2">
            <w:pPr>
              <w:rPr>
                <w:sz w:val="18"/>
                <w:szCs w:val="18"/>
                <w:lang w:val="sr-Cyrl-CS"/>
              </w:rPr>
            </w:pPr>
            <w:r w:rsidRPr="008E1183">
              <w:rPr>
                <w:sz w:val="18"/>
                <w:szCs w:val="18"/>
              </w:rPr>
              <w:t>Training in International institutions:</w:t>
            </w:r>
          </w:p>
          <w:p w:rsidR="006D02F2" w:rsidRPr="008E1183" w:rsidRDefault="006D02F2" w:rsidP="006D02F2">
            <w:pPr>
              <w:rPr>
                <w:sz w:val="18"/>
                <w:szCs w:val="18"/>
                <w:lang w:val="sr-Cyrl-CS"/>
              </w:rPr>
            </w:pPr>
            <w:r w:rsidRPr="008E1183">
              <w:rPr>
                <w:sz w:val="18"/>
                <w:szCs w:val="18"/>
                <w:lang w:val="sr-Cyrl-CS"/>
              </w:rPr>
              <w:t>1.  COST Action FP1406, Training School: “Next Generation Sequencing for Fusarium circinatum” 03. – 06. April, 2017, Palencia, Spain.</w:t>
            </w:r>
          </w:p>
          <w:p w:rsidR="006D02F2" w:rsidRPr="008E1183" w:rsidRDefault="006D02F2" w:rsidP="006D02F2">
            <w:pPr>
              <w:rPr>
                <w:sz w:val="18"/>
                <w:szCs w:val="18"/>
                <w:lang w:val="sr-Cyrl-CS"/>
              </w:rPr>
            </w:pPr>
            <w:r w:rsidRPr="008E1183">
              <w:rPr>
                <w:sz w:val="18"/>
                <w:szCs w:val="18"/>
                <w:lang w:val="sr-Cyrl-CS"/>
              </w:rPr>
              <w:t>2. COST Action FP0905, Training Course: „New genetic engineering techniques for tree improvement program“, Campus Oeiras, 12-14 february 2014,  Lisabon,  Portugal.</w:t>
            </w:r>
          </w:p>
          <w:p w:rsidR="006D02F2" w:rsidRPr="00A22864" w:rsidRDefault="006D02F2" w:rsidP="006D02F2">
            <w:pPr>
              <w:spacing w:after="60"/>
              <w:rPr>
                <w:b/>
                <w:lang w:val="sr-Cyrl-CS"/>
              </w:rPr>
            </w:pPr>
            <w:r w:rsidRPr="008E1183">
              <w:rPr>
                <w:sz w:val="18"/>
                <w:szCs w:val="18"/>
                <w:lang w:val="sr-Cyrl-CS"/>
              </w:rPr>
              <w:t>3. EMBL, Training Course: NGS technology- “Whole genome sequencing library preparation for EMBL advanceed training centre”, 1-2 december 2016, Heidelberg, Germany.</w:t>
            </w:r>
          </w:p>
        </w:tc>
      </w:tr>
      <w:tr w:rsidR="00FD7D70" w:rsidRPr="00A22864" w:rsidTr="003751CB">
        <w:trPr>
          <w:trHeight w:val="229"/>
          <w:jc w:val="center"/>
        </w:trPr>
        <w:tc>
          <w:tcPr>
            <w:tcW w:w="1122" w:type="pct"/>
            <w:gridSpan w:val="4"/>
            <w:vAlign w:val="center"/>
          </w:tcPr>
          <w:p w:rsidR="00FD7D70" w:rsidRPr="00062CE6" w:rsidRDefault="006D02F2" w:rsidP="00FD7D70">
            <w:pPr>
              <w:spacing w:after="60"/>
              <w:rPr>
                <w:b/>
                <w:lang w:val="sr-Cyrl-CS"/>
              </w:rPr>
            </w:pPr>
            <w:r w:rsidRPr="00062CE6">
              <w:rPr>
                <w:b/>
                <w:sz w:val="18"/>
                <w:szCs w:val="18"/>
                <w:lang w:val="en-US"/>
              </w:rPr>
              <w:t>Other information you consider to be important</w:t>
            </w:r>
          </w:p>
        </w:tc>
        <w:tc>
          <w:tcPr>
            <w:tcW w:w="3878" w:type="pct"/>
            <w:gridSpan w:val="8"/>
            <w:vAlign w:val="center"/>
          </w:tcPr>
          <w:p w:rsidR="004610C4" w:rsidRPr="004610C4" w:rsidRDefault="004610C4" w:rsidP="004610C4">
            <w:pPr>
              <w:rPr>
                <w:bCs/>
                <w:lang w:val="sr-Cyrl-CS"/>
              </w:rPr>
            </w:pPr>
            <w:r w:rsidRPr="004610C4">
              <w:rPr>
                <w:bCs/>
                <w:lang w:val="sr-Cyrl-CS"/>
              </w:rPr>
              <w:t>Member of the Scientific Council of the Institute of Lowland Forestry and  Environment</w:t>
            </w:r>
          </w:p>
          <w:p w:rsidR="004610C4" w:rsidRPr="004610C4" w:rsidRDefault="004610C4" w:rsidP="004610C4">
            <w:pPr>
              <w:rPr>
                <w:bCs/>
                <w:lang w:val="sr-Cyrl-CS"/>
              </w:rPr>
            </w:pPr>
            <w:r>
              <w:rPr>
                <w:bCs/>
              </w:rPr>
              <w:t>M</w:t>
            </w:r>
            <w:r w:rsidRPr="004610C4">
              <w:rPr>
                <w:bCs/>
                <w:lang w:val="sr-Cyrl-CS"/>
              </w:rPr>
              <w:t>ember of the Society of Physiologists of Serbia</w:t>
            </w:r>
          </w:p>
          <w:p w:rsidR="004610C4" w:rsidRDefault="004610C4" w:rsidP="004610C4">
            <w:pPr>
              <w:rPr>
                <w:bCs/>
                <w:lang w:val="sr-Cyrl-CS"/>
              </w:rPr>
            </w:pPr>
            <w:r w:rsidRPr="004610C4">
              <w:rPr>
                <w:bCs/>
                <w:lang w:val="sr-Cyrl-CS"/>
              </w:rPr>
              <w:t xml:space="preserve">Member of the Serbian Genetics Society, </w:t>
            </w:r>
          </w:p>
          <w:p w:rsidR="004610C4" w:rsidRPr="004610C4" w:rsidRDefault="004610C4" w:rsidP="004610C4">
            <w:pPr>
              <w:rPr>
                <w:bCs/>
                <w:lang w:val="sr-Cyrl-CS"/>
              </w:rPr>
            </w:pPr>
            <w:r w:rsidRPr="004610C4">
              <w:rPr>
                <w:bCs/>
                <w:lang w:val="sr-Cyrl-CS"/>
              </w:rPr>
              <w:t xml:space="preserve">Member of the Editorial Board of Topola </w:t>
            </w:r>
            <w:r w:rsidR="006D5E5C">
              <w:rPr>
                <w:bCs/>
                <w:lang w:val="sr-Cyrl-CS"/>
              </w:rPr>
              <w:t>J</w:t>
            </w:r>
            <w:bookmarkStart w:id="0" w:name="_GoBack"/>
            <w:bookmarkEnd w:id="0"/>
            <w:r w:rsidR="006D5E5C">
              <w:rPr>
                <w:bCs/>
              </w:rPr>
              <w:t>ournal</w:t>
            </w:r>
          </w:p>
          <w:p w:rsidR="004610C4" w:rsidRPr="004610C4" w:rsidRDefault="004610C4" w:rsidP="004610C4">
            <w:pPr>
              <w:rPr>
                <w:bCs/>
                <w:lang w:val="sr-Cyrl-CS"/>
              </w:rPr>
            </w:pPr>
            <w:r>
              <w:rPr>
                <w:bCs/>
              </w:rPr>
              <w:t>M</w:t>
            </w:r>
            <w:r w:rsidRPr="004610C4">
              <w:rPr>
                <w:bCs/>
                <w:lang w:val="sr-Cyrl-CS"/>
              </w:rPr>
              <w:t xml:space="preserve">ember of the </w:t>
            </w:r>
            <w:r>
              <w:rPr>
                <w:bCs/>
              </w:rPr>
              <w:t>Chamber for Court Experts</w:t>
            </w:r>
            <w:r w:rsidRPr="004610C4">
              <w:rPr>
                <w:bCs/>
                <w:lang w:val="sr-Cyrl-CS"/>
              </w:rPr>
              <w:t xml:space="preserve"> Experts on Decision No. 740-05-03911 / 2010-03 issued by the Ministry of Justice for Forestry, narrow specialty molecular, DNA characterization of agricultural and forest species, pathogens and insects in forestry.</w:t>
            </w:r>
          </w:p>
          <w:p w:rsidR="004610C4" w:rsidRPr="004610C4" w:rsidRDefault="004610C4" w:rsidP="004610C4">
            <w:pPr>
              <w:rPr>
                <w:bCs/>
                <w:lang w:val="sr-Cyrl-CS"/>
              </w:rPr>
            </w:pPr>
            <w:r>
              <w:rPr>
                <w:bCs/>
              </w:rPr>
              <w:t>E</w:t>
            </w:r>
            <w:r w:rsidRPr="004610C4">
              <w:rPr>
                <w:bCs/>
                <w:lang w:val="sr-Cyrl-CS"/>
              </w:rPr>
              <w:t>xternal expert of the BIP Parent Scientific Committee for the evaluation of technical solutions</w:t>
            </w:r>
          </w:p>
          <w:p w:rsidR="00FD7D70" w:rsidRPr="00A47605" w:rsidRDefault="004610C4" w:rsidP="004610C4">
            <w:pPr>
              <w:rPr>
                <w:bCs/>
                <w:lang w:val="sr-Cyrl-CS"/>
              </w:rPr>
            </w:pPr>
            <w:r w:rsidRPr="004610C4">
              <w:rPr>
                <w:bCs/>
                <w:lang w:val="sr-Cyrl-CS"/>
              </w:rPr>
              <w:t xml:space="preserve">Varieties: Sasa Orlovic, Miroslav Markovic, Marina Katanic, Vladislava Galovic, Srdjan Stojnic, Rotkin Oleg, </w:t>
            </w:r>
            <w:r>
              <w:rPr>
                <w:bCs/>
              </w:rPr>
              <w:t xml:space="preserve">Variety of </w:t>
            </w:r>
            <w:r w:rsidRPr="004610C4">
              <w:rPr>
                <w:bCs/>
                <w:lang w:val="sr-Cyrl-CS"/>
              </w:rPr>
              <w:t>Willow (</w:t>
            </w:r>
            <w:r w:rsidRPr="004610C4">
              <w:rPr>
                <w:bCs/>
                <w:i/>
                <w:iCs/>
                <w:lang w:val="sr-Cyrl-CS"/>
              </w:rPr>
              <w:t>Salix alba</w:t>
            </w:r>
            <w:r w:rsidRPr="004610C4">
              <w:rPr>
                <w:bCs/>
                <w:lang w:val="sr-Cyrl-CS"/>
              </w:rPr>
              <w:t xml:space="preserve"> L.) "VOLMANKA" No. 201219 from 29.12.2012.</w:t>
            </w:r>
            <w:r w:rsidR="00FD7D70" w:rsidRPr="00A47605">
              <w:rPr>
                <w:bCs/>
                <w:lang w:val="sr-Cyrl-CS"/>
              </w:rPr>
              <w:tab/>
            </w:r>
            <w:r w:rsidR="00FD7D70" w:rsidRPr="00A47605">
              <w:rPr>
                <w:bCs/>
                <w:lang w:val="sr-Cyrl-CS"/>
              </w:rPr>
              <w:tab/>
            </w:r>
          </w:p>
        </w:tc>
      </w:tr>
    </w:tbl>
    <w:p w:rsidR="00765095" w:rsidRDefault="00765095" w:rsidP="006F7007"/>
    <w:sectPr w:rsidR="00765095" w:rsidSect="00765095">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132D24"/>
    <w:rsid w:val="0006138E"/>
    <w:rsid w:val="00062CE6"/>
    <w:rsid w:val="00087093"/>
    <w:rsid w:val="000C70B7"/>
    <w:rsid w:val="00132D24"/>
    <w:rsid w:val="0015631C"/>
    <w:rsid w:val="0029578A"/>
    <w:rsid w:val="00346730"/>
    <w:rsid w:val="003751CB"/>
    <w:rsid w:val="003A094E"/>
    <w:rsid w:val="003A5A01"/>
    <w:rsid w:val="004610C4"/>
    <w:rsid w:val="00482387"/>
    <w:rsid w:val="005230DA"/>
    <w:rsid w:val="005473B3"/>
    <w:rsid w:val="006162E0"/>
    <w:rsid w:val="006566C8"/>
    <w:rsid w:val="00694E6E"/>
    <w:rsid w:val="00697E58"/>
    <w:rsid w:val="006A6E57"/>
    <w:rsid w:val="006D02F2"/>
    <w:rsid w:val="006D5E5C"/>
    <w:rsid w:val="006F7007"/>
    <w:rsid w:val="00765095"/>
    <w:rsid w:val="0078307B"/>
    <w:rsid w:val="007C2217"/>
    <w:rsid w:val="008A6BBA"/>
    <w:rsid w:val="008C0923"/>
    <w:rsid w:val="00975FB8"/>
    <w:rsid w:val="009929B3"/>
    <w:rsid w:val="00A47605"/>
    <w:rsid w:val="00AE3572"/>
    <w:rsid w:val="00B7711A"/>
    <w:rsid w:val="00D1022A"/>
    <w:rsid w:val="00E2245D"/>
    <w:rsid w:val="00EA3431"/>
    <w:rsid w:val="00ED24AE"/>
    <w:rsid w:val="00F11285"/>
    <w:rsid w:val="00F424E9"/>
    <w:rsid w:val="00F5792B"/>
    <w:rsid w:val="00FD7D7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32D24"/>
    <w:pPr>
      <w:widowControl w:val="0"/>
      <w:autoSpaceDE w:val="0"/>
      <w:autoSpaceDN w:val="0"/>
      <w:adjustRightInd w:val="0"/>
      <w:spacing w:after="0" w:line="240" w:lineRule="auto"/>
    </w:pPr>
    <w:rPr>
      <w:rFonts w:ascii="Times New Roman" w:eastAsia="Cambria" w:hAnsi="Times New Roman" w:cs="Times New Roman"/>
      <w:sz w:val="20"/>
      <w:szCs w:val="20"/>
      <w:lang w:val="sr-Latn-CS" w:eastAsia="sr-Latn-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tlid-translation">
    <w:name w:val="tlid-translation"/>
    <w:basedOn w:val="DefaultParagraphFont"/>
    <w:rsid w:val="006D02F2"/>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2</Pages>
  <Words>816</Words>
  <Characters>4656</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5462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Mihajla Djan</dc:creator>
  <cp:lastModifiedBy>Windows User</cp:lastModifiedBy>
  <cp:revision>9</cp:revision>
  <dcterms:created xsi:type="dcterms:W3CDTF">2020-01-20T08:16:00Z</dcterms:created>
  <dcterms:modified xsi:type="dcterms:W3CDTF">2020-05-12T10:51:00Z</dcterms:modified>
</cp:coreProperties>
</file>