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057"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7"/>
        <w:gridCol w:w="1522"/>
        <w:gridCol w:w="731"/>
        <w:gridCol w:w="443"/>
        <w:gridCol w:w="1116"/>
        <w:gridCol w:w="1763"/>
        <w:gridCol w:w="1139"/>
        <w:gridCol w:w="232"/>
        <w:gridCol w:w="1656"/>
        <w:gridCol w:w="1167"/>
        <w:gridCol w:w="724"/>
        <w:gridCol w:w="670"/>
      </w:tblGrid>
      <w:tr w:rsidR="004B115C" w:rsidRPr="00253D02" w:rsidTr="00B632C7">
        <w:trPr>
          <w:trHeight w:val="231"/>
          <w:jc w:val="center"/>
        </w:trPr>
        <w:tc>
          <w:tcPr>
            <w:tcW w:w="1159" w:type="pct"/>
            <w:gridSpan w:val="3"/>
            <w:vAlign w:val="center"/>
          </w:tcPr>
          <w:p w:rsidR="004B115C" w:rsidRPr="00253D02" w:rsidRDefault="004B115C" w:rsidP="002A34BB">
            <w:pPr>
              <w:rPr>
                <w:lang w:val="en-US"/>
              </w:rPr>
            </w:pPr>
            <w:r w:rsidRPr="00253D02">
              <w:rPr>
                <w:b/>
                <w:lang w:val="en-US"/>
              </w:rPr>
              <w:t>Name and family name</w:t>
            </w:r>
          </w:p>
        </w:tc>
        <w:tc>
          <w:tcPr>
            <w:tcW w:w="3841" w:type="pct"/>
            <w:gridSpan w:val="9"/>
            <w:vAlign w:val="center"/>
          </w:tcPr>
          <w:p w:rsidR="004B115C" w:rsidRPr="00B73545" w:rsidRDefault="00A638C9" w:rsidP="002A34BB">
            <w:pPr>
              <w:rPr>
                <w:b/>
                <w:sz w:val="18"/>
                <w:szCs w:val="18"/>
                <w:lang w:val="en-US"/>
              </w:rPr>
            </w:pPr>
            <w:r w:rsidRPr="00B73545">
              <w:rPr>
                <w:b/>
                <w:sz w:val="18"/>
                <w:szCs w:val="18"/>
                <w:lang w:val="en-US"/>
              </w:rPr>
              <w:t>Maja K</w:t>
            </w:r>
            <w:r w:rsidR="00FE2737" w:rsidRPr="00B73545">
              <w:rPr>
                <w:b/>
                <w:sz w:val="18"/>
                <w:szCs w:val="18"/>
                <w:lang w:val="en-US"/>
              </w:rPr>
              <w:t>araman</w:t>
            </w:r>
          </w:p>
        </w:tc>
      </w:tr>
      <w:tr w:rsidR="004B115C" w:rsidRPr="00253D02" w:rsidTr="00B632C7">
        <w:trPr>
          <w:trHeight w:val="231"/>
          <w:jc w:val="center"/>
        </w:trPr>
        <w:tc>
          <w:tcPr>
            <w:tcW w:w="1159" w:type="pct"/>
            <w:gridSpan w:val="3"/>
            <w:vAlign w:val="center"/>
          </w:tcPr>
          <w:p w:rsidR="004B115C" w:rsidRPr="00253D02" w:rsidRDefault="004B115C" w:rsidP="002A34BB">
            <w:pPr>
              <w:rPr>
                <w:lang w:val="en-US"/>
              </w:rPr>
            </w:pPr>
            <w:r w:rsidRPr="00253D02">
              <w:rPr>
                <w:b/>
                <w:lang w:val="en-US"/>
              </w:rPr>
              <w:t xml:space="preserve">Title </w:t>
            </w:r>
          </w:p>
        </w:tc>
        <w:tc>
          <w:tcPr>
            <w:tcW w:w="3841" w:type="pct"/>
            <w:gridSpan w:val="9"/>
            <w:vAlign w:val="center"/>
          </w:tcPr>
          <w:p w:rsidR="004B115C" w:rsidRPr="002019B9" w:rsidRDefault="00A638C9" w:rsidP="002A34BB">
            <w:pPr>
              <w:rPr>
                <w:sz w:val="18"/>
                <w:szCs w:val="18"/>
                <w:lang w:val="en-US"/>
              </w:rPr>
            </w:pPr>
            <w:r w:rsidRPr="002019B9">
              <w:rPr>
                <w:sz w:val="18"/>
                <w:szCs w:val="18"/>
                <w:lang w:val="en-US"/>
              </w:rPr>
              <w:t>Associate</w:t>
            </w:r>
            <w:r w:rsidR="004B115C" w:rsidRPr="002019B9">
              <w:rPr>
                <w:sz w:val="18"/>
                <w:szCs w:val="18"/>
                <w:lang w:val="en-US"/>
              </w:rPr>
              <w:t xml:space="preserve"> Professor</w:t>
            </w:r>
          </w:p>
        </w:tc>
      </w:tr>
      <w:tr w:rsidR="004B115C" w:rsidRPr="00253D02" w:rsidTr="00B632C7">
        <w:trPr>
          <w:trHeight w:val="231"/>
          <w:jc w:val="center"/>
        </w:trPr>
        <w:tc>
          <w:tcPr>
            <w:tcW w:w="1159" w:type="pct"/>
            <w:gridSpan w:val="3"/>
            <w:vAlign w:val="center"/>
          </w:tcPr>
          <w:p w:rsidR="004B115C" w:rsidRPr="00253D02" w:rsidRDefault="004B115C" w:rsidP="002A34BB">
            <w:pPr>
              <w:rPr>
                <w:lang w:val="en-US"/>
              </w:rPr>
            </w:pPr>
            <w:r w:rsidRPr="00253D02">
              <w:rPr>
                <w:b/>
                <w:lang w:val="en-US"/>
              </w:rPr>
              <w:t>Narrow scientific area</w:t>
            </w:r>
          </w:p>
        </w:tc>
        <w:tc>
          <w:tcPr>
            <w:tcW w:w="3841" w:type="pct"/>
            <w:gridSpan w:val="9"/>
            <w:vAlign w:val="center"/>
          </w:tcPr>
          <w:p w:rsidR="004B115C" w:rsidRPr="00850141" w:rsidRDefault="006F1646" w:rsidP="002A34BB">
            <w:pPr>
              <w:rPr>
                <w:b/>
                <w:sz w:val="18"/>
                <w:szCs w:val="18"/>
                <w:lang w:val="en-US"/>
              </w:rPr>
            </w:pPr>
            <w:r>
              <w:t>Microbiology (Mycology)</w:t>
            </w:r>
          </w:p>
        </w:tc>
      </w:tr>
      <w:tr w:rsidR="002019B9" w:rsidRPr="00253D02" w:rsidTr="002019B9">
        <w:trPr>
          <w:trHeight w:val="231"/>
          <w:jc w:val="center"/>
        </w:trPr>
        <w:tc>
          <w:tcPr>
            <w:tcW w:w="844" w:type="pct"/>
            <w:gridSpan w:val="2"/>
            <w:vAlign w:val="center"/>
          </w:tcPr>
          <w:p w:rsidR="002019B9" w:rsidRPr="00253D02" w:rsidRDefault="002019B9" w:rsidP="002A34BB">
            <w:pPr>
              <w:rPr>
                <w:lang w:val="en-US"/>
              </w:rPr>
            </w:pPr>
            <w:r w:rsidRPr="00253D02">
              <w:rPr>
                <w:b/>
                <w:lang w:val="en-US"/>
              </w:rPr>
              <w:t>Academic career</w:t>
            </w:r>
          </w:p>
        </w:tc>
        <w:tc>
          <w:tcPr>
            <w:tcW w:w="506" w:type="pct"/>
            <w:gridSpan w:val="2"/>
            <w:vAlign w:val="center"/>
          </w:tcPr>
          <w:p w:rsidR="002019B9" w:rsidRPr="00FE2737" w:rsidRDefault="002019B9" w:rsidP="002A34BB">
            <w:pPr>
              <w:jc w:val="center"/>
              <w:rPr>
                <w:b/>
                <w:lang w:val="en-US"/>
              </w:rPr>
            </w:pPr>
            <w:r w:rsidRPr="00FE2737">
              <w:rPr>
                <w:b/>
                <w:lang w:val="en-US"/>
              </w:rPr>
              <w:t>Year</w:t>
            </w:r>
          </w:p>
        </w:tc>
        <w:tc>
          <w:tcPr>
            <w:tcW w:w="1241" w:type="pct"/>
            <w:gridSpan w:val="2"/>
            <w:vAlign w:val="center"/>
          </w:tcPr>
          <w:p w:rsidR="002019B9" w:rsidRPr="00FE2737" w:rsidRDefault="002019B9" w:rsidP="002A34BB">
            <w:pPr>
              <w:jc w:val="center"/>
              <w:rPr>
                <w:b/>
                <w:lang w:val="en-US"/>
              </w:rPr>
            </w:pPr>
            <w:r w:rsidRPr="00FE2737">
              <w:rPr>
                <w:b/>
                <w:lang w:val="en-US"/>
              </w:rPr>
              <w:t>Institution</w:t>
            </w:r>
          </w:p>
        </w:tc>
        <w:tc>
          <w:tcPr>
            <w:tcW w:w="2409" w:type="pct"/>
            <w:gridSpan w:val="6"/>
            <w:vAlign w:val="center"/>
          </w:tcPr>
          <w:p w:rsidR="002019B9" w:rsidRPr="00FE2737" w:rsidRDefault="002019B9" w:rsidP="002A34BB">
            <w:pPr>
              <w:rPr>
                <w:b/>
                <w:lang w:val="en-US"/>
              </w:rPr>
            </w:pPr>
            <w:r w:rsidRPr="00FE2737">
              <w:rPr>
                <w:rStyle w:val="tlid-translation"/>
                <w:b/>
              </w:rPr>
              <w:t>Narrow scientific field</w:t>
            </w:r>
            <w:r w:rsidRPr="00FE2737">
              <w:rPr>
                <w:b/>
              </w:rPr>
              <w:t xml:space="preserve"> </w:t>
            </w:r>
            <w:r w:rsidRPr="00FE2737">
              <w:rPr>
                <w:rStyle w:val="tlid-translation"/>
                <w:b/>
              </w:rPr>
              <w:t>or art field</w:t>
            </w:r>
          </w:p>
        </w:tc>
      </w:tr>
      <w:tr w:rsidR="002019B9" w:rsidRPr="00253D02" w:rsidTr="002019B9">
        <w:trPr>
          <w:trHeight w:val="231"/>
          <w:jc w:val="center"/>
        </w:trPr>
        <w:tc>
          <w:tcPr>
            <w:tcW w:w="844" w:type="pct"/>
            <w:gridSpan w:val="2"/>
            <w:vAlign w:val="center"/>
          </w:tcPr>
          <w:p w:rsidR="002019B9" w:rsidRPr="00850141" w:rsidRDefault="002019B9" w:rsidP="002A34BB">
            <w:pPr>
              <w:rPr>
                <w:sz w:val="18"/>
                <w:szCs w:val="18"/>
                <w:lang w:val="en-US"/>
              </w:rPr>
            </w:pPr>
            <w:r w:rsidRPr="00850141">
              <w:rPr>
                <w:sz w:val="18"/>
                <w:szCs w:val="18"/>
                <w:lang w:val="en-US"/>
              </w:rPr>
              <w:t>Election to the title</w:t>
            </w:r>
          </w:p>
        </w:tc>
        <w:tc>
          <w:tcPr>
            <w:tcW w:w="506" w:type="pct"/>
            <w:gridSpan w:val="2"/>
          </w:tcPr>
          <w:p w:rsidR="002019B9" w:rsidRPr="00A13641" w:rsidRDefault="002019B9" w:rsidP="002A34BB">
            <w:pPr>
              <w:jc w:val="center"/>
              <w:rPr>
                <w:lang w:val="sr-Cyrl-CS"/>
              </w:rPr>
            </w:pPr>
            <w:r w:rsidRPr="00A13641">
              <w:rPr>
                <w:lang w:val="sr-Cyrl-CS"/>
              </w:rPr>
              <w:t>2015</w:t>
            </w:r>
          </w:p>
        </w:tc>
        <w:tc>
          <w:tcPr>
            <w:tcW w:w="1241" w:type="pct"/>
            <w:gridSpan w:val="2"/>
            <w:vAlign w:val="center"/>
          </w:tcPr>
          <w:p w:rsidR="002019B9" w:rsidRPr="007F2DC4" w:rsidRDefault="002019B9" w:rsidP="002A34BB">
            <w:pPr>
              <w:jc w:val="center"/>
              <w:rPr>
                <w:lang w:val="en-US"/>
              </w:rPr>
            </w:pPr>
            <w:r>
              <w:rPr>
                <w:lang w:val="en-US"/>
              </w:rPr>
              <w:t>Faculty of Sciences, UNS</w:t>
            </w:r>
          </w:p>
        </w:tc>
        <w:tc>
          <w:tcPr>
            <w:tcW w:w="2409" w:type="pct"/>
            <w:gridSpan w:val="6"/>
            <w:vAlign w:val="center"/>
          </w:tcPr>
          <w:p w:rsidR="002019B9" w:rsidRPr="0073746E" w:rsidRDefault="002019B9" w:rsidP="002A34BB">
            <w:r>
              <w:t>Microbiology</w:t>
            </w:r>
          </w:p>
        </w:tc>
      </w:tr>
      <w:tr w:rsidR="002019B9" w:rsidRPr="00253D02" w:rsidTr="002019B9">
        <w:trPr>
          <w:trHeight w:val="231"/>
          <w:jc w:val="center"/>
        </w:trPr>
        <w:tc>
          <w:tcPr>
            <w:tcW w:w="844" w:type="pct"/>
            <w:gridSpan w:val="2"/>
            <w:vAlign w:val="center"/>
          </w:tcPr>
          <w:p w:rsidR="002019B9" w:rsidRPr="00850141" w:rsidRDefault="002019B9" w:rsidP="002A34BB">
            <w:pPr>
              <w:rPr>
                <w:sz w:val="18"/>
                <w:szCs w:val="18"/>
                <w:lang w:val="en-US"/>
              </w:rPr>
            </w:pPr>
            <w:r w:rsidRPr="00850141">
              <w:rPr>
                <w:sz w:val="18"/>
                <w:szCs w:val="18"/>
                <w:lang w:val="en-US"/>
              </w:rPr>
              <w:t>PhD</w:t>
            </w:r>
          </w:p>
        </w:tc>
        <w:tc>
          <w:tcPr>
            <w:tcW w:w="506" w:type="pct"/>
            <w:gridSpan w:val="2"/>
            <w:vAlign w:val="center"/>
          </w:tcPr>
          <w:p w:rsidR="002019B9" w:rsidRPr="00A22864" w:rsidRDefault="002019B9" w:rsidP="002A34BB">
            <w:pPr>
              <w:jc w:val="center"/>
              <w:rPr>
                <w:lang w:val="sr-Cyrl-CS"/>
              </w:rPr>
            </w:pPr>
            <w:r w:rsidRPr="00DD0CEB">
              <w:rPr>
                <w:lang w:val="sr-Cyrl-CS"/>
              </w:rPr>
              <w:t>2009</w:t>
            </w:r>
          </w:p>
        </w:tc>
        <w:tc>
          <w:tcPr>
            <w:tcW w:w="1241" w:type="pct"/>
            <w:gridSpan w:val="2"/>
          </w:tcPr>
          <w:p w:rsidR="002019B9" w:rsidRPr="00A71921" w:rsidRDefault="002019B9" w:rsidP="002A34BB">
            <w:pPr>
              <w:jc w:val="center"/>
            </w:pPr>
            <w:r w:rsidRPr="00A71921">
              <w:rPr>
                <w:lang w:val="en-US"/>
              </w:rPr>
              <w:t>Faculty of Sciences</w:t>
            </w:r>
            <w:r>
              <w:rPr>
                <w:lang w:val="en-US"/>
              </w:rPr>
              <w:t>, UNS</w:t>
            </w:r>
          </w:p>
        </w:tc>
        <w:tc>
          <w:tcPr>
            <w:tcW w:w="2409" w:type="pct"/>
            <w:gridSpan w:val="6"/>
          </w:tcPr>
          <w:p w:rsidR="002019B9" w:rsidRPr="0077267C" w:rsidRDefault="002019B9" w:rsidP="002A34BB">
            <w:r>
              <w:t>Microbiology/biochemistry</w:t>
            </w:r>
          </w:p>
        </w:tc>
      </w:tr>
      <w:tr w:rsidR="002019B9" w:rsidRPr="00253D02" w:rsidTr="002019B9">
        <w:trPr>
          <w:trHeight w:val="231"/>
          <w:jc w:val="center"/>
        </w:trPr>
        <w:tc>
          <w:tcPr>
            <w:tcW w:w="844" w:type="pct"/>
            <w:gridSpan w:val="2"/>
            <w:vAlign w:val="center"/>
          </w:tcPr>
          <w:p w:rsidR="002019B9" w:rsidRPr="00850141" w:rsidRDefault="002019B9" w:rsidP="002A34BB">
            <w:pPr>
              <w:rPr>
                <w:sz w:val="18"/>
                <w:szCs w:val="18"/>
                <w:lang w:val="en-US"/>
              </w:rPr>
            </w:pPr>
            <w:r w:rsidRPr="00850141">
              <w:rPr>
                <w:sz w:val="18"/>
                <w:szCs w:val="18"/>
                <w:lang w:val="en-US"/>
              </w:rPr>
              <w:t>Master degree</w:t>
            </w:r>
          </w:p>
        </w:tc>
        <w:tc>
          <w:tcPr>
            <w:tcW w:w="506" w:type="pct"/>
            <w:gridSpan w:val="2"/>
            <w:vAlign w:val="center"/>
          </w:tcPr>
          <w:p w:rsidR="002019B9" w:rsidRPr="00A22864" w:rsidRDefault="002019B9" w:rsidP="002A34BB">
            <w:pPr>
              <w:jc w:val="center"/>
              <w:rPr>
                <w:lang w:val="sr-Cyrl-CS"/>
              </w:rPr>
            </w:pPr>
            <w:r w:rsidRPr="00DD0CEB">
              <w:rPr>
                <w:lang w:val="sr-Cyrl-CS"/>
              </w:rPr>
              <w:t>2002</w:t>
            </w:r>
          </w:p>
        </w:tc>
        <w:tc>
          <w:tcPr>
            <w:tcW w:w="1241" w:type="pct"/>
            <w:gridSpan w:val="2"/>
          </w:tcPr>
          <w:p w:rsidR="002019B9" w:rsidRPr="00A71921" w:rsidRDefault="002019B9" w:rsidP="002A34BB">
            <w:pPr>
              <w:jc w:val="center"/>
            </w:pPr>
            <w:r w:rsidRPr="00A71921">
              <w:rPr>
                <w:lang w:val="en-US"/>
              </w:rPr>
              <w:t>Faculty of Sciences</w:t>
            </w:r>
            <w:r>
              <w:rPr>
                <w:lang w:val="en-US"/>
              </w:rPr>
              <w:t>, UNS</w:t>
            </w:r>
          </w:p>
        </w:tc>
        <w:tc>
          <w:tcPr>
            <w:tcW w:w="2409" w:type="pct"/>
            <w:gridSpan w:val="6"/>
          </w:tcPr>
          <w:p w:rsidR="002019B9" w:rsidRPr="0073746E" w:rsidRDefault="002019B9" w:rsidP="002A34BB">
            <w:r>
              <w:t>Microbiology/physiology</w:t>
            </w:r>
          </w:p>
        </w:tc>
      </w:tr>
      <w:tr w:rsidR="002019B9" w:rsidRPr="00253D02" w:rsidTr="002019B9">
        <w:trPr>
          <w:trHeight w:val="231"/>
          <w:jc w:val="center"/>
        </w:trPr>
        <w:tc>
          <w:tcPr>
            <w:tcW w:w="844" w:type="pct"/>
            <w:gridSpan w:val="2"/>
            <w:vAlign w:val="center"/>
          </w:tcPr>
          <w:p w:rsidR="002019B9" w:rsidRPr="00850141" w:rsidRDefault="002019B9" w:rsidP="002A34BB">
            <w:pPr>
              <w:rPr>
                <w:sz w:val="18"/>
                <w:szCs w:val="18"/>
                <w:lang w:val="en-US"/>
              </w:rPr>
            </w:pPr>
            <w:r w:rsidRPr="00850141">
              <w:rPr>
                <w:sz w:val="18"/>
                <w:szCs w:val="18"/>
                <w:lang w:val="en-US"/>
              </w:rPr>
              <w:t xml:space="preserve">Diploma </w:t>
            </w:r>
          </w:p>
        </w:tc>
        <w:tc>
          <w:tcPr>
            <w:tcW w:w="506" w:type="pct"/>
            <w:gridSpan w:val="2"/>
            <w:vAlign w:val="center"/>
          </w:tcPr>
          <w:p w:rsidR="002019B9" w:rsidRPr="00A22864" w:rsidRDefault="002019B9" w:rsidP="002A34BB">
            <w:pPr>
              <w:jc w:val="center"/>
              <w:rPr>
                <w:lang w:val="sr-Cyrl-CS"/>
              </w:rPr>
            </w:pPr>
            <w:r w:rsidRPr="00DD0CEB">
              <w:rPr>
                <w:lang w:val="sr-Cyrl-CS"/>
              </w:rPr>
              <w:t>1997</w:t>
            </w:r>
          </w:p>
        </w:tc>
        <w:tc>
          <w:tcPr>
            <w:tcW w:w="1241" w:type="pct"/>
            <w:gridSpan w:val="2"/>
          </w:tcPr>
          <w:p w:rsidR="002019B9" w:rsidRPr="00A71921" w:rsidRDefault="002019B9" w:rsidP="002A34BB">
            <w:pPr>
              <w:jc w:val="center"/>
            </w:pPr>
            <w:r w:rsidRPr="00A71921">
              <w:rPr>
                <w:lang w:val="en-US"/>
              </w:rPr>
              <w:t>Faculty of Sciences</w:t>
            </w:r>
            <w:r>
              <w:rPr>
                <w:lang w:val="en-US"/>
              </w:rPr>
              <w:t>, UNS</w:t>
            </w:r>
          </w:p>
        </w:tc>
        <w:tc>
          <w:tcPr>
            <w:tcW w:w="2409" w:type="pct"/>
            <w:gridSpan w:val="6"/>
          </w:tcPr>
          <w:p w:rsidR="002019B9" w:rsidRPr="0073746E" w:rsidRDefault="002019B9" w:rsidP="002A34BB">
            <w:r>
              <w:t>Biology/taxonomy</w:t>
            </w:r>
          </w:p>
        </w:tc>
      </w:tr>
      <w:tr w:rsidR="006F1646" w:rsidRPr="00253D02" w:rsidTr="00B632C7">
        <w:trPr>
          <w:trHeight w:val="231"/>
          <w:jc w:val="center"/>
        </w:trPr>
        <w:tc>
          <w:tcPr>
            <w:tcW w:w="5000" w:type="pct"/>
            <w:gridSpan w:val="12"/>
            <w:vAlign w:val="center"/>
          </w:tcPr>
          <w:p w:rsidR="006F1646" w:rsidRPr="00253D02" w:rsidRDefault="006F1646" w:rsidP="002A34BB">
            <w:pPr>
              <w:spacing w:after="60"/>
              <w:rPr>
                <w:lang w:val="en-US"/>
              </w:rPr>
            </w:pPr>
            <w:r w:rsidRPr="00253D02">
              <w:rPr>
                <w:b/>
                <w:lang w:val="en-US"/>
              </w:rPr>
              <w:t xml:space="preserve">A list of dissertations-doctoral art projects in which the teacher is or was a mentor in the past 10 years </w:t>
            </w:r>
          </w:p>
        </w:tc>
      </w:tr>
      <w:tr w:rsidR="001D7ED3" w:rsidRPr="00253D02" w:rsidTr="001D7ED3">
        <w:trPr>
          <w:trHeight w:val="231"/>
          <w:jc w:val="center"/>
        </w:trPr>
        <w:tc>
          <w:tcPr>
            <w:tcW w:w="188" w:type="pct"/>
            <w:vAlign w:val="center"/>
          </w:tcPr>
          <w:p w:rsidR="006F1646" w:rsidRPr="00253D02" w:rsidRDefault="006F1646" w:rsidP="002A34BB">
            <w:pPr>
              <w:spacing w:after="60"/>
              <w:rPr>
                <w:lang w:val="en-US"/>
              </w:rPr>
            </w:pPr>
            <w:r w:rsidRPr="00253D02">
              <w:rPr>
                <w:lang w:val="en-US"/>
              </w:rPr>
              <w:t>No.</w:t>
            </w:r>
          </w:p>
        </w:tc>
        <w:tc>
          <w:tcPr>
            <w:tcW w:w="2894" w:type="pct"/>
            <w:gridSpan w:val="6"/>
            <w:vAlign w:val="center"/>
          </w:tcPr>
          <w:p w:rsidR="006F1646" w:rsidRPr="00253D02" w:rsidRDefault="006F1646" w:rsidP="002A34BB">
            <w:pPr>
              <w:spacing w:after="60"/>
              <w:rPr>
                <w:lang w:val="en-US"/>
              </w:rPr>
            </w:pPr>
            <w:r w:rsidRPr="00253D02">
              <w:rPr>
                <w:lang w:val="en-US"/>
              </w:rPr>
              <w:t>Title of the dissertation – doctoral art project</w:t>
            </w:r>
          </w:p>
        </w:tc>
        <w:tc>
          <w:tcPr>
            <w:tcW w:w="814" w:type="pct"/>
            <w:gridSpan w:val="2"/>
            <w:vAlign w:val="center"/>
          </w:tcPr>
          <w:p w:rsidR="006F1646" w:rsidRPr="00253D02" w:rsidRDefault="006F1646" w:rsidP="002A34BB">
            <w:pPr>
              <w:spacing w:after="60"/>
              <w:rPr>
                <w:lang w:val="en-US"/>
              </w:rPr>
            </w:pPr>
            <w:r w:rsidRPr="00253D02">
              <w:rPr>
                <w:lang w:val="en-US"/>
              </w:rPr>
              <w:t xml:space="preserve">Name of the candidate </w:t>
            </w:r>
          </w:p>
        </w:tc>
        <w:tc>
          <w:tcPr>
            <w:tcW w:w="503" w:type="pct"/>
            <w:vAlign w:val="center"/>
          </w:tcPr>
          <w:p w:rsidR="006F1646" w:rsidRPr="00253D02" w:rsidRDefault="006F1646" w:rsidP="002A34BB">
            <w:pPr>
              <w:spacing w:after="60"/>
              <w:rPr>
                <w:lang w:val="en-US"/>
              </w:rPr>
            </w:pPr>
            <w:r w:rsidRPr="00253D02">
              <w:rPr>
                <w:lang w:val="en-US"/>
              </w:rPr>
              <w:t xml:space="preserve">*submitted </w:t>
            </w:r>
          </w:p>
        </w:tc>
        <w:tc>
          <w:tcPr>
            <w:tcW w:w="601" w:type="pct"/>
            <w:gridSpan w:val="2"/>
            <w:vAlign w:val="center"/>
          </w:tcPr>
          <w:p w:rsidR="006F1646" w:rsidRPr="00253D02" w:rsidRDefault="006F1646" w:rsidP="002A34BB">
            <w:pPr>
              <w:spacing w:after="60"/>
              <w:rPr>
                <w:lang w:val="en-US"/>
              </w:rPr>
            </w:pPr>
            <w:r w:rsidRPr="00253D02">
              <w:rPr>
                <w:lang w:val="en-US"/>
              </w:rPr>
              <w:t>** defended</w:t>
            </w:r>
          </w:p>
        </w:tc>
      </w:tr>
      <w:tr w:rsidR="001D7ED3" w:rsidRPr="00253D02" w:rsidTr="001D7ED3">
        <w:trPr>
          <w:trHeight w:val="231"/>
          <w:jc w:val="center"/>
        </w:trPr>
        <w:tc>
          <w:tcPr>
            <w:tcW w:w="188" w:type="pct"/>
            <w:vAlign w:val="center"/>
          </w:tcPr>
          <w:p w:rsidR="00B632C7" w:rsidRPr="00253D02" w:rsidRDefault="00B632C7" w:rsidP="002A34BB">
            <w:pPr>
              <w:spacing w:after="60"/>
              <w:jc w:val="center"/>
              <w:rPr>
                <w:lang w:val="sr-Cyrl-CS"/>
              </w:rPr>
            </w:pPr>
            <w:r w:rsidRPr="00253D02">
              <w:rPr>
                <w:lang w:val="sr-Cyrl-CS"/>
              </w:rPr>
              <w:t>1.</w:t>
            </w:r>
          </w:p>
        </w:tc>
        <w:tc>
          <w:tcPr>
            <w:tcW w:w="2894" w:type="pct"/>
            <w:gridSpan w:val="6"/>
            <w:vAlign w:val="center"/>
          </w:tcPr>
          <w:p w:rsidR="00B632C7" w:rsidRPr="001D7ED3" w:rsidRDefault="00B632C7" w:rsidP="001D7ED3">
            <w:pPr>
              <w:spacing w:after="60"/>
              <w:rPr>
                <w:sz w:val="18"/>
                <w:szCs w:val="18"/>
                <w:lang w:val="sr-Cyrl-CS"/>
              </w:rPr>
            </w:pPr>
            <w:r w:rsidRPr="001D7ED3">
              <w:rPr>
                <w:sz w:val="18"/>
                <w:szCs w:val="18"/>
              </w:rPr>
              <w:t xml:space="preserve">Biopotential of autochtonous fungi in </w:t>
            </w:r>
            <w:r w:rsidR="001D7ED3" w:rsidRPr="001D7ED3">
              <w:rPr>
                <w:sz w:val="18"/>
                <w:szCs w:val="18"/>
              </w:rPr>
              <w:t>the</w:t>
            </w:r>
            <w:r w:rsidRPr="001D7ED3">
              <w:rPr>
                <w:sz w:val="18"/>
                <w:szCs w:val="18"/>
              </w:rPr>
              <w:t xml:space="preserve"> function of nutraceutic</w:t>
            </w:r>
            <w:r w:rsidR="001D7ED3" w:rsidRPr="001D7ED3">
              <w:rPr>
                <w:sz w:val="18"/>
                <w:szCs w:val="18"/>
              </w:rPr>
              <w:t>al</w:t>
            </w:r>
            <w:r w:rsidRPr="001D7ED3">
              <w:rPr>
                <w:sz w:val="18"/>
                <w:szCs w:val="18"/>
              </w:rPr>
              <w:t>s</w:t>
            </w:r>
          </w:p>
        </w:tc>
        <w:tc>
          <w:tcPr>
            <w:tcW w:w="814" w:type="pct"/>
            <w:gridSpan w:val="2"/>
            <w:vAlign w:val="center"/>
          </w:tcPr>
          <w:p w:rsidR="00B632C7" w:rsidRPr="001D7ED3" w:rsidRDefault="00B632C7" w:rsidP="00B632C7">
            <w:pPr>
              <w:spacing w:after="60"/>
              <w:jc w:val="center"/>
              <w:rPr>
                <w:sz w:val="18"/>
                <w:szCs w:val="18"/>
              </w:rPr>
            </w:pPr>
            <w:r w:rsidRPr="001D7ED3">
              <w:rPr>
                <w:sz w:val="18"/>
                <w:szCs w:val="18"/>
              </w:rPr>
              <w:t>Aleksandra Novaković</w:t>
            </w:r>
          </w:p>
        </w:tc>
        <w:tc>
          <w:tcPr>
            <w:tcW w:w="503" w:type="pct"/>
            <w:vAlign w:val="center"/>
          </w:tcPr>
          <w:p w:rsidR="00B632C7" w:rsidRPr="00DF6046" w:rsidRDefault="00B632C7" w:rsidP="00B632C7">
            <w:pPr>
              <w:spacing w:after="60"/>
              <w:jc w:val="center"/>
              <w:rPr>
                <w:sz w:val="16"/>
                <w:szCs w:val="16"/>
                <w:lang w:val="sr-Cyrl-CS"/>
              </w:rPr>
            </w:pPr>
          </w:p>
        </w:tc>
        <w:tc>
          <w:tcPr>
            <w:tcW w:w="601" w:type="pct"/>
            <w:gridSpan w:val="2"/>
            <w:vAlign w:val="center"/>
          </w:tcPr>
          <w:p w:rsidR="00B632C7" w:rsidRPr="00DF6046" w:rsidRDefault="00B632C7" w:rsidP="00B632C7">
            <w:pPr>
              <w:spacing w:after="60"/>
              <w:jc w:val="center"/>
              <w:rPr>
                <w:sz w:val="16"/>
                <w:szCs w:val="16"/>
                <w:lang w:val="sr-Cyrl-CS"/>
              </w:rPr>
            </w:pPr>
            <w:r w:rsidRPr="00DF6046">
              <w:rPr>
                <w:sz w:val="16"/>
                <w:szCs w:val="16"/>
                <w:lang w:val="sr-Cyrl-CS"/>
              </w:rPr>
              <w:t>2015</w:t>
            </w:r>
          </w:p>
        </w:tc>
      </w:tr>
      <w:tr w:rsidR="00B632C7" w:rsidRPr="00253D02" w:rsidTr="001D7ED3">
        <w:trPr>
          <w:trHeight w:val="231"/>
          <w:jc w:val="center"/>
        </w:trPr>
        <w:tc>
          <w:tcPr>
            <w:tcW w:w="188" w:type="pct"/>
            <w:vAlign w:val="center"/>
          </w:tcPr>
          <w:p w:rsidR="00B632C7" w:rsidRPr="00253D02" w:rsidRDefault="00B632C7" w:rsidP="00642B00">
            <w:pPr>
              <w:spacing w:after="60"/>
              <w:jc w:val="center"/>
              <w:rPr>
                <w:lang w:val="sr-Cyrl-CS"/>
              </w:rPr>
            </w:pPr>
            <w:r w:rsidRPr="00253D02">
              <w:rPr>
                <w:lang w:val="sr-Cyrl-CS"/>
              </w:rPr>
              <w:t>2.</w:t>
            </w:r>
          </w:p>
        </w:tc>
        <w:tc>
          <w:tcPr>
            <w:tcW w:w="2894" w:type="pct"/>
            <w:gridSpan w:val="6"/>
            <w:shd w:val="clear" w:color="auto" w:fill="auto"/>
            <w:vAlign w:val="center"/>
          </w:tcPr>
          <w:p w:rsidR="00B632C7" w:rsidRPr="001D7ED3" w:rsidRDefault="001D7ED3" w:rsidP="001D7ED3">
            <w:pPr>
              <w:spacing w:after="60"/>
              <w:rPr>
                <w:sz w:val="18"/>
                <w:szCs w:val="18"/>
              </w:rPr>
            </w:pPr>
            <w:r w:rsidRPr="001D7ED3">
              <w:rPr>
                <w:color w:val="000000"/>
                <w:sz w:val="18"/>
                <w:szCs w:val="18"/>
              </w:rPr>
              <w:t xml:space="preserve">Detection of bioactive substances of selected fungi of the genus </w:t>
            </w:r>
            <w:r w:rsidR="00B632C7" w:rsidRPr="001D7ED3">
              <w:rPr>
                <w:color w:val="000000"/>
                <w:sz w:val="18"/>
                <w:szCs w:val="18"/>
              </w:rPr>
              <w:t xml:space="preserve">Ganoderma [Basidiomycota] </w:t>
            </w:r>
            <w:r w:rsidRPr="001D7ED3">
              <w:rPr>
                <w:color w:val="000000"/>
                <w:sz w:val="18"/>
                <w:szCs w:val="18"/>
              </w:rPr>
              <w:t>and their biological activities</w:t>
            </w:r>
          </w:p>
        </w:tc>
        <w:tc>
          <w:tcPr>
            <w:tcW w:w="814" w:type="pct"/>
            <w:gridSpan w:val="2"/>
            <w:vAlign w:val="center"/>
          </w:tcPr>
          <w:p w:rsidR="00B632C7" w:rsidRPr="001D7ED3" w:rsidRDefault="00B632C7" w:rsidP="00B632C7">
            <w:pPr>
              <w:spacing w:after="60"/>
              <w:jc w:val="center"/>
              <w:rPr>
                <w:sz w:val="18"/>
                <w:szCs w:val="18"/>
              </w:rPr>
            </w:pPr>
            <w:r w:rsidRPr="001D7ED3">
              <w:rPr>
                <w:sz w:val="18"/>
                <w:szCs w:val="18"/>
              </w:rPr>
              <w:t>Milena Rašeta</w:t>
            </w:r>
          </w:p>
        </w:tc>
        <w:tc>
          <w:tcPr>
            <w:tcW w:w="503" w:type="pct"/>
            <w:vAlign w:val="center"/>
          </w:tcPr>
          <w:p w:rsidR="00B632C7" w:rsidRPr="00DF6046" w:rsidRDefault="00B632C7" w:rsidP="00B632C7">
            <w:pPr>
              <w:spacing w:after="60"/>
              <w:jc w:val="center"/>
              <w:rPr>
                <w:sz w:val="16"/>
                <w:szCs w:val="16"/>
                <w:lang w:val="sr-Cyrl-CS"/>
              </w:rPr>
            </w:pPr>
          </w:p>
        </w:tc>
        <w:tc>
          <w:tcPr>
            <w:tcW w:w="601" w:type="pct"/>
            <w:gridSpan w:val="2"/>
            <w:vAlign w:val="center"/>
          </w:tcPr>
          <w:p w:rsidR="00B632C7" w:rsidRPr="00DF6046" w:rsidRDefault="00B632C7" w:rsidP="00B632C7">
            <w:pPr>
              <w:spacing w:after="60"/>
              <w:jc w:val="center"/>
              <w:rPr>
                <w:sz w:val="16"/>
                <w:szCs w:val="16"/>
                <w:lang w:val="sr-Cyrl-CS"/>
              </w:rPr>
            </w:pPr>
            <w:r w:rsidRPr="00DF6046">
              <w:rPr>
                <w:sz w:val="16"/>
                <w:szCs w:val="16"/>
                <w:lang w:val="sr-Cyrl-CS"/>
              </w:rPr>
              <w:t>2015</w:t>
            </w:r>
          </w:p>
        </w:tc>
      </w:tr>
      <w:tr w:rsidR="00B632C7" w:rsidRPr="00253D02" w:rsidTr="001D7ED3">
        <w:trPr>
          <w:trHeight w:val="231"/>
          <w:jc w:val="center"/>
        </w:trPr>
        <w:tc>
          <w:tcPr>
            <w:tcW w:w="188" w:type="pct"/>
            <w:vAlign w:val="center"/>
          </w:tcPr>
          <w:p w:rsidR="00B632C7" w:rsidRPr="00253D02" w:rsidRDefault="00B632C7" w:rsidP="00642B00">
            <w:pPr>
              <w:spacing w:after="60"/>
              <w:jc w:val="center"/>
              <w:rPr>
                <w:lang w:val="sr-Cyrl-CS"/>
              </w:rPr>
            </w:pPr>
            <w:r w:rsidRPr="00253D02">
              <w:rPr>
                <w:lang w:val="sr-Cyrl-CS"/>
              </w:rPr>
              <w:t>3.</w:t>
            </w:r>
          </w:p>
        </w:tc>
        <w:tc>
          <w:tcPr>
            <w:tcW w:w="2894" w:type="pct"/>
            <w:gridSpan w:val="6"/>
            <w:vAlign w:val="center"/>
          </w:tcPr>
          <w:p w:rsidR="00B632C7" w:rsidRPr="001D7ED3" w:rsidRDefault="001D7ED3" w:rsidP="001D7ED3">
            <w:pPr>
              <w:spacing w:after="60"/>
              <w:rPr>
                <w:sz w:val="18"/>
                <w:szCs w:val="18"/>
                <w:lang w:val="sr-Cyrl-CS"/>
              </w:rPr>
            </w:pPr>
            <w:r w:rsidRPr="001D7ED3">
              <w:rPr>
                <w:sz w:val="18"/>
                <w:szCs w:val="18"/>
              </w:rPr>
              <w:t xml:space="preserve">Influence of different substrates on morphological, physiological and chemical properties of selected strains of oyster mushroom </w:t>
            </w:r>
            <w:r w:rsidR="00B632C7" w:rsidRPr="004146C0">
              <w:rPr>
                <w:i/>
                <w:sz w:val="18"/>
                <w:szCs w:val="18"/>
                <w:lang w:val="sr-Cyrl-CS"/>
              </w:rPr>
              <w:t>Pleurotus ostreatus</w:t>
            </w:r>
            <w:r w:rsidR="00B632C7" w:rsidRPr="001D7ED3">
              <w:rPr>
                <w:sz w:val="18"/>
                <w:szCs w:val="18"/>
                <w:lang w:val="sr-Cyrl-CS"/>
              </w:rPr>
              <w:t xml:space="preserve"> (Jacq.) P. Kumm. 1871</w:t>
            </w:r>
          </w:p>
        </w:tc>
        <w:tc>
          <w:tcPr>
            <w:tcW w:w="814" w:type="pct"/>
            <w:gridSpan w:val="2"/>
            <w:vAlign w:val="center"/>
          </w:tcPr>
          <w:p w:rsidR="00B632C7" w:rsidRPr="001D7ED3" w:rsidRDefault="00B632C7" w:rsidP="00B632C7">
            <w:pPr>
              <w:spacing w:after="60"/>
              <w:jc w:val="center"/>
              <w:rPr>
                <w:sz w:val="18"/>
                <w:szCs w:val="18"/>
              </w:rPr>
            </w:pPr>
            <w:r w:rsidRPr="001D7ED3">
              <w:rPr>
                <w:sz w:val="18"/>
                <w:szCs w:val="18"/>
              </w:rPr>
              <w:t>Dušanka Bugarski</w:t>
            </w:r>
          </w:p>
        </w:tc>
        <w:tc>
          <w:tcPr>
            <w:tcW w:w="503" w:type="pct"/>
            <w:vAlign w:val="center"/>
          </w:tcPr>
          <w:p w:rsidR="00B632C7" w:rsidRPr="00DF6046" w:rsidRDefault="00B632C7" w:rsidP="00B632C7">
            <w:pPr>
              <w:spacing w:after="60"/>
              <w:jc w:val="center"/>
              <w:rPr>
                <w:sz w:val="16"/>
                <w:szCs w:val="16"/>
                <w:lang w:val="sr-Cyrl-CS"/>
              </w:rPr>
            </w:pPr>
          </w:p>
        </w:tc>
        <w:tc>
          <w:tcPr>
            <w:tcW w:w="601" w:type="pct"/>
            <w:gridSpan w:val="2"/>
            <w:vAlign w:val="center"/>
          </w:tcPr>
          <w:p w:rsidR="00B632C7" w:rsidRPr="00DF6046" w:rsidRDefault="00B632C7" w:rsidP="00B632C7">
            <w:pPr>
              <w:spacing w:after="60"/>
              <w:jc w:val="center"/>
              <w:rPr>
                <w:sz w:val="16"/>
                <w:szCs w:val="16"/>
                <w:lang w:val="sr-Cyrl-CS"/>
              </w:rPr>
            </w:pPr>
            <w:r w:rsidRPr="00DF6046">
              <w:rPr>
                <w:sz w:val="16"/>
                <w:szCs w:val="16"/>
                <w:lang w:val="sr-Cyrl-CS"/>
              </w:rPr>
              <w:t>2016</w:t>
            </w:r>
          </w:p>
        </w:tc>
      </w:tr>
      <w:tr w:rsidR="00B632C7" w:rsidRPr="00253D02" w:rsidTr="001D7ED3">
        <w:trPr>
          <w:trHeight w:val="231"/>
          <w:jc w:val="center"/>
        </w:trPr>
        <w:tc>
          <w:tcPr>
            <w:tcW w:w="188" w:type="pct"/>
            <w:vAlign w:val="center"/>
          </w:tcPr>
          <w:p w:rsidR="00B632C7" w:rsidRPr="00253D02" w:rsidRDefault="00B632C7" w:rsidP="00642B00">
            <w:pPr>
              <w:spacing w:after="60"/>
              <w:jc w:val="center"/>
              <w:rPr>
                <w:lang w:val="sr-Cyrl-CS"/>
              </w:rPr>
            </w:pPr>
          </w:p>
          <w:p w:rsidR="00B632C7" w:rsidRPr="00253D02" w:rsidRDefault="00B632C7" w:rsidP="00642B00">
            <w:pPr>
              <w:spacing w:after="60"/>
              <w:jc w:val="center"/>
              <w:rPr>
                <w:lang w:val="sr-Cyrl-CS"/>
              </w:rPr>
            </w:pPr>
            <w:r w:rsidRPr="00253D02">
              <w:rPr>
                <w:lang w:val="sr-Cyrl-CS"/>
              </w:rPr>
              <w:t>4.</w:t>
            </w:r>
          </w:p>
        </w:tc>
        <w:tc>
          <w:tcPr>
            <w:tcW w:w="2894" w:type="pct"/>
            <w:gridSpan w:val="6"/>
            <w:shd w:val="clear" w:color="auto" w:fill="auto"/>
            <w:vAlign w:val="center"/>
          </w:tcPr>
          <w:p w:rsidR="00B632C7" w:rsidRPr="001D7ED3" w:rsidRDefault="001D7ED3" w:rsidP="001D7ED3">
            <w:pPr>
              <w:spacing w:after="60"/>
              <w:rPr>
                <w:sz w:val="18"/>
                <w:szCs w:val="18"/>
                <w:lang w:val="sr-Cyrl-CS"/>
              </w:rPr>
            </w:pPr>
            <w:r w:rsidRPr="001D7ED3">
              <w:rPr>
                <w:sz w:val="18"/>
                <w:szCs w:val="18"/>
              </w:rPr>
              <w:t>Diversity of fungi of phyla</w:t>
            </w:r>
            <w:r w:rsidR="00B632C7" w:rsidRPr="001D7ED3">
              <w:rPr>
                <w:sz w:val="18"/>
                <w:szCs w:val="18"/>
                <w:lang w:val="sr-Cyrl-CS"/>
              </w:rPr>
              <w:t xml:space="preserve"> </w:t>
            </w:r>
            <w:r w:rsidR="00B632C7" w:rsidRPr="001D7ED3">
              <w:rPr>
                <w:color w:val="000000"/>
                <w:sz w:val="18"/>
                <w:szCs w:val="18"/>
              </w:rPr>
              <w:t xml:space="preserve">Ascomycota </w:t>
            </w:r>
            <w:r w:rsidRPr="001D7ED3">
              <w:rPr>
                <w:color w:val="000000"/>
                <w:sz w:val="18"/>
                <w:szCs w:val="18"/>
              </w:rPr>
              <w:t>in the area of Fruška Gora with specieal reference to ordo</w:t>
            </w:r>
            <w:r w:rsidR="00B632C7" w:rsidRPr="001D7ED3">
              <w:rPr>
                <w:sz w:val="18"/>
                <w:szCs w:val="18"/>
                <w:lang w:val="sr-Cyrl-CS"/>
              </w:rPr>
              <w:t xml:space="preserve"> </w:t>
            </w:r>
            <w:r w:rsidR="00B632C7" w:rsidRPr="001D7ED3">
              <w:rPr>
                <w:color w:val="000000"/>
                <w:sz w:val="18"/>
                <w:szCs w:val="18"/>
              </w:rPr>
              <w:t>Helotiales</w:t>
            </w:r>
          </w:p>
        </w:tc>
        <w:tc>
          <w:tcPr>
            <w:tcW w:w="814" w:type="pct"/>
            <w:gridSpan w:val="2"/>
            <w:vAlign w:val="center"/>
          </w:tcPr>
          <w:p w:rsidR="00B632C7" w:rsidRPr="001D7ED3" w:rsidRDefault="00B632C7" w:rsidP="00B632C7">
            <w:pPr>
              <w:spacing w:after="60"/>
              <w:jc w:val="center"/>
              <w:rPr>
                <w:sz w:val="18"/>
                <w:szCs w:val="18"/>
              </w:rPr>
            </w:pPr>
            <w:r w:rsidRPr="001D7ED3">
              <w:rPr>
                <w:sz w:val="18"/>
                <w:szCs w:val="18"/>
              </w:rPr>
              <w:t>Dragiša Savić</w:t>
            </w:r>
          </w:p>
        </w:tc>
        <w:tc>
          <w:tcPr>
            <w:tcW w:w="503" w:type="pct"/>
            <w:vAlign w:val="center"/>
          </w:tcPr>
          <w:p w:rsidR="00B632C7" w:rsidRPr="00DF6046" w:rsidRDefault="00B632C7" w:rsidP="00B632C7">
            <w:pPr>
              <w:spacing w:after="60"/>
              <w:jc w:val="center"/>
              <w:rPr>
                <w:sz w:val="16"/>
                <w:szCs w:val="16"/>
                <w:lang w:val="sr-Cyrl-CS"/>
              </w:rPr>
            </w:pPr>
          </w:p>
        </w:tc>
        <w:tc>
          <w:tcPr>
            <w:tcW w:w="601" w:type="pct"/>
            <w:gridSpan w:val="2"/>
            <w:vAlign w:val="center"/>
          </w:tcPr>
          <w:p w:rsidR="00B632C7" w:rsidRPr="00DF6046" w:rsidRDefault="00B632C7" w:rsidP="00B632C7">
            <w:pPr>
              <w:spacing w:after="60"/>
              <w:jc w:val="center"/>
              <w:rPr>
                <w:sz w:val="16"/>
                <w:szCs w:val="16"/>
                <w:lang w:val="sr-Cyrl-CS"/>
              </w:rPr>
            </w:pPr>
            <w:r w:rsidRPr="00DF6046">
              <w:rPr>
                <w:sz w:val="16"/>
                <w:szCs w:val="16"/>
                <w:lang w:val="sr-Cyrl-CS"/>
              </w:rPr>
              <w:t>2016</w:t>
            </w:r>
          </w:p>
        </w:tc>
      </w:tr>
      <w:tr w:rsidR="001D7ED3" w:rsidRPr="00253D02" w:rsidTr="001D7ED3">
        <w:trPr>
          <w:trHeight w:val="231"/>
          <w:jc w:val="center"/>
        </w:trPr>
        <w:tc>
          <w:tcPr>
            <w:tcW w:w="188" w:type="pct"/>
            <w:vAlign w:val="center"/>
          </w:tcPr>
          <w:p w:rsidR="00B632C7" w:rsidRPr="00253D02" w:rsidRDefault="00B632C7" w:rsidP="00642B00">
            <w:pPr>
              <w:spacing w:after="60"/>
              <w:jc w:val="center"/>
              <w:rPr>
                <w:lang w:val="sr-Cyrl-CS"/>
              </w:rPr>
            </w:pPr>
            <w:r w:rsidRPr="00253D02">
              <w:rPr>
                <w:lang w:val="sr-Cyrl-CS"/>
              </w:rPr>
              <w:t>5.</w:t>
            </w:r>
          </w:p>
        </w:tc>
        <w:tc>
          <w:tcPr>
            <w:tcW w:w="2894" w:type="pct"/>
            <w:gridSpan w:val="6"/>
            <w:vAlign w:val="center"/>
          </w:tcPr>
          <w:p w:rsidR="00B632C7" w:rsidRPr="00C47417" w:rsidRDefault="00B632C7" w:rsidP="002A34BB">
            <w:pPr>
              <w:jc w:val="both"/>
              <w:rPr>
                <w:sz w:val="18"/>
                <w:szCs w:val="18"/>
              </w:rPr>
            </w:pPr>
            <w:r w:rsidRPr="00C47417">
              <w:rPr>
                <w:sz w:val="18"/>
                <w:szCs w:val="18"/>
              </w:rPr>
              <w:t xml:space="preserve">Biological activity and chemical composition of the extracts of selected </w:t>
            </w:r>
            <w:r w:rsidRPr="00C47417">
              <w:rPr>
                <w:rStyle w:val="Emphasis"/>
                <w:bCs/>
                <w:i w:val="0"/>
                <w:iCs w:val="0"/>
                <w:sz w:val="18"/>
                <w:szCs w:val="18"/>
                <w:shd w:val="clear" w:color="auto" w:fill="FFFFFF"/>
              </w:rPr>
              <w:t>autochthonous macrofungi</w:t>
            </w:r>
            <w:r w:rsidRPr="00C47417">
              <w:rPr>
                <w:sz w:val="18"/>
                <w:szCs w:val="18"/>
                <w:lang w:val="sr-Cyrl-CS"/>
              </w:rPr>
              <w:t xml:space="preserve"> </w:t>
            </w:r>
          </w:p>
        </w:tc>
        <w:tc>
          <w:tcPr>
            <w:tcW w:w="814" w:type="pct"/>
            <w:gridSpan w:val="2"/>
            <w:vAlign w:val="center"/>
          </w:tcPr>
          <w:p w:rsidR="00B632C7" w:rsidRPr="001D7ED3" w:rsidRDefault="00B632C7" w:rsidP="00B632C7">
            <w:pPr>
              <w:spacing w:after="60"/>
              <w:jc w:val="center"/>
              <w:rPr>
                <w:sz w:val="18"/>
                <w:szCs w:val="18"/>
              </w:rPr>
            </w:pPr>
            <w:r w:rsidRPr="001D7ED3">
              <w:rPr>
                <w:sz w:val="18"/>
                <w:szCs w:val="18"/>
              </w:rPr>
              <w:t>Ljiljana Janjušević</w:t>
            </w:r>
          </w:p>
        </w:tc>
        <w:tc>
          <w:tcPr>
            <w:tcW w:w="503" w:type="pct"/>
            <w:vAlign w:val="center"/>
          </w:tcPr>
          <w:p w:rsidR="00B632C7" w:rsidRPr="00C47417" w:rsidRDefault="00B632C7" w:rsidP="00B632C7">
            <w:pPr>
              <w:spacing w:after="60"/>
              <w:jc w:val="center"/>
              <w:rPr>
                <w:sz w:val="18"/>
                <w:szCs w:val="18"/>
                <w:lang w:val="sr-Cyrl-CS"/>
              </w:rPr>
            </w:pPr>
          </w:p>
        </w:tc>
        <w:tc>
          <w:tcPr>
            <w:tcW w:w="601" w:type="pct"/>
            <w:gridSpan w:val="2"/>
            <w:vAlign w:val="center"/>
          </w:tcPr>
          <w:p w:rsidR="00B632C7" w:rsidRDefault="00B632C7" w:rsidP="00B632C7">
            <w:pPr>
              <w:jc w:val="center"/>
              <w:rPr>
                <w:sz w:val="18"/>
                <w:szCs w:val="18"/>
              </w:rPr>
            </w:pPr>
            <w:r w:rsidRPr="00C47417">
              <w:rPr>
                <w:sz w:val="18"/>
                <w:szCs w:val="18"/>
                <w:lang w:val="sr-Cyrl-CS"/>
              </w:rPr>
              <w:t>2017</w:t>
            </w:r>
          </w:p>
          <w:p w:rsidR="00B632C7" w:rsidRPr="00C47417" w:rsidRDefault="00B632C7" w:rsidP="00B632C7">
            <w:pPr>
              <w:jc w:val="center"/>
              <w:rPr>
                <w:sz w:val="18"/>
                <w:szCs w:val="18"/>
              </w:rPr>
            </w:pPr>
          </w:p>
        </w:tc>
      </w:tr>
      <w:tr w:rsidR="001D7ED3" w:rsidRPr="00253D02" w:rsidTr="001D7ED3">
        <w:trPr>
          <w:trHeight w:val="231"/>
          <w:jc w:val="center"/>
        </w:trPr>
        <w:tc>
          <w:tcPr>
            <w:tcW w:w="188" w:type="pct"/>
            <w:vAlign w:val="center"/>
          </w:tcPr>
          <w:p w:rsidR="00B632C7" w:rsidRPr="00253D02" w:rsidRDefault="00B632C7" w:rsidP="00642B00">
            <w:pPr>
              <w:spacing w:after="60"/>
              <w:jc w:val="center"/>
              <w:rPr>
                <w:lang w:val="sr-Cyrl-CS"/>
              </w:rPr>
            </w:pPr>
            <w:r w:rsidRPr="00253D02">
              <w:rPr>
                <w:lang w:val="sr-Cyrl-CS"/>
              </w:rPr>
              <w:t>6.</w:t>
            </w:r>
          </w:p>
        </w:tc>
        <w:tc>
          <w:tcPr>
            <w:tcW w:w="2894" w:type="pct"/>
            <w:gridSpan w:val="6"/>
            <w:vAlign w:val="center"/>
          </w:tcPr>
          <w:p w:rsidR="00B632C7" w:rsidRPr="00C47417" w:rsidRDefault="00B632C7" w:rsidP="002A34BB">
            <w:pPr>
              <w:rPr>
                <w:sz w:val="18"/>
                <w:szCs w:val="18"/>
                <w:lang w:val="sr-Cyrl-CS"/>
              </w:rPr>
            </w:pPr>
            <w:r w:rsidRPr="00C47417">
              <w:rPr>
                <w:sz w:val="18"/>
                <w:szCs w:val="18"/>
              </w:rPr>
              <w:t xml:space="preserve">Biological activity and chemical composition of the </w:t>
            </w:r>
            <w:r w:rsidRPr="00C47417">
              <w:rPr>
                <w:rStyle w:val="Emphasis"/>
                <w:bCs/>
                <w:i w:val="0"/>
                <w:iCs w:val="0"/>
                <w:sz w:val="18"/>
                <w:szCs w:val="18"/>
                <w:shd w:val="clear" w:color="auto" w:fill="FFFFFF"/>
              </w:rPr>
              <w:t>autochthonous fungi</w:t>
            </w:r>
            <w:r w:rsidRPr="00C47417">
              <w:rPr>
                <w:sz w:val="18"/>
                <w:szCs w:val="18"/>
                <w:lang w:val="sr-Cyrl-CS"/>
              </w:rPr>
              <w:t xml:space="preserve"> </w:t>
            </w:r>
            <w:r w:rsidRPr="00C47417">
              <w:rPr>
                <w:i/>
                <w:sz w:val="18"/>
                <w:szCs w:val="18"/>
              </w:rPr>
              <w:t>Coprinus comatus</w:t>
            </w:r>
            <w:r w:rsidRPr="00C47417">
              <w:rPr>
                <w:sz w:val="18"/>
                <w:szCs w:val="18"/>
              </w:rPr>
              <w:t xml:space="preserve"> (O.F. Mü</w:t>
            </w:r>
            <w:r w:rsidRPr="00C47417">
              <w:rPr>
                <w:sz w:val="18"/>
                <w:szCs w:val="18"/>
                <w:lang w:val="sr-Cyrl-CS"/>
              </w:rPr>
              <w:t>ll.</w:t>
            </w:r>
            <w:r w:rsidRPr="00C47417">
              <w:rPr>
                <w:sz w:val="18"/>
                <w:szCs w:val="18"/>
              </w:rPr>
              <w:t>) Pers. Gray, 1797 and</w:t>
            </w:r>
            <w:r w:rsidRPr="00C47417">
              <w:rPr>
                <w:sz w:val="18"/>
                <w:szCs w:val="18"/>
                <w:lang w:val="sr-Cyrl-CS"/>
              </w:rPr>
              <w:t xml:space="preserve"> </w:t>
            </w:r>
            <w:r w:rsidRPr="00C47417">
              <w:rPr>
                <w:i/>
                <w:sz w:val="18"/>
                <w:szCs w:val="18"/>
              </w:rPr>
              <w:t>Coprinellus truncorum</w:t>
            </w:r>
            <w:r w:rsidRPr="00C47417">
              <w:rPr>
                <w:sz w:val="18"/>
                <w:szCs w:val="18"/>
              </w:rPr>
              <w:t xml:space="preserve"> (Scop.)</w:t>
            </w:r>
            <w:r w:rsidRPr="00C47417">
              <w:rPr>
                <w:sz w:val="18"/>
                <w:szCs w:val="18"/>
                <w:lang w:val="sr-Cyrl-CS"/>
              </w:rPr>
              <w:t xml:space="preserve"> </w:t>
            </w:r>
            <w:r w:rsidRPr="00C47417">
              <w:rPr>
                <w:sz w:val="18"/>
                <w:szCs w:val="18"/>
              </w:rPr>
              <w:t>Redhead, Vilgalys</w:t>
            </w:r>
            <w:r w:rsidRPr="00C47417">
              <w:rPr>
                <w:sz w:val="18"/>
                <w:szCs w:val="18"/>
                <w:lang w:val="sr-Cyrl-CS"/>
              </w:rPr>
              <w:t xml:space="preserve"> </w:t>
            </w:r>
            <w:r w:rsidRPr="00C47417">
              <w:rPr>
                <w:sz w:val="18"/>
                <w:szCs w:val="18"/>
              </w:rPr>
              <w:t>&amp; Monclavo, 200</w:t>
            </w:r>
            <w:r w:rsidRPr="00C47417">
              <w:rPr>
                <w:sz w:val="18"/>
                <w:szCs w:val="18"/>
                <w:lang w:val="sr-Cyrl-CS"/>
              </w:rPr>
              <w:t>1</w:t>
            </w:r>
          </w:p>
        </w:tc>
        <w:tc>
          <w:tcPr>
            <w:tcW w:w="814" w:type="pct"/>
            <w:gridSpan w:val="2"/>
            <w:vAlign w:val="center"/>
          </w:tcPr>
          <w:p w:rsidR="00B632C7" w:rsidRPr="001D7ED3" w:rsidRDefault="00B632C7" w:rsidP="00B632C7">
            <w:pPr>
              <w:spacing w:after="60"/>
              <w:jc w:val="center"/>
              <w:rPr>
                <w:sz w:val="18"/>
                <w:szCs w:val="18"/>
              </w:rPr>
            </w:pPr>
            <w:r w:rsidRPr="001D7ED3">
              <w:rPr>
                <w:sz w:val="18"/>
                <w:szCs w:val="18"/>
              </w:rPr>
              <w:t>Kristina Tešanović</w:t>
            </w:r>
          </w:p>
        </w:tc>
        <w:tc>
          <w:tcPr>
            <w:tcW w:w="503" w:type="pct"/>
            <w:vAlign w:val="center"/>
          </w:tcPr>
          <w:p w:rsidR="00B632C7" w:rsidRPr="00C47417" w:rsidRDefault="00B632C7" w:rsidP="00B632C7">
            <w:pPr>
              <w:spacing w:after="60"/>
              <w:jc w:val="center"/>
              <w:rPr>
                <w:sz w:val="18"/>
                <w:szCs w:val="18"/>
                <w:lang w:val="sr-Cyrl-CS"/>
              </w:rPr>
            </w:pPr>
          </w:p>
        </w:tc>
        <w:tc>
          <w:tcPr>
            <w:tcW w:w="601" w:type="pct"/>
            <w:gridSpan w:val="2"/>
            <w:vAlign w:val="center"/>
          </w:tcPr>
          <w:p w:rsidR="00B632C7" w:rsidRDefault="00B632C7" w:rsidP="002A34BB">
            <w:pPr>
              <w:jc w:val="center"/>
              <w:rPr>
                <w:sz w:val="18"/>
                <w:szCs w:val="18"/>
              </w:rPr>
            </w:pPr>
            <w:r w:rsidRPr="00C47417">
              <w:rPr>
                <w:sz w:val="18"/>
                <w:szCs w:val="18"/>
                <w:lang w:val="sr-Cyrl-CS"/>
              </w:rPr>
              <w:t xml:space="preserve">2017 </w:t>
            </w:r>
          </w:p>
          <w:p w:rsidR="00B632C7" w:rsidRPr="00C47417" w:rsidRDefault="00B632C7" w:rsidP="00B632C7">
            <w:pPr>
              <w:jc w:val="center"/>
              <w:rPr>
                <w:sz w:val="18"/>
                <w:szCs w:val="18"/>
              </w:rPr>
            </w:pPr>
          </w:p>
        </w:tc>
      </w:tr>
      <w:tr w:rsidR="001D7ED3" w:rsidRPr="00253D02" w:rsidTr="001D7ED3">
        <w:trPr>
          <w:trHeight w:val="231"/>
          <w:jc w:val="center"/>
        </w:trPr>
        <w:tc>
          <w:tcPr>
            <w:tcW w:w="188" w:type="pct"/>
            <w:vAlign w:val="center"/>
          </w:tcPr>
          <w:p w:rsidR="00B632C7" w:rsidRPr="00B632C7" w:rsidRDefault="00B632C7" w:rsidP="002A34BB">
            <w:pPr>
              <w:spacing w:after="60"/>
              <w:jc w:val="center"/>
            </w:pPr>
            <w:r>
              <w:t>7.</w:t>
            </w:r>
          </w:p>
        </w:tc>
        <w:tc>
          <w:tcPr>
            <w:tcW w:w="2894" w:type="pct"/>
            <w:gridSpan w:val="6"/>
            <w:vAlign w:val="center"/>
          </w:tcPr>
          <w:p w:rsidR="00B632C7" w:rsidRPr="004146C0" w:rsidRDefault="001D7ED3" w:rsidP="001D7ED3">
            <w:pPr>
              <w:spacing w:after="60"/>
              <w:rPr>
                <w:sz w:val="18"/>
                <w:szCs w:val="18"/>
                <w:lang w:val="sr-Cyrl-CS"/>
              </w:rPr>
            </w:pPr>
            <w:r w:rsidRPr="004146C0">
              <w:rPr>
                <w:sz w:val="18"/>
                <w:szCs w:val="18"/>
              </w:rPr>
              <w:t>Diversity of macrofungi and their role in monitoring of condition</w:t>
            </w:r>
            <w:r w:rsidR="004146C0">
              <w:rPr>
                <w:sz w:val="18"/>
                <w:szCs w:val="18"/>
              </w:rPr>
              <w:t>s</w:t>
            </w:r>
            <w:r w:rsidRPr="004146C0">
              <w:rPr>
                <w:sz w:val="18"/>
                <w:szCs w:val="18"/>
              </w:rPr>
              <w:t xml:space="preserve"> of forest ecosystems of Serbia</w:t>
            </w:r>
          </w:p>
        </w:tc>
        <w:tc>
          <w:tcPr>
            <w:tcW w:w="814" w:type="pct"/>
            <w:gridSpan w:val="2"/>
            <w:vAlign w:val="center"/>
          </w:tcPr>
          <w:p w:rsidR="00B632C7" w:rsidRPr="001D7ED3" w:rsidRDefault="00B632C7" w:rsidP="00B632C7">
            <w:pPr>
              <w:spacing w:after="60"/>
              <w:jc w:val="center"/>
              <w:rPr>
                <w:sz w:val="18"/>
                <w:szCs w:val="18"/>
              </w:rPr>
            </w:pPr>
            <w:r w:rsidRPr="001D7ED3">
              <w:rPr>
                <w:sz w:val="18"/>
                <w:szCs w:val="18"/>
              </w:rPr>
              <w:t>Milana Rakić</w:t>
            </w:r>
          </w:p>
        </w:tc>
        <w:tc>
          <w:tcPr>
            <w:tcW w:w="503" w:type="pct"/>
            <w:vAlign w:val="center"/>
          </w:tcPr>
          <w:p w:rsidR="00B632C7" w:rsidRPr="00DF6046" w:rsidRDefault="00B632C7" w:rsidP="00B632C7">
            <w:pPr>
              <w:spacing w:after="60"/>
              <w:jc w:val="center"/>
              <w:rPr>
                <w:sz w:val="16"/>
                <w:szCs w:val="16"/>
                <w:lang w:val="sr-Cyrl-CS"/>
              </w:rPr>
            </w:pPr>
            <w:r w:rsidRPr="00DF6046">
              <w:rPr>
                <w:sz w:val="16"/>
                <w:szCs w:val="16"/>
                <w:lang w:val="sr-Cyrl-CS"/>
              </w:rPr>
              <w:t>2016</w:t>
            </w:r>
          </w:p>
        </w:tc>
        <w:tc>
          <w:tcPr>
            <w:tcW w:w="601" w:type="pct"/>
            <w:gridSpan w:val="2"/>
            <w:vAlign w:val="center"/>
          </w:tcPr>
          <w:p w:rsidR="00B632C7" w:rsidRPr="00C47417" w:rsidRDefault="00B632C7" w:rsidP="002A34BB">
            <w:pPr>
              <w:spacing w:after="60"/>
              <w:jc w:val="center"/>
              <w:rPr>
                <w:sz w:val="18"/>
                <w:szCs w:val="18"/>
              </w:rPr>
            </w:pPr>
          </w:p>
        </w:tc>
      </w:tr>
      <w:tr w:rsidR="001D7ED3" w:rsidRPr="00253D02" w:rsidTr="001D7ED3">
        <w:trPr>
          <w:trHeight w:val="231"/>
          <w:jc w:val="center"/>
        </w:trPr>
        <w:tc>
          <w:tcPr>
            <w:tcW w:w="188" w:type="pct"/>
            <w:vAlign w:val="center"/>
          </w:tcPr>
          <w:p w:rsidR="00B632C7" w:rsidRPr="00B632C7" w:rsidRDefault="00B632C7" w:rsidP="002A34BB">
            <w:pPr>
              <w:spacing w:after="60"/>
              <w:jc w:val="center"/>
            </w:pPr>
            <w:r>
              <w:t>8.</w:t>
            </w:r>
          </w:p>
        </w:tc>
        <w:tc>
          <w:tcPr>
            <w:tcW w:w="2894" w:type="pct"/>
            <w:gridSpan w:val="6"/>
            <w:vAlign w:val="center"/>
          </w:tcPr>
          <w:p w:rsidR="00B632C7" w:rsidRPr="004146C0" w:rsidRDefault="001D7ED3" w:rsidP="004146C0">
            <w:pPr>
              <w:spacing w:after="60"/>
              <w:rPr>
                <w:sz w:val="18"/>
                <w:szCs w:val="18"/>
                <w:lang w:val="sr-Cyrl-CS"/>
              </w:rPr>
            </w:pPr>
            <w:r w:rsidRPr="004146C0">
              <w:rPr>
                <w:sz w:val="18"/>
                <w:szCs w:val="18"/>
              </w:rPr>
              <w:t xml:space="preserve">Molecular and morphological diversity </w:t>
            </w:r>
            <w:r w:rsidR="004146C0" w:rsidRPr="004146C0">
              <w:rPr>
                <w:sz w:val="18"/>
                <w:szCs w:val="18"/>
              </w:rPr>
              <w:t xml:space="preserve">of fungal population of gena </w:t>
            </w:r>
            <w:r w:rsidR="00B632C7" w:rsidRPr="004146C0">
              <w:rPr>
                <w:i/>
                <w:sz w:val="18"/>
                <w:szCs w:val="18"/>
              </w:rPr>
              <w:t>Marasmius</w:t>
            </w:r>
            <w:r w:rsidR="00B632C7" w:rsidRPr="004146C0">
              <w:rPr>
                <w:i/>
                <w:sz w:val="18"/>
                <w:szCs w:val="18"/>
                <w:lang w:val="sr-Cyrl-CS"/>
              </w:rPr>
              <w:t xml:space="preserve"> </w:t>
            </w:r>
            <w:r w:rsidR="00B632C7" w:rsidRPr="004146C0">
              <w:rPr>
                <w:bCs/>
                <w:sz w:val="18"/>
                <w:szCs w:val="18"/>
              </w:rPr>
              <w:t>Fr.</w:t>
            </w:r>
            <w:r w:rsidR="00B632C7" w:rsidRPr="004146C0">
              <w:rPr>
                <w:bCs/>
                <w:sz w:val="18"/>
                <w:szCs w:val="18"/>
                <w:lang w:val="sr-Cyrl-CS"/>
              </w:rPr>
              <w:t xml:space="preserve"> </w:t>
            </w:r>
            <w:r w:rsidR="00B632C7" w:rsidRPr="004146C0">
              <w:rPr>
                <w:sz w:val="18"/>
                <w:szCs w:val="18"/>
              </w:rPr>
              <w:t xml:space="preserve">1836, </w:t>
            </w:r>
            <w:r w:rsidR="00B632C7" w:rsidRPr="004146C0">
              <w:rPr>
                <w:i/>
                <w:sz w:val="18"/>
                <w:szCs w:val="18"/>
              </w:rPr>
              <w:t>Mycetinis</w:t>
            </w:r>
            <w:r w:rsidR="00B632C7" w:rsidRPr="004146C0">
              <w:rPr>
                <w:bCs/>
                <w:sz w:val="18"/>
                <w:szCs w:val="18"/>
              </w:rPr>
              <w:t xml:space="preserve"> Earle</w:t>
            </w:r>
            <w:r w:rsidR="00B632C7" w:rsidRPr="004146C0">
              <w:rPr>
                <w:bCs/>
                <w:sz w:val="18"/>
                <w:szCs w:val="18"/>
                <w:lang w:val="sr-Cyrl-CS"/>
              </w:rPr>
              <w:t xml:space="preserve"> </w:t>
            </w:r>
            <w:r w:rsidR="00B632C7" w:rsidRPr="004146C0">
              <w:rPr>
                <w:sz w:val="18"/>
                <w:szCs w:val="18"/>
              </w:rPr>
              <w:t xml:space="preserve">1909 </w:t>
            </w:r>
            <w:r w:rsidR="00B632C7" w:rsidRPr="004146C0">
              <w:rPr>
                <w:sz w:val="18"/>
                <w:szCs w:val="18"/>
                <w:lang w:val="sr-Cyrl-CS"/>
              </w:rPr>
              <w:t>и</w:t>
            </w:r>
            <w:r w:rsidR="00B632C7" w:rsidRPr="004146C0">
              <w:rPr>
                <w:i/>
                <w:sz w:val="18"/>
                <w:szCs w:val="18"/>
              </w:rPr>
              <w:t xml:space="preserve"> Gymnopus</w:t>
            </w:r>
            <w:r w:rsidR="00B632C7" w:rsidRPr="004146C0">
              <w:rPr>
                <w:sz w:val="18"/>
                <w:szCs w:val="18"/>
              </w:rPr>
              <w:t xml:space="preserve"> (Pers.) Gray 1821</w:t>
            </w:r>
            <w:r w:rsidR="00B632C7" w:rsidRPr="004146C0">
              <w:rPr>
                <w:sz w:val="18"/>
                <w:szCs w:val="18"/>
                <w:lang w:val="sr-Cyrl-CS"/>
              </w:rPr>
              <w:t xml:space="preserve"> </w:t>
            </w:r>
            <w:r w:rsidR="004146C0" w:rsidRPr="004146C0">
              <w:rPr>
                <w:sz w:val="18"/>
                <w:szCs w:val="18"/>
              </w:rPr>
              <w:t>in forest ecoszstems of National Parks of Serbia and Montenegro</w:t>
            </w:r>
            <w:r w:rsidR="004146C0" w:rsidRPr="004146C0">
              <w:rPr>
                <w:i/>
                <w:sz w:val="18"/>
                <w:szCs w:val="18"/>
              </w:rPr>
              <w:t xml:space="preserve"> </w:t>
            </w:r>
          </w:p>
        </w:tc>
        <w:tc>
          <w:tcPr>
            <w:tcW w:w="814" w:type="pct"/>
            <w:gridSpan w:val="2"/>
            <w:vAlign w:val="center"/>
          </w:tcPr>
          <w:p w:rsidR="00B632C7" w:rsidRPr="001D7ED3" w:rsidRDefault="00B632C7" w:rsidP="00B632C7">
            <w:pPr>
              <w:spacing w:after="60"/>
              <w:jc w:val="center"/>
              <w:rPr>
                <w:sz w:val="18"/>
                <w:szCs w:val="18"/>
              </w:rPr>
            </w:pPr>
            <w:r w:rsidRPr="001D7ED3">
              <w:rPr>
                <w:sz w:val="18"/>
                <w:szCs w:val="18"/>
              </w:rPr>
              <w:t>Eleonora Bošković</w:t>
            </w:r>
          </w:p>
        </w:tc>
        <w:tc>
          <w:tcPr>
            <w:tcW w:w="503" w:type="pct"/>
            <w:vAlign w:val="center"/>
          </w:tcPr>
          <w:p w:rsidR="00B632C7" w:rsidRPr="00DF6046" w:rsidRDefault="00B632C7" w:rsidP="00B632C7">
            <w:pPr>
              <w:spacing w:after="60"/>
              <w:jc w:val="center"/>
              <w:rPr>
                <w:sz w:val="16"/>
                <w:szCs w:val="16"/>
                <w:lang w:val="sr-Cyrl-CS"/>
              </w:rPr>
            </w:pPr>
            <w:r w:rsidRPr="00DF6046">
              <w:rPr>
                <w:sz w:val="16"/>
                <w:szCs w:val="16"/>
                <w:lang w:val="sr-Cyrl-CS"/>
              </w:rPr>
              <w:t>2016</w:t>
            </w:r>
          </w:p>
        </w:tc>
        <w:tc>
          <w:tcPr>
            <w:tcW w:w="601" w:type="pct"/>
            <w:gridSpan w:val="2"/>
            <w:vAlign w:val="center"/>
          </w:tcPr>
          <w:p w:rsidR="00B632C7" w:rsidRPr="00C47417" w:rsidRDefault="00B632C7" w:rsidP="002A34BB">
            <w:pPr>
              <w:spacing w:after="60"/>
              <w:jc w:val="center"/>
              <w:rPr>
                <w:sz w:val="18"/>
                <w:szCs w:val="18"/>
                <w:lang w:val="sr-Cyrl-CS"/>
              </w:rPr>
            </w:pPr>
          </w:p>
        </w:tc>
      </w:tr>
      <w:tr w:rsidR="00B632C7" w:rsidRPr="00253D02" w:rsidTr="00B632C7">
        <w:trPr>
          <w:trHeight w:val="231"/>
          <w:jc w:val="center"/>
        </w:trPr>
        <w:tc>
          <w:tcPr>
            <w:tcW w:w="5000" w:type="pct"/>
            <w:gridSpan w:val="12"/>
            <w:vAlign w:val="center"/>
          </w:tcPr>
          <w:p w:rsidR="00B632C7" w:rsidRPr="00253D02" w:rsidRDefault="00B632C7" w:rsidP="002A34BB">
            <w:pPr>
              <w:spacing w:after="60"/>
              <w:rPr>
                <w:b/>
                <w:sz w:val="18"/>
                <w:szCs w:val="18"/>
                <w:lang w:val="en-US"/>
              </w:rPr>
            </w:pPr>
            <w:r w:rsidRPr="00253D02">
              <w:rPr>
                <w:b/>
                <w:sz w:val="18"/>
                <w:szCs w:val="18"/>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B632C7" w:rsidRPr="00253D02" w:rsidTr="00B632C7">
        <w:trPr>
          <w:trHeight w:val="231"/>
          <w:jc w:val="center"/>
        </w:trPr>
        <w:tc>
          <w:tcPr>
            <w:tcW w:w="188" w:type="pct"/>
            <w:vAlign w:val="center"/>
          </w:tcPr>
          <w:p w:rsidR="00B632C7" w:rsidRPr="00253D02" w:rsidRDefault="00B632C7" w:rsidP="002A34BB">
            <w:pPr>
              <w:spacing w:after="60"/>
              <w:rPr>
                <w:lang w:val="sr-Cyrl-CS"/>
              </w:rPr>
            </w:pPr>
            <w:r w:rsidRPr="00253D02">
              <w:rPr>
                <w:lang w:val="sr-Cyrl-CS"/>
              </w:rPr>
              <w:t>1.</w:t>
            </w:r>
          </w:p>
        </w:tc>
        <w:tc>
          <w:tcPr>
            <w:tcW w:w="4523" w:type="pct"/>
            <w:gridSpan w:val="10"/>
            <w:vAlign w:val="center"/>
          </w:tcPr>
          <w:p w:rsidR="00B632C7" w:rsidRPr="00DF6046" w:rsidRDefault="002B41A1" w:rsidP="002A34BB">
            <w:pPr>
              <w:spacing w:after="60"/>
              <w:rPr>
                <w:b/>
                <w:sz w:val="16"/>
                <w:szCs w:val="16"/>
                <w:lang w:val="sr-Cyrl-CS"/>
              </w:rPr>
            </w:pPr>
            <w:hyperlink r:id="rId5" w:tooltip="Show Author Details" w:history="1">
              <w:r w:rsidR="00B632C7" w:rsidRPr="00DF6046">
                <w:rPr>
                  <w:rFonts w:eastAsia="Times New Roman"/>
                  <w:sz w:val="16"/>
                  <w:szCs w:val="16"/>
                </w:rPr>
                <w:t>Lenzi, M</w:t>
              </w:r>
            </w:hyperlink>
            <w:r w:rsidR="00B632C7" w:rsidRPr="00DF6046">
              <w:rPr>
                <w:rFonts w:eastAsia="Times New Roman"/>
                <w:sz w:val="16"/>
                <w:szCs w:val="16"/>
              </w:rPr>
              <w:t>.</w:t>
            </w:r>
            <w:r w:rsidR="00B632C7" w:rsidRPr="00DF6046">
              <w:rPr>
                <w:rFonts w:eastAsia="Times New Roman"/>
                <w:color w:val="323232"/>
                <w:sz w:val="16"/>
                <w:szCs w:val="16"/>
              </w:rPr>
              <w:t>, </w:t>
            </w:r>
            <w:hyperlink r:id="rId6" w:tooltip="Show Author Details" w:history="1">
              <w:r w:rsidR="00B632C7" w:rsidRPr="00DF6046">
                <w:rPr>
                  <w:rFonts w:eastAsia="Times New Roman"/>
                  <w:color w:val="323232"/>
                  <w:sz w:val="16"/>
                  <w:szCs w:val="16"/>
                </w:rPr>
                <w:t>Cocchi, V.</w:t>
              </w:r>
            </w:hyperlink>
            <w:r w:rsidR="00B632C7" w:rsidRPr="00DF6046">
              <w:rPr>
                <w:rFonts w:eastAsia="Times New Roman"/>
                <w:color w:val="323232"/>
                <w:sz w:val="16"/>
                <w:szCs w:val="16"/>
              </w:rPr>
              <w:t>,</w:t>
            </w:r>
            <w:hyperlink r:id="rId7" w:tooltip="Show Author Details" w:history="1">
              <w:r w:rsidR="00B632C7" w:rsidRPr="00DF6046">
                <w:rPr>
                  <w:rFonts w:eastAsia="Times New Roman"/>
                  <w:color w:val="323232"/>
                  <w:sz w:val="16"/>
                  <w:szCs w:val="16"/>
                </w:rPr>
                <w:t>Novaković, A.</w:t>
              </w:r>
            </w:hyperlink>
            <w:r w:rsidR="00B632C7" w:rsidRPr="00DF6046">
              <w:rPr>
                <w:rFonts w:eastAsia="Times New Roman"/>
                <w:color w:val="323232"/>
                <w:sz w:val="16"/>
                <w:szCs w:val="16"/>
              </w:rPr>
              <w:t>, </w:t>
            </w:r>
            <w:hyperlink r:id="rId8" w:tooltip="Show Author Details" w:history="1">
              <w:r w:rsidR="00B632C7" w:rsidRPr="00DF6046">
                <w:rPr>
                  <w:rFonts w:eastAsia="Times New Roman"/>
                  <w:b/>
                  <w:color w:val="323232"/>
                  <w:sz w:val="16"/>
                  <w:szCs w:val="16"/>
                </w:rPr>
                <w:t>Karaman, M.</w:t>
              </w:r>
            </w:hyperlink>
            <w:r w:rsidR="00B632C7" w:rsidRPr="00DF6046">
              <w:rPr>
                <w:rFonts w:eastAsia="Times New Roman"/>
                <w:color w:val="323232"/>
                <w:sz w:val="16"/>
                <w:szCs w:val="16"/>
              </w:rPr>
              <w:t xml:space="preserve">, </w:t>
            </w:r>
            <w:hyperlink r:id="rId9" w:tooltip="Show Author Details" w:history="1">
              <w:r w:rsidR="00B632C7" w:rsidRPr="00DF6046">
                <w:rPr>
                  <w:rFonts w:eastAsia="Times New Roman"/>
                  <w:color w:val="323232"/>
                  <w:sz w:val="16"/>
                  <w:szCs w:val="16"/>
                </w:rPr>
                <w:t>Sakač, M.</w:t>
              </w:r>
            </w:hyperlink>
            <w:r w:rsidR="00B632C7" w:rsidRPr="00DF6046">
              <w:rPr>
                <w:rFonts w:eastAsia="Times New Roman"/>
                <w:color w:val="323232"/>
                <w:sz w:val="16"/>
                <w:szCs w:val="16"/>
              </w:rPr>
              <w:t xml:space="preserve">, </w:t>
            </w:r>
            <w:hyperlink r:id="rId10" w:tooltip="Show Author Details" w:history="1">
              <w:r w:rsidR="00B632C7" w:rsidRPr="00DF6046">
                <w:rPr>
                  <w:rFonts w:eastAsia="Times New Roman"/>
                  <w:color w:val="323232"/>
                  <w:sz w:val="16"/>
                  <w:szCs w:val="16"/>
                </w:rPr>
                <w:t>Mandić, A</w:t>
              </w:r>
            </w:hyperlink>
            <w:r w:rsidR="00B632C7" w:rsidRPr="00DF6046">
              <w:rPr>
                <w:rFonts w:eastAsia="Times New Roman"/>
                <w:color w:val="323232"/>
                <w:sz w:val="16"/>
                <w:szCs w:val="16"/>
              </w:rPr>
              <w:t xml:space="preserve">, </w:t>
            </w:r>
            <w:hyperlink r:id="rId11" w:tooltip="Show Author Details" w:history="1">
              <w:r w:rsidR="00B632C7" w:rsidRPr="00DF6046">
                <w:rPr>
                  <w:rFonts w:eastAsia="Times New Roman"/>
                  <w:color w:val="323232"/>
                  <w:sz w:val="16"/>
                  <w:szCs w:val="16"/>
                </w:rPr>
                <w:t>Pojić, M</w:t>
              </w:r>
            </w:hyperlink>
            <w:r w:rsidR="00B632C7" w:rsidRPr="00DF6046">
              <w:rPr>
                <w:rFonts w:eastAsia="Times New Roman"/>
                <w:color w:val="323232"/>
                <w:sz w:val="16"/>
                <w:szCs w:val="16"/>
              </w:rPr>
              <w:t>,</w:t>
            </w:r>
            <w:hyperlink r:id="rId12" w:tooltip="Show Author Details" w:history="1">
              <w:r w:rsidR="00B632C7" w:rsidRPr="00DF6046">
                <w:rPr>
                  <w:rFonts w:eastAsia="Times New Roman"/>
                  <w:color w:val="323232"/>
                  <w:sz w:val="16"/>
                  <w:szCs w:val="16"/>
                </w:rPr>
                <w:t>Barbalace, M.C</w:t>
              </w:r>
            </w:hyperlink>
            <w:r w:rsidR="00B632C7" w:rsidRPr="00DF6046">
              <w:rPr>
                <w:rFonts w:eastAsia="Times New Roman"/>
                <w:color w:val="323232"/>
                <w:sz w:val="16"/>
                <w:szCs w:val="16"/>
              </w:rPr>
              <w:t xml:space="preserve">, </w:t>
            </w:r>
            <w:hyperlink r:id="rId13" w:tooltip="Show Author Details" w:history="1">
              <w:r w:rsidR="00B632C7" w:rsidRPr="00DF6046">
                <w:rPr>
                  <w:rFonts w:eastAsia="Times New Roman"/>
                  <w:color w:val="323232"/>
                  <w:sz w:val="16"/>
                  <w:szCs w:val="16"/>
                </w:rPr>
                <w:t>Angeloni, C</w:t>
              </w:r>
            </w:hyperlink>
            <w:r w:rsidR="00B632C7" w:rsidRPr="00DF6046">
              <w:rPr>
                <w:rFonts w:eastAsia="Times New Roman"/>
                <w:color w:val="323232"/>
                <w:sz w:val="16"/>
                <w:szCs w:val="16"/>
              </w:rPr>
              <w:t xml:space="preserve">, </w:t>
            </w:r>
            <w:hyperlink r:id="rId14" w:tooltip="Show Author Details" w:history="1">
              <w:r w:rsidR="00B632C7" w:rsidRPr="00DF6046">
                <w:rPr>
                  <w:rFonts w:eastAsia="Times New Roman"/>
                  <w:color w:val="323232"/>
                  <w:sz w:val="16"/>
                  <w:szCs w:val="16"/>
                </w:rPr>
                <w:t>Hrelia, P</w:t>
              </w:r>
            </w:hyperlink>
            <w:r w:rsidR="00B632C7" w:rsidRPr="00DF6046">
              <w:rPr>
                <w:rFonts w:eastAsia="Times New Roman"/>
                <w:color w:val="323232"/>
                <w:sz w:val="16"/>
                <w:szCs w:val="16"/>
              </w:rPr>
              <w:t>,</w:t>
            </w:r>
            <w:hyperlink r:id="rId15" w:tooltip="Show Author Details" w:history="1">
              <w:r w:rsidR="00B632C7" w:rsidRPr="00DF6046">
                <w:rPr>
                  <w:rFonts w:eastAsia="Times New Roman"/>
                  <w:color w:val="323232"/>
                  <w:sz w:val="16"/>
                  <w:szCs w:val="16"/>
                </w:rPr>
                <w:t>Malaguti, M.</w:t>
              </w:r>
            </w:hyperlink>
            <w:r w:rsidR="00B632C7" w:rsidRPr="00DF6046">
              <w:rPr>
                <w:rFonts w:eastAsia="Times New Roman"/>
                <w:color w:val="323232"/>
                <w:sz w:val="16"/>
                <w:szCs w:val="16"/>
              </w:rPr>
              <w:t xml:space="preserve"> </w:t>
            </w:r>
            <w:hyperlink r:id="rId16" w:tooltip="Show Author Details" w:history="1">
              <w:r w:rsidR="00B632C7" w:rsidRPr="00DF6046">
                <w:rPr>
                  <w:rFonts w:eastAsia="Times New Roman"/>
                  <w:color w:val="323232"/>
                  <w:sz w:val="16"/>
                  <w:szCs w:val="16"/>
                </w:rPr>
                <w:t>Hrelia, S.</w:t>
              </w:r>
            </w:hyperlink>
            <w:r w:rsidR="00B632C7" w:rsidRPr="00DF6046">
              <w:rPr>
                <w:rFonts w:eastAsia="Times New Roman"/>
                <w:color w:val="323232"/>
                <w:sz w:val="16"/>
                <w:szCs w:val="16"/>
              </w:rPr>
              <w:t xml:space="preserve"> </w:t>
            </w:r>
            <w:r w:rsidR="00B632C7" w:rsidRPr="00DF6046">
              <w:rPr>
                <w:sz w:val="16"/>
                <w:szCs w:val="16"/>
                <w:shd w:val="clear" w:color="auto" w:fill="FFFFFF"/>
              </w:rPr>
              <w:t>Meripilus giganteus ethanolic extract exhibits pro-apoptotic and anti-proliferative effects in leukemic cell lines</w:t>
            </w:r>
            <w:r w:rsidR="00B632C7" w:rsidRPr="00DF6046">
              <w:rPr>
                <w:sz w:val="16"/>
                <w:szCs w:val="16"/>
              </w:rPr>
              <w:t xml:space="preserve">. </w:t>
            </w:r>
            <w:hyperlink r:id="rId17" w:tooltip="Go to the information page for this source" w:history="1">
              <w:r w:rsidR="00B632C7" w:rsidRPr="00DF6046">
                <w:rPr>
                  <w:rStyle w:val="anchortext"/>
                  <w:sz w:val="16"/>
                  <w:szCs w:val="16"/>
                  <w:shd w:val="clear" w:color="auto" w:fill="FFFFFF"/>
                </w:rPr>
                <w:t>BMC Complementary and Alternative medicine</w:t>
              </w:r>
            </w:hyperlink>
            <w:r w:rsidR="00B632C7" w:rsidRPr="00DF6046">
              <w:rPr>
                <w:sz w:val="16"/>
                <w:szCs w:val="16"/>
              </w:rPr>
              <w:t xml:space="preserve">. </w:t>
            </w:r>
            <w:r w:rsidR="00B632C7" w:rsidRPr="00DF6046">
              <w:rPr>
                <w:color w:val="323232"/>
                <w:sz w:val="16"/>
                <w:szCs w:val="16"/>
                <w:shd w:val="clear" w:color="auto" w:fill="FFFFFF"/>
              </w:rPr>
              <w:t>Volume 18, Issue 1, 12 November 2018, page 300</w:t>
            </w:r>
          </w:p>
        </w:tc>
        <w:tc>
          <w:tcPr>
            <w:tcW w:w="289" w:type="pct"/>
            <w:vAlign w:val="center"/>
          </w:tcPr>
          <w:p w:rsidR="00B632C7" w:rsidRPr="00DF6046" w:rsidRDefault="00B632C7" w:rsidP="002A34BB">
            <w:pPr>
              <w:spacing w:after="60"/>
              <w:rPr>
                <w:b/>
                <w:sz w:val="16"/>
                <w:szCs w:val="16"/>
              </w:rPr>
            </w:pPr>
            <w:r w:rsidRPr="00DF6046">
              <w:rPr>
                <w:b/>
                <w:sz w:val="16"/>
                <w:szCs w:val="16"/>
              </w:rPr>
              <w:t>M21</w:t>
            </w:r>
            <w:r>
              <w:rPr>
                <w:b/>
                <w:sz w:val="16"/>
                <w:szCs w:val="16"/>
              </w:rPr>
              <w:t>a</w:t>
            </w:r>
          </w:p>
        </w:tc>
      </w:tr>
      <w:tr w:rsidR="00B632C7" w:rsidRPr="00253D02" w:rsidTr="00B632C7">
        <w:trPr>
          <w:trHeight w:val="231"/>
          <w:jc w:val="center"/>
        </w:trPr>
        <w:tc>
          <w:tcPr>
            <w:tcW w:w="188" w:type="pct"/>
            <w:vAlign w:val="center"/>
          </w:tcPr>
          <w:p w:rsidR="00B632C7" w:rsidRPr="00253D02" w:rsidRDefault="00B632C7" w:rsidP="002A34BB">
            <w:pPr>
              <w:spacing w:after="60"/>
              <w:rPr>
                <w:lang w:val="sr-Cyrl-CS"/>
              </w:rPr>
            </w:pPr>
            <w:r w:rsidRPr="00253D02">
              <w:rPr>
                <w:lang w:val="sr-Cyrl-CS"/>
              </w:rPr>
              <w:t>2.</w:t>
            </w:r>
          </w:p>
        </w:tc>
        <w:tc>
          <w:tcPr>
            <w:tcW w:w="4523" w:type="pct"/>
            <w:gridSpan w:val="10"/>
            <w:vAlign w:val="center"/>
          </w:tcPr>
          <w:p w:rsidR="00B632C7" w:rsidRPr="00DF6046" w:rsidRDefault="00B632C7" w:rsidP="002A34BB">
            <w:pPr>
              <w:spacing w:after="60"/>
              <w:rPr>
                <w:b/>
                <w:sz w:val="16"/>
                <w:szCs w:val="16"/>
                <w:lang w:val="sr-Cyrl-CS"/>
              </w:rPr>
            </w:pPr>
            <w:r w:rsidRPr="00DF6046">
              <w:rPr>
                <w:sz w:val="16"/>
                <w:szCs w:val="16"/>
              </w:rPr>
              <w:t xml:space="preserve">Janjušević, Lj., </w:t>
            </w:r>
            <w:r w:rsidRPr="00DF6046">
              <w:rPr>
                <w:b/>
                <w:sz w:val="16"/>
                <w:szCs w:val="16"/>
              </w:rPr>
              <w:t>Karaman</w:t>
            </w:r>
            <w:r w:rsidRPr="00DF6046">
              <w:rPr>
                <w:b/>
                <w:sz w:val="16"/>
                <w:szCs w:val="16"/>
                <w:vertAlign w:val="superscript"/>
              </w:rPr>
              <w:t xml:space="preserve"> </w:t>
            </w:r>
            <w:r w:rsidRPr="00DF6046">
              <w:rPr>
                <w:b/>
                <w:sz w:val="16"/>
                <w:szCs w:val="16"/>
              </w:rPr>
              <w:t>, M</w:t>
            </w:r>
            <w:r w:rsidRPr="00DF6046">
              <w:rPr>
                <w:sz w:val="16"/>
                <w:szCs w:val="16"/>
              </w:rPr>
              <w:t xml:space="preserve">., Šibul, F., Tommonaro, G.,  Iodice , C., Jakovljević, D., Pejin, B. (2017) The lignicolous fungus </w:t>
            </w:r>
            <w:r w:rsidRPr="00DF6046">
              <w:rPr>
                <w:i/>
                <w:sz w:val="16"/>
                <w:szCs w:val="16"/>
              </w:rPr>
              <w:t>Trametes versicolor</w:t>
            </w:r>
            <w:r w:rsidRPr="00DF6046">
              <w:rPr>
                <w:sz w:val="16"/>
                <w:szCs w:val="16"/>
              </w:rPr>
              <w:t xml:space="preserve"> (L.) Lloyd (1920): A promising natural source of antiradical and AChE inhibitory agents. </w:t>
            </w:r>
            <w:r w:rsidRPr="00DF6046">
              <w:rPr>
                <w:i/>
                <w:sz w:val="16"/>
                <w:szCs w:val="16"/>
              </w:rPr>
              <w:t xml:space="preserve">Journal of Enzyme Inhibition and Medicinal Chemistry, </w:t>
            </w:r>
            <w:r w:rsidRPr="00DF6046">
              <w:rPr>
                <w:sz w:val="16"/>
                <w:szCs w:val="16"/>
              </w:rPr>
              <w:t>32 (1), pp. 355-362.</w:t>
            </w:r>
          </w:p>
        </w:tc>
        <w:tc>
          <w:tcPr>
            <w:tcW w:w="289" w:type="pct"/>
            <w:vAlign w:val="center"/>
          </w:tcPr>
          <w:p w:rsidR="00B632C7" w:rsidRPr="00DF6046" w:rsidRDefault="00B632C7" w:rsidP="002A34BB">
            <w:pPr>
              <w:spacing w:after="60"/>
              <w:rPr>
                <w:b/>
                <w:sz w:val="16"/>
                <w:szCs w:val="16"/>
              </w:rPr>
            </w:pPr>
            <w:r w:rsidRPr="00DF6046">
              <w:rPr>
                <w:b/>
                <w:sz w:val="16"/>
                <w:szCs w:val="16"/>
              </w:rPr>
              <w:t>M21</w:t>
            </w:r>
            <w:r>
              <w:rPr>
                <w:b/>
                <w:sz w:val="16"/>
                <w:szCs w:val="16"/>
              </w:rPr>
              <w:t>a</w:t>
            </w:r>
          </w:p>
        </w:tc>
      </w:tr>
      <w:tr w:rsidR="00B632C7" w:rsidRPr="00253D02" w:rsidTr="00B632C7">
        <w:trPr>
          <w:trHeight w:val="231"/>
          <w:jc w:val="center"/>
        </w:trPr>
        <w:tc>
          <w:tcPr>
            <w:tcW w:w="188" w:type="pct"/>
            <w:vAlign w:val="center"/>
          </w:tcPr>
          <w:p w:rsidR="00B632C7" w:rsidRPr="00253D02" w:rsidRDefault="00B632C7" w:rsidP="002A34BB">
            <w:pPr>
              <w:spacing w:after="60"/>
              <w:rPr>
                <w:lang w:val="sr-Cyrl-CS"/>
              </w:rPr>
            </w:pPr>
            <w:r w:rsidRPr="00253D02">
              <w:rPr>
                <w:lang w:val="sr-Cyrl-CS"/>
              </w:rPr>
              <w:t>3.</w:t>
            </w:r>
          </w:p>
        </w:tc>
        <w:tc>
          <w:tcPr>
            <w:tcW w:w="4523" w:type="pct"/>
            <w:gridSpan w:val="10"/>
          </w:tcPr>
          <w:p w:rsidR="00B632C7" w:rsidRPr="00DF6046" w:rsidRDefault="00B632C7" w:rsidP="002A34BB">
            <w:pPr>
              <w:jc w:val="both"/>
              <w:rPr>
                <w:iCs/>
                <w:sz w:val="16"/>
                <w:szCs w:val="16"/>
                <w:bdr w:val="none" w:sz="0" w:space="0" w:color="auto" w:frame="1"/>
                <w:shd w:val="clear" w:color="auto" w:fill="F5F9FA"/>
              </w:rPr>
            </w:pPr>
            <w:r w:rsidRPr="00DF6046">
              <w:rPr>
                <w:b/>
                <w:bCs/>
                <w:sz w:val="16"/>
                <w:szCs w:val="16"/>
              </w:rPr>
              <w:t>Karaman M.,</w:t>
            </w:r>
            <w:r w:rsidRPr="00DF6046">
              <w:rPr>
                <w:sz w:val="16"/>
                <w:szCs w:val="16"/>
              </w:rPr>
              <w:t xml:space="preserve"> Matavulj M., Janjic Lj. (2012): Antibacterial agents from lignicolous macrofungi. In:</w:t>
            </w:r>
            <w:r w:rsidRPr="00DF6046">
              <w:rPr>
                <w:b/>
                <w:sz w:val="16"/>
                <w:szCs w:val="16"/>
              </w:rPr>
              <w:t xml:space="preserve"> “Antimicrobial agents</w:t>
            </w:r>
            <w:r w:rsidRPr="00DF6046">
              <w:rPr>
                <w:sz w:val="16"/>
                <w:szCs w:val="16"/>
              </w:rPr>
              <w:t>”, ed. by Varaprasad Bobbarala,</w:t>
            </w:r>
            <w:r w:rsidRPr="00DF6046">
              <w:rPr>
                <w:rFonts w:ascii="Georgia" w:hAnsi="Georgia"/>
                <w:sz w:val="16"/>
                <w:szCs w:val="16"/>
              </w:rPr>
              <w:t xml:space="preserve"> </w:t>
            </w:r>
            <w:r w:rsidRPr="00DF6046">
              <w:rPr>
                <w:sz w:val="16"/>
                <w:szCs w:val="16"/>
              </w:rPr>
              <w:t xml:space="preserve">InTech, September 9, 2012, Chapter 18. pp: 361-386. </w:t>
            </w:r>
            <w:r w:rsidRPr="00DF6046">
              <w:rPr>
                <w:iCs/>
                <w:sz w:val="16"/>
                <w:szCs w:val="16"/>
                <w:bdr w:val="none" w:sz="0" w:space="0" w:color="auto" w:frame="1"/>
              </w:rPr>
              <w:t>ISBN: 978-953-51-0723-1</w:t>
            </w:r>
          </w:p>
        </w:tc>
        <w:tc>
          <w:tcPr>
            <w:tcW w:w="289" w:type="pct"/>
            <w:vAlign w:val="center"/>
          </w:tcPr>
          <w:p w:rsidR="00B632C7" w:rsidRPr="00DF6046" w:rsidRDefault="00B632C7" w:rsidP="002A34BB">
            <w:pPr>
              <w:spacing w:after="60"/>
              <w:rPr>
                <w:b/>
                <w:sz w:val="16"/>
                <w:szCs w:val="16"/>
              </w:rPr>
            </w:pPr>
            <w:r w:rsidRPr="00DF6046">
              <w:rPr>
                <w:b/>
                <w:sz w:val="16"/>
                <w:szCs w:val="16"/>
              </w:rPr>
              <w:t>M1</w:t>
            </w:r>
            <w:r>
              <w:rPr>
                <w:b/>
                <w:sz w:val="16"/>
                <w:szCs w:val="16"/>
              </w:rPr>
              <w:t>4</w:t>
            </w:r>
          </w:p>
        </w:tc>
      </w:tr>
      <w:tr w:rsidR="00B632C7" w:rsidRPr="00253D02" w:rsidTr="00B632C7">
        <w:trPr>
          <w:trHeight w:val="231"/>
          <w:jc w:val="center"/>
        </w:trPr>
        <w:tc>
          <w:tcPr>
            <w:tcW w:w="188" w:type="pct"/>
            <w:vAlign w:val="center"/>
          </w:tcPr>
          <w:p w:rsidR="00B632C7" w:rsidRPr="00253D02" w:rsidRDefault="00B632C7" w:rsidP="002A34BB">
            <w:pPr>
              <w:spacing w:after="60"/>
              <w:rPr>
                <w:lang w:val="sr-Cyrl-CS"/>
              </w:rPr>
            </w:pPr>
            <w:r w:rsidRPr="00253D02">
              <w:rPr>
                <w:lang w:val="sr-Cyrl-CS"/>
              </w:rPr>
              <w:t>4.</w:t>
            </w:r>
          </w:p>
        </w:tc>
        <w:tc>
          <w:tcPr>
            <w:tcW w:w="4523" w:type="pct"/>
            <w:gridSpan w:val="10"/>
          </w:tcPr>
          <w:p w:rsidR="00B632C7" w:rsidRPr="00DF6046" w:rsidRDefault="00B632C7" w:rsidP="002A34BB">
            <w:pPr>
              <w:jc w:val="both"/>
              <w:rPr>
                <w:b/>
                <w:bCs/>
                <w:sz w:val="16"/>
                <w:szCs w:val="16"/>
              </w:rPr>
            </w:pPr>
            <w:r w:rsidRPr="00DF6046">
              <w:rPr>
                <w:color w:val="131413"/>
                <w:sz w:val="16"/>
                <w:szCs w:val="16"/>
              </w:rPr>
              <w:t>Rakić</w:t>
            </w:r>
            <w:r w:rsidRPr="00DF6046">
              <w:rPr>
                <w:color w:val="131413"/>
                <w:sz w:val="16"/>
                <w:szCs w:val="16"/>
                <w:lang w:val="sr-Cyrl-CS"/>
              </w:rPr>
              <w:t xml:space="preserve"> М, </w:t>
            </w:r>
            <w:r w:rsidRPr="00DF6046">
              <w:rPr>
                <w:b/>
                <w:color w:val="131413"/>
                <w:sz w:val="16"/>
                <w:szCs w:val="16"/>
              </w:rPr>
              <w:t>Karaman</w:t>
            </w:r>
            <w:r w:rsidRPr="00DF6046">
              <w:rPr>
                <w:b/>
                <w:color w:val="131413"/>
                <w:sz w:val="16"/>
                <w:szCs w:val="16"/>
                <w:lang w:val="sr-Cyrl-CS"/>
              </w:rPr>
              <w:t xml:space="preserve"> М</w:t>
            </w:r>
            <w:r w:rsidRPr="00DF6046">
              <w:rPr>
                <w:color w:val="131413"/>
                <w:sz w:val="16"/>
                <w:szCs w:val="16"/>
                <w:lang w:val="sr-Cyrl-CS"/>
              </w:rPr>
              <w:t xml:space="preserve">., </w:t>
            </w:r>
            <w:r w:rsidRPr="00DF6046">
              <w:rPr>
                <w:color w:val="131413"/>
                <w:sz w:val="16"/>
                <w:szCs w:val="16"/>
              </w:rPr>
              <w:t>Forkapić</w:t>
            </w:r>
            <w:r w:rsidRPr="00DF6046">
              <w:rPr>
                <w:color w:val="131413"/>
                <w:sz w:val="16"/>
                <w:szCs w:val="16"/>
                <w:lang w:val="sr-Cyrl-CS"/>
              </w:rPr>
              <w:t xml:space="preserve"> С., </w:t>
            </w:r>
            <w:r w:rsidRPr="00DF6046">
              <w:rPr>
                <w:color w:val="131413"/>
                <w:sz w:val="16"/>
                <w:szCs w:val="16"/>
              </w:rPr>
              <w:t>Hansman</w:t>
            </w:r>
            <w:r w:rsidRPr="00DF6046">
              <w:rPr>
                <w:color w:val="131413"/>
                <w:sz w:val="16"/>
                <w:szCs w:val="16"/>
                <w:lang w:val="sr-Cyrl-CS"/>
              </w:rPr>
              <w:t xml:space="preserve"> Ј., </w:t>
            </w:r>
            <w:r w:rsidRPr="00DF6046">
              <w:rPr>
                <w:color w:val="131413"/>
                <w:sz w:val="16"/>
                <w:szCs w:val="16"/>
              </w:rPr>
              <w:t>Kebert</w:t>
            </w:r>
            <w:r w:rsidRPr="00DF6046">
              <w:rPr>
                <w:color w:val="131413"/>
                <w:sz w:val="16"/>
                <w:szCs w:val="16"/>
                <w:lang w:val="sr-Cyrl-CS"/>
              </w:rPr>
              <w:t xml:space="preserve"> М. </w:t>
            </w:r>
            <w:r w:rsidRPr="00DF6046">
              <w:rPr>
                <w:color w:val="131413"/>
                <w:sz w:val="16"/>
                <w:szCs w:val="16"/>
              </w:rPr>
              <w:t>Bikit</w:t>
            </w:r>
            <w:r w:rsidRPr="00DF6046">
              <w:rPr>
                <w:color w:val="131413"/>
                <w:sz w:val="16"/>
                <w:szCs w:val="16"/>
                <w:lang w:val="sr-Cyrl-CS"/>
              </w:rPr>
              <w:t xml:space="preserve"> К.</w:t>
            </w:r>
            <w:r w:rsidRPr="00DF6046">
              <w:rPr>
                <w:color w:val="131413"/>
                <w:sz w:val="16"/>
                <w:szCs w:val="16"/>
              </w:rPr>
              <w:t xml:space="preserve">  Mrdja</w:t>
            </w:r>
            <w:r w:rsidRPr="00DF6046">
              <w:rPr>
                <w:color w:val="131413"/>
                <w:sz w:val="16"/>
                <w:szCs w:val="16"/>
                <w:lang w:val="sr-Cyrl-CS"/>
              </w:rPr>
              <w:t xml:space="preserve"> </w:t>
            </w:r>
            <w:r w:rsidRPr="00DF6046">
              <w:rPr>
                <w:color w:val="131413"/>
                <w:sz w:val="16"/>
                <w:szCs w:val="16"/>
              </w:rPr>
              <w:t xml:space="preserve">D. (2014):  Radionuclides in some edible and medicinal macrofungal species from Tara Mountain, Serbia, </w:t>
            </w:r>
            <w:r w:rsidRPr="00DF6046">
              <w:rPr>
                <w:b/>
                <w:i/>
                <w:color w:val="131413"/>
                <w:sz w:val="16"/>
                <w:szCs w:val="16"/>
              </w:rPr>
              <w:t>Environmental Science and Pollution Research</w:t>
            </w:r>
            <w:r w:rsidRPr="00DF6046">
              <w:rPr>
                <w:i/>
                <w:color w:val="131413"/>
                <w:sz w:val="16"/>
                <w:szCs w:val="16"/>
              </w:rPr>
              <w:t xml:space="preserve"> </w:t>
            </w:r>
            <w:r w:rsidRPr="00DF6046">
              <w:rPr>
                <w:color w:val="131413"/>
                <w:sz w:val="16"/>
                <w:szCs w:val="16"/>
              </w:rPr>
              <w:t>21:11283–11292.</w:t>
            </w:r>
          </w:p>
        </w:tc>
        <w:tc>
          <w:tcPr>
            <w:tcW w:w="289" w:type="pct"/>
            <w:vAlign w:val="center"/>
          </w:tcPr>
          <w:p w:rsidR="00B632C7" w:rsidRPr="00DF6046" w:rsidRDefault="00B632C7" w:rsidP="002A34BB">
            <w:pPr>
              <w:spacing w:after="60"/>
              <w:rPr>
                <w:b/>
                <w:sz w:val="16"/>
                <w:szCs w:val="16"/>
              </w:rPr>
            </w:pPr>
            <w:r w:rsidRPr="00DF6046">
              <w:rPr>
                <w:b/>
                <w:sz w:val="16"/>
                <w:szCs w:val="16"/>
              </w:rPr>
              <w:t>M21</w:t>
            </w:r>
          </w:p>
        </w:tc>
      </w:tr>
      <w:tr w:rsidR="00B632C7" w:rsidRPr="00253D02" w:rsidTr="00B632C7">
        <w:trPr>
          <w:trHeight w:val="231"/>
          <w:jc w:val="center"/>
        </w:trPr>
        <w:tc>
          <w:tcPr>
            <w:tcW w:w="188" w:type="pct"/>
            <w:vAlign w:val="center"/>
          </w:tcPr>
          <w:p w:rsidR="00B632C7" w:rsidRPr="0045292F" w:rsidRDefault="00B632C7" w:rsidP="002A34BB">
            <w:pPr>
              <w:spacing w:after="60"/>
              <w:rPr>
                <w:sz w:val="18"/>
                <w:szCs w:val="18"/>
                <w:lang w:val="sr-Cyrl-CS"/>
              </w:rPr>
            </w:pPr>
            <w:r w:rsidRPr="0045292F">
              <w:rPr>
                <w:sz w:val="18"/>
                <w:szCs w:val="18"/>
                <w:lang w:val="sr-Cyrl-CS"/>
              </w:rPr>
              <w:t>5.</w:t>
            </w:r>
          </w:p>
        </w:tc>
        <w:tc>
          <w:tcPr>
            <w:tcW w:w="4523" w:type="pct"/>
            <w:gridSpan w:val="10"/>
            <w:vAlign w:val="center"/>
          </w:tcPr>
          <w:p w:rsidR="00B632C7" w:rsidRPr="00DF6046" w:rsidRDefault="00B632C7" w:rsidP="002A34BB">
            <w:pPr>
              <w:spacing w:after="60"/>
              <w:rPr>
                <w:b/>
                <w:sz w:val="16"/>
                <w:szCs w:val="16"/>
                <w:lang w:val="sr-Cyrl-CS"/>
              </w:rPr>
            </w:pPr>
            <w:r w:rsidRPr="00DF6046">
              <w:rPr>
                <w:sz w:val="16"/>
                <w:szCs w:val="16"/>
              </w:rPr>
              <w:t xml:space="preserve">Tešanović K., Pejin B., Šibul F., Matavulj M., Rašeta M., Janjušević Lj., </w:t>
            </w:r>
            <w:r w:rsidRPr="00DF6046">
              <w:rPr>
                <w:b/>
                <w:sz w:val="16"/>
                <w:szCs w:val="16"/>
              </w:rPr>
              <w:t>Karaman M</w:t>
            </w:r>
            <w:r w:rsidRPr="00DF6046">
              <w:rPr>
                <w:sz w:val="16"/>
                <w:szCs w:val="16"/>
              </w:rPr>
              <w:t xml:space="preserve">. (2017) A comparative overview of antioxidative properties and phenolic profiles of different fungal origins: fruiting bodies and submerged cultures of </w:t>
            </w:r>
            <w:r w:rsidRPr="00DF6046">
              <w:rPr>
                <w:i/>
                <w:sz w:val="16"/>
                <w:szCs w:val="16"/>
              </w:rPr>
              <w:t>Coprinus comatus</w:t>
            </w:r>
            <w:r w:rsidRPr="00DF6046">
              <w:rPr>
                <w:sz w:val="16"/>
                <w:szCs w:val="16"/>
              </w:rPr>
              <w:t xml:space="preserve"> and </w:t>
            </w:r>
            <w:r w:rsidRPr="00DF6046">
              <w:rPr>
                <w:i/>
                <w:sz w:val="16"/>
                <w:szCs w:val="16"/>
              </w:rPr>
              <w:t>Coprinellus truncorum</w:t>
            </w:r>
            <w:r w:rsidRPr="00DF6046">
              <w:rPr>
                <w:sz w:val="16"/>
                <w:szCs w:val="16"/>
              </w:rPr>
              <w:t>. Journal of Food Science and Technology – Mysore, 54(2), pp. 430-438.</w:t>
            </w:r>
          </w:p>
        </w:tc>
        <w:tc>
          <w:tcPr>
            <w:tcW w:w="289" w:type="pct"/>
            <w:vAlign w:val="center"/>
          </w:tcPr>
          <w:p w:rsidR="00B632C7" w:rsidRPr="00DF6046" w:rsidRDefault="00B632C7" w:rsidP="002A34BB">
            <w:pPr>
              <w:spacing w:after="60"/>
              <w:rPr>
                <w:b/>
                <w:sz w:val="16"/>
                <w:szCs w:val="16"/>
              </w:rPr>
            </w:pPr>
            <w:r w:rsidRPr="00DF6046">
              <w:rPr>
                <w:b/>
                <w:sz w:val="16"/>
                <w:szCs w:val="16"/>
              </w:rPr>
              <w:t>M22</w:t>
            </w:r>
          </w:p>
        </w:tc>
      </w:tr>
      <w:tr w:rsidR="00B632C7" w:rsidRPr="00253D02" w:rsidTr="00B632C7">
        <w:trPr>
          <w:trHeight w:val="231"/>
          <w:jc w:val="center"/>
        </w:trPr>
        <w:tc>
          <w:tcPr>
            <w:tcW w:w="5000" w:type="pct"/>
            <w:gridSpan w:val="12"/>
            <w:vAlign w:val="center"/>
          </w:tcPr>
          <w:p w:rsidR="00B632C7" w:rsidRPr="00253D02" w:rsidRDefault="00B632C7" w:rsidP="002A34BB">
            <w:pPr>
              <w:spacing w:after="60"/>
              <w:rPr>
                <w:b/>
                <w:lang w:val="en-US"/>
              </w:rPr>
            </w:pPr>
            <w:r w:rsidRPr="00253D02">
              <w:rPr>
                <w:b/>
                <w:lang w:val="en-US"/>
              </w:rPr>
              <w:t>Cumulative data of scientific activity of the teacher</w:t>
            </w:r>
          </w:p>
        </w:tc>
      </w:tr>
      <w:tr w:rsidR="00B632C7" w:rsidRPr="00253D02" w:rsidTr="00B632C7">
        <w:trPr>
          <w:trHeight w:val="231"/>
          <w:jc w:val="center"/>
        </w:trPr>
        <w:tc>
          <w:tcPr>
            <w:tcW w:w="1831" w:type="pct"/>
            <w:gridSpan w:val="5"/>
          </w:tcPr>
          <w:p w:rsidR="00B632C7" w:rsidRPr="00253D02" w:rsidRDefault="00B632C7" w:rsidP="002A34BB">
            <w:pPr>
              <w:rPr>
                <w:lang w:val="en-US"/>
              </w:rPr>
            </w:pPr>
            <w:r w:rsidRPr="00253D02">
              <w:rPr>
                <w:lang w:val="en-US"/>
              </w:rPr>
              <w:t>Total number of citations, without self citations</w:t>
            </w:r>
          </w:p>
        </w:tc>
        <w:tc>
          <w:tcPr>
            <w:tcW w:w="3169" w:type="pct"/>
            <w:gridSpan w:val="7"/>
            <w:vAlign w:val="center"/>
          </w:tcPr>
          <w:p w:rsidR="00B632C7" w:rsidRPr="00DF6046" w:rsidRDefault="00B632C7" w:rsidP="006F1646">
            <w:pPr>
              <w:jc w:val="center"/>
              <w:rPr>
                <w:sz w:val="18"/>
                <w:szCs w:val="18"/>
                <w:lang w:val="en-US"/>
              </w:rPr>
            </w:pPr>
            <w:r w:rsidRPr="00DF6046">
              <w:rPr>
                <w:sz w:val="18"/>
                <w:szCs w:val="18"/>
                <w:lang w:val="en-US"/>
              </w:rPr>
              <w:t xml:space="preserve">197, 161, </w:t>
            </w:r>
            <w:r w:rsidRPr="00DF6046">
              <w:rPr>
                <w:i/>
                <w:sz w:val="18"/>
                <w:szCs w:val="18"/>
                <w:lang w:val="sr-Cyrl-CS"/>
              </w:rPr>
              <w:t>h</w:t>
            </w:r>
            <w:r w:rsidRPr="00DF6046">
              <w:rPr>
                <w:sz w:val="18"/>
                <w:szCs w:val="18"/>
                <w:lang w:val="sr-Cyrl-CS"/>
              </w:rPr>
              <w:t xml:space="preserve">-индекс: </w:t>
            </w:r>
            <w:r w:rsidRPr="00DF6046">
              <w:rPr>
                <w:sz w:val="18"/>
                <w:szCs w:val="18"/>
                <w:lang w:val="en-US"/>
              </w:rPr>
              <w:t>8</w:t>
            </w:r>
            <w:r w:rsidRPr="00DF6046">
              <w:rPr>
                <w:sz w:val="18"/>
                <w:szCs w:val="18"/>
                <w:lang w:val="sr-Cyrl-CS"/>
              </w:rPr>
              <w:t xml:space="preserve"> </w:t>
            </w:r>
            <w:r w:rsidRPr="00DF6046">
              <w:rPr>
                <w:sz w:val="18"/>
                <w:szCs w:val="18"/>
              </w:rPr>
              <w:t>(Scopus, 04.2019.)</w:t>
            </w:r>
          </w:p>
        </w:tc>
      </w:tr>
      <w:tr w:rsidR="00B632C7" w:rsidRPr="00253D02" w:rsidTr="00B632C7">
        <w:trPr>
          <w:trHeight w:val="231"/>
          <w:jc w:val="center"/>
        </w:trPr>
        <w:tc>
          <w:tcPr>
            <w:tcW w:w="1831" w:type="pct"/>
            <w:gridSpan w:val="5"/>
          </w:tcPr>
          <w:p w:rsidR="00B632C7" w:rsidRPr="00253D02" w:rsidRDefault="00B632C7" w:rsidP="002A34BB">
            <w:pPr>
              <w:rPr>
                <w:lang w:val="en-US"/>
              </w:rPr>
            </w:pPr>
            <w:r w:rsidRPr="00253D02">
              <w:rPr>
                <w:lang w:val="en-US"/>
              </w:rPr>
              <w:t>Total number of papers on the SCI (or SSCI) list</w:t>
            </w:r>
          </w:p>
        </w:tc>
        <w:tc>
          <w:tcPr>
            <w:tcW w:w="3169" w:type="pct"/>
            <w:gridSpan w:val="7"/>
            <w:vAlign w:val="center"/>
          </w:tcPr>
          <w:p w:rsidR="00B632C7" w:rsidRPr="00DF6046" w:rsidRDefault="00B632C7" w:rsidP="006F1646">
            <w:pPr>
              <w:jc w:val="center"/>
              <w:rPr>
                <w:sz w:val="18"/>
                <w:szCs w:val="18"/>
                <w:lang w:val="en-US"/>
              </w:rPr>
            </w:pPr>
            <w:r w:rsidRPr="00DF6046">
              <w:rPr>
                <w:sz w:val="18"/>
                <w:szCs w:val="18"/>
                <w:lang w:val="en-US"/>
              </w:rPr>
              <w:t>33</w:t>
            </w:r>
          </w:p>
        </w:tc>
      </w:tr>
      <w:tr w:rsidR="00B632C7" w:rsidRPr="00253D02" w:rsidTr="00B632C7">
        <w:trPr>
          <w:trHeight w:val="231"/>
          <w:jc w:val="center"/>
        </w:trPr>
        <w:tc>
          <w:tcPr>
            <w:tcW w:w="1831" w:type="pct"/>
            <w:gridSpan w:val="5"/>
          </w:tcPr>
          <w:p w:rsidR="00B632C7" w:rsidRPr="00253D02" w:rsidRDefault="00B632C7" w:rsidP="002A34BB">
            <w:pPr>
              <w:rPr>
                <w:lang w:val="en-US"/>
              </w:rPr>
            </w:pPr>
            <w:r w:rsidRPr="00253D02">
              <w:rPr>
                <w:lang w:val="en-US"/>
              </w:rPr>
              <w:t>Current participation in projects</w:t>
            </w:r>
          </w:p>
        </w:tc>
        <w:tc>
          <w:tcPr>
            <w:tcW w:w="1351" w:type="pct"/>
            <w:gridSpan w:val="3"/>
            <w:vAlign w:val="center"/>
          </w:tcPr>
          <w:p w:rsidR="00B632C7" w:rsidRPr="00DF6046" w:rsidRDefault="00B632C7" w:rsidP="002A34BB">
            <w:pPr>
              <w:rPr>
                <w:sz w:val="18"/>
                <w:szCs w:val="18"/>
                <w:lang w:val="sr-Cyrl-CS"/>
              </w:rPr>
            </w:pPr>
            <w:r>
              <w:rPr>
                <w:sz w:val="18"/>
                <w:szCs w:val="18"/>
              </w:rPr>
              <w:t>Domestic</w:t>
            </w:r>
            <w:r w:rsidRPr="00DF6046">
              <w:rPr>
                <w:sz w:val="18"/>
                <w:szCs w:val="18"/>
                <w:lang w:val="sr-Cyrl-CS"/>
              </w:rPr>
              <w:t xml:space="preserve">: </w:t>
            </w:r>
            <w:r w:rsidRPr="006F1646">
              <w:rPr>
                <w:b/>
                <w:sz w:val="18"/>
                <w:szCs w:val="18"/>
                <w:lang w:val="sr-Cyrl-CS"/>
              </w:rPr>
              <w:t>2</w:t>
            </w:r>
          </w:p>
        </w:tc>
        <w:tc>
          <w:tcPr>
            <w:tcW w:w="1818" w:type="pct"/>
            <w:gridSpan w:val="4"/>
            <w:vAlign w:val="center"/>
          </w:tcPr>
          <w:p w:rsidR="00B632C7" w:rsidRPr="00DF6046" w:rsidRDefault="00B632C7" w:rsidP="002A34BB">
            <w:pPr>
              <w:rPr>
                <w:sz w:val="18"/>
                <w:szCs w:val="18"/>
                <w:lang w:val="sr-Cyrl-CS"/>
              </w:rPr>
            </w:pPr>
            <w:r>
              <w:rPr>
                <w:sz w:val="18"/>
                <w:szCs w:val="18"/>
              </w:rPr>
              <w:t>International</w:t>
            </w:r>
            <w:r w:rsidRPr="00DF6046">
              <w:rPr>
                <w:sz w:val="18"/>
                <w:szCs w:val="18"/>
                <w:lang w:val="sr-Cyrl-CS"/>
              </w:rPr>
              <w:t>: -</w:t>
            </w:r>
          </w:p>
        </w:tc>
      </w:tr>
      <w:tr w:rsidR="00B632C7" w:rsidRPr="00253D02" w:rsidTr="00B632C7">
        <w:trPr>
          <w:trHeight w:val="231"/>
          <w:jc w:val="center"/>
        </w:trPr>
        <w:tc>
          <w:tcPr>
            <w:tcW w:w="5000" w:type="pct"/>
            <w:gridSpan w:val="12"/>
          </w:tcPr>
          <w:p w:rsidR="00B632C7" w:rsidRPr="00F32BF6" w:rsidRDefault="00B632C7" w:rsidP="00B632C7">
            <w:pPr>
              <w:jc w:val="both"/>
              <w:rPr>
                <w:rFonts w:eastAsia="Times New Roman"/>
                <w:color w:val="222222"/>
                <w:sz w:val="18"/>
                <w:szCs w:val="18"/>
                <w:lang w:val="en-US" w:eastAsia="en-US"/>
              </w:rPr>
            </w:pPr>
            <w:r w:rsidRPr="00253D02">
              <w:rPr>
                <w:lang w:val="en-US"/>
              </w:rPr>
              <w:t xml:space="preserve">Specialization </w:t>
            </w:r>
            <w:r w:rsidRPr="0048696D">
              <w:rPr>
                <w:b/>
                <w:sz w:val="18"/>
                <w:szCs w:val="18"/>
              </w:rPr>
              <w:t>2005–2007</w:t>
            </w:r>
            <w:r w:rsidRPr="0048696D">
              <w:rPr>
                <w:sz w:val="18"/>
                <w:szCs w:val="18"/>
              </w:rPr>
              <w:t xml:space="preserve"> –</w:t>
            </w:r>
            <w:r w:rsidRPr="0048696D">
              <w:rPr>
                <w:sz w:val="18"/>
                <w:szCs w:val="18"/>
                <w:shd w:val="clear" w:color="auto" w:fill="FFFFFF"/>
                <w:lang w:val="sr-Cyrl-CS"/>
              </w:rPr>
              <w:t xml:space="preserve"> </w:t>
            </w:r>
            <w:r w:rsidRPr="0048696D">
              <w:rPr>
                <w:sz w:val="18"/>
                <w:szCs w:val="18"/>
                <w:shd w:val="clear" w:color="auto" w:fill="FFFFFF"/>
              </w:rPr>
              <w:t>one month</w:t>
            </w:r>
            <w:r w:rsidRPr="0048696D">
              <w:rPr>
                <w:sz w:val="18"/>
                <w:szCs w:val="18"/>
                <w:shd w:val="clear" w:color="auto" w:fill="FFFFFF"/>
                <w:lang w:val="sr-Cyrl-CS"/>
              </w:rPr>
              <w:t xml:space="preserve"> - </w:t>
            </w:r>
            <w:r w:rsidRPr="0048696D">
              <w:rPr>
                <w:sz w:val="18"/>
                <w:szCs w:val="18"/>
              </w:rPr>
              <w:t xml:space="preserve">Biotechnical faculty, University of Ljubljana, Biology, </w:t>
            </w:r>
            <w:r w:rsidRPr="00F32BF6">
              <w:rPr>
                <w:rFonts w:eastAsia="Times New Roman"/>
                <w:color w:val="222222"/>
                <w:sz w:val="18"/>
                <w:szCs w:val="18"/>
                <w:lang w:eastAsia="en-US"/>
              </w:rPr>
              <w:t>bilateral project "Fungi as sources of bioactive compounds" of the Ministry of Science and Technological Development of the Republic of Serbia and the Republic of Slovenia</w:t>
            </w:r>
          </w:p>
          <w:p w:rsidR="00B632C7" w:rsidRPr="00BE0C76" w:rsidRDefault="00B632C7" w:rsidP="00B632C7">
            <w:pPr>
              <w:spacing w:after="60"/>
              <w:jc w:val="both"/>
              <w:rPr>
                <w:sz w:val="18"/>
                <w:szCs w:val="18"/>
                <w:lang w:val="en-US"/>
              </w:rPr>
            </w:pPr>
            <w:r w:rsidRPr="0048696D">
              <w:rPr>
                <w:b/>
                <w:sz w:val="18"/>
                <w:szCs w:val="18"/>
                <w:shd w:val="clear" w:color="auto" w:fill="FFFFFF"/>
                <w:lang w:val="sr-Cyrl-CS"/>
              </w:rPr>
              <w:t>2016.</w:t>
            </w:r>
            <w:r w:rsidRPr="0048696D">
              <w:rPr>
                <w:sz w:val="18"/>
                <w:szCs w:val="18"/>
                <w:shd w:val="clear" w:color="auto" w:fill="FFFFFF"/>
                <w:lang w:val="sr-Cyrl-CS"/>
              </w:rPr>
              <w:t xml:space="preserve"> – </w:t>
            </w:r>
            <w:r w:rsidRPr="0048696D">
              <w:rPr>
                <w:sz w:val="18"/>
                <w:szCs w:val="18"/>
                <w:shd w:val="clear" w:color="auto" w:fill="FFFFFF"/>
              </w:rPr>
              <w:t>one month</w:t>
            </w:r>
            <w:r w:rsidRPr="0048696D">
              <w:rPr>
                <w:sz w:val="18"/>
                <w:szCs w:val="18"/>
                <w:shd w:val="clear" w:color="auto" w:fill="FFFFFF"/>
                <w:lang w:val="sr-Cyrl-CS"/>
              </w:rPr>
              <w:t xml:space="preserve"> - </w:t>
            </w:r>
            <w:r w:rsidRPr="0048696D">
              <w:rPr>
                <w:b/>
                <w:sz w:val="18"/>
                <w:szCs w:val="18"/>
                <w:lang w:val="it-IT"/>
              </w:rPr>
              <w:t>Alma</w:t>
            </w:r>
            <w:r w:rsidRPr="0048696D">
              <w:rPr>
                <w:b/>
                <w:sz w:val="18"/>
                <w:szCs w:val="18"/>
                <w:lang w:val="sr-Cyrl-CS"/>
              </w:rPr>
              <w:t xml:space="preserve"> </w:t>
            </w:r>
            <w:r w:rsidRPr="0048696D">
              <w:rPr>
                <w:b/>
                <w:sz w:val="18"/>
                <w:szCs w:val="18"/>
                <w:lang w:val="it-IT"/>
              </w:rPr>
              <w:t>Mater</w:t>
            </w:r>
            <w:r w:rsidRPr="0048696D">
              <w:rPr>
                <w:b/>
                <w:sz w:val="18"/>
                <w:szCs w:val="18"/>
                <w:lang w:val="sr-Cyrl-CS"/>
              </w:rPr>
              <w:t xml:space="preserve"> </w:t>
            </w:r>
            <w:r w:rsidRPr="0048696D">
              <w:rPr>
                <w:b/>
                <w:sz w:val="18"/>
                <w:szCs w:val="18"/>
                <w:lang w:val="it-IT"/>
              </w:rPr>
              <w:t>Studiorum</w:t>
            </w:r>
            <w:r w:rsidRPr="0048696D">
              <w:rPr>
                <w:b/>
                <w:sz w:val="18"/>
                <w:szCs w:val="18"/>
                <w:lang w:val="sr-Cyrl-CS"/>
              </w:rPr>
              <w:t xml:space="preserve"> </w:t>
            </w:r>
            <w:r w:rsidRPr="0048696D">
              <w:rPr>
                <w:b/>
                <w:sz w:val="18"/>
                <w:szCs w:val="18"/>
                <w:lang w:val="it-IT"/>
              </w:rPr>
              <w:t>Universit</w:t>
            </w:r>
            <w:r w:rsidRPr="0048696D">
              <w:rPr>
                <w:b/>
                <w:sz w:val="18"/>
                <w:szCs w:val="18"/>
                <w:lang w:val="sr-Cyrl-CS"/>
              </w:rPr>
              <w:t xml:space="preserve">á </w:t>
            </w:r>
            <w:r w:rsidRPr="0048696D">
              <w:rPr>
                <w:b/>
                <w:sz w:val="18"/>
                <w:szCs w:val="18"/>
                <w:lang w:val="it-IT"/>
              </w:rPr>
              <w:t>di</w:t>
            </w:r>
            <w:r w:rsidRPr="0048696D">
              <w:rPr>
                <w:b/>
                <w:sz w:val="18"/>
                <w:szCs w:val="18"/>
                <w:lang w:val="sr-Cyrl-CS"/>
              </w:rPr>
              <w:t xml:space="preserve"> </w:t>
            </w:r>
            <w:r w:rsidRPr="0048696D">
              <w:rPr>
                <w:b/>
                <w:sz w:val="18"/>
                <w:szCs w:val="18"/>
                <w:lang w:val="it-IT"/>
              </w:rPr>
              <w:t>Bologna</w:t>
            </w:r>
            <w:r w:rsidRPr="0048696D">
              <w:rPr>
                <w:b/>
                <w:sz w:val="18"/>
                <w:szCs w:val="18"/>
                <w:lang w:val="sr-Cyrl-CS"/>
              </w:rPr>
              <w:t xml:space="preserve">, </w:t>
            </w:r>
            <w:r w:rsidRPr="0048696D">
              <w:rPr>
                <w:b/>
                <w:sz w:val="18"/>
                <w:szCs w:val="18"/>
              </w:rPr>
              <w:t>Dipartimento</w:t>
            </w:r>
            <w:r w:rsidRPr="0048696D">
              <w:rPr>
                <w:b/>
                <w:sz w:val="18"/>
                <w:szCs w:val="18"/>
                <w:lang w:val="sr-Cyrl-CS"/>
              </w:rPr>
              <w:t xml:space="preserve"> </w:t>
            </w:r>
            <w:r w:rsidRPr="0048696D">
              <w:rPr>
                <w:b/>
                <w:sz w:val="18"/>
                <w:szCs w:val="18"/>
              </w:rPr>
              <w:t>di</w:t>
            </w:r>
            <w:r w:rsidRPr="0048696D">
              <w:rPr>
                <w:b/>
                <w:sz w:val="18"/>
                <w:szCs w:val="18"/>
                <w:lang w:val="sr-Cyrl-CS"/>
              </w:rPr>
              <w:t xml:space="preserve"> </w:t>
            </w:r>
            <w:r w:rsidRPr="0048696D">
              <w:rPr>
                <w:b/>
                <w:sz w:val="18"/>
                <w:szCs w:val="18"/>
              </w:rPr>
              <w:t>Scienze</w:t>
            </w:r>
            <w:r w:rsidRPr="0048696D">
              <w:rPr>
                <w:b/>
                <w:sz w:val="18"/>
                <w:szCs w:val="18"/>
                <w:lang w:val="sr-Cyrl-CS"/>
              </w:rPr>
              <w:t xml:space="preserve"> </w:t>
            </w:r>
            <w:r w:rsidRPr="0048696D">
              <w:rPr>
                <w:b/>
                <w:sz w:val="18"/>
                <w:szCs w:val="18"/>
              </w:rPr>
              <w:t>Agrarie</w:t>
            </w:r>
            <w:r w:rsidRPr="0048696D">
              <w:rPr>
                <w:sz w:val="18"/>
                <w:szCs w:val="18"/>
                <w:shd w:val="clear" w:color="auto" w:fill="FFFFFF"/>
                <w:lang w:val="sr-Cyrl-CS"/>
              </w:rPr>
              <w:t xml:space="preserve"> </w:t>
            </w:r>
            <w:r w:rsidRPr="0048696D">
              <w:rPr>
                <w:sz w:val="18"/>
                <w:szCs w:val="18"/>
                <w:shd w:val="clear" w:color="auto" w:fill="FFFFFF"/>
              </w:rPr>
              <w:t>as fellowship holder of program Erasmus</w:t>
            </w:r>
            <w:r w:rsidRPr="0048696D">
              <w:rPr>
                <w:sz w:val="18"/>
                <w:szCs w:val="18"/>
                <w:shd w:val="clear" w:color="auto" w:fill="FFFFFF"/>
                <w:lang w:val="sr-Cyrl-CS"/>
              </w:rPr>
              <w:t xml:space="preserve"> </w:t>
            </w:r>
            <w:r w:rsidRPr="0048696D">
              <w:rPr>
                <w:sz w:val="18"/>
                <w:szCs w:val="18"/>
                <w:shd w:val="clear" w:color="auto" w:fill="FFFFFF"/>
              </w:rPr>
              <w:t>Mundus</w:t>
            </w:r>
            <w:r w:rsidRPr="0048696D">
              <w:rPr>
                <w:sz w:val="18"/>
                <w:szCs w:val="18"/>
                <w:shd w:val="clear" w:color="auto" w:fill="FFFFFF"/>
                <w:lang w:val="sr-Cyrl-CS"/>
              </w:rPr>
              <w:t xml:space="preserve"> </w:t>
            </w:r>
            <w:r w:rsidRPr="0048696D">
              <w:rPr>
                <w:sz w:val="18"/>
                <w:szCs w:val="18"/>
                <w:shd w:val="clear" w:color="auto" w:fill="FFFFFF"/>
              </w:rPr>
              <w:t>Action</w:t>
            </w:r>
            <w:r w:rsidRPr="0048696D">
              <w:rPr>
                <w:sz w:val="18"/>
                <w:szCs w:val="18"/>
                <w:shd w:val="clear" w:color="auto" w:fill="FFFFFF"/>
                <w:lang w:val="sr-Cyrl-CS"/>
              </w:rPr>
              <w:t xml:space="preserve"> 2</w:t>
            </w:r>
            <w:r w:rsidRPr="0048696D">
              <w:rPr>
                <w:rStyle w:val="apple-converted-space"/>
                <w:sz w:val="18"/>
                <w:szCs w:val="18"/>
                <w:shd w:val="clear" w:color="auto" w:fill="FFFFFF"/>
              </w:rPr>
              <w:t> </w:t>
            </w:r>
            <w:r w:rsidRPr="0048696D">
              <w:rPr>
                <w:b/>
                <w:bCs/>
                <w:sz w:val="18"/>
                <w:szCs w:val="18"/>
                <w:shd w:val="clear" w:color="auto" w:fill="FFFFFF"/>
              </w:rPr>
              <w:t>SUNBEAM</w:t>
            </w:r>
            <w:r w:rsidRPr="0048696D">
              <w:rPr>
                <w:b/>
                <w:bCs/>
                <w:sz w:val="18"/>
                <w:szCs w:val="18"/>
                <w:shd w:val="clear" w:color="auto" w:fill="FFFFFF"/>
                <w:lang w:val="sr-Cyrl-CS"/>
              </w:rPr>
              <w:t xml:space="preserve"> - </w:t>
            </w:r>
            <w:r w:rsidRPr="0048696D">
              <w:rPr>
                <w:b/>
                <w:bCs/>
                <w:sz w:val="18"/>
                <w:szCs w:val="18"/>
                <w:shd w:val="clear" w:color="auto" w:fill="FFFFFF"/>
              </w:rPr>
              <w:t>Structured</w:t>
            </w:r>
            <w:r w:rsidRPr="0048696D">
              <w:rPr>
                <w:b/>
                <w:bCs/>
                <w:sz w:val="18"/>
                <w:szCs w:val="18"/>
                <w:shd w:val="clear" w:color="auto" w:fill="FFFFFF"/>
                <w:lang w:val="sr-Cyrl-CS"/>
              </w:rPr>
              <w:t xml:space="preserve"> </w:t>
            </w:r>
            <w:r w:rsidRPr="0048696D">
              <w:rPr>
                <w:b/>
                <w:bCs/>
                <w:sz w:val="18"/>
                <w:szCs w:val="18"/>
                <w:shd w:val="clear" w:color="auto" w:fill="FFFFFF"/>
              </w:rPr>
              <w:t>University</w:t>
            </w:r>
            <w:r w:rsidRPr="0048696D">
              <w:rPr>
                <w:b/>
                <w:bCs/>
                <w:sz w:val="18"/>
                <w:szCs w:val="18"/>
                <w:shd w:val="clear" w:color="auto" w:fill="FFFFFF"/>
                <w:lang w:val="sr-Cyrl-CS"/>
              </w:rPr>
              <w:t xml:space="preserve"> </w:t>
            </w:r>
            <w:r w:rsidRPr="0048696D">
              <w:rPr>
                <w:b/>
                <w:bCs/>
                <w:sz w:val="18"/>
                <w:szCs w:val="18"/>
                <w:shd w:val="clear" w:color="auto" w:fill="FFFFFF"/>
              </w:rPr>
              <w:t>mobility</w:t>
            </w:r>
            <w:r w:rsidRPr="0048696D">
              <w:rPr>
                <w:b/>
                <w:bCs/>
                <w:sz w:val="18"/>
                <w:szCs w:val="18"/>
                <w:shd w:val="clear" w:color="auto" w:fill="FFFFFF"/>
                <w:lang w:val="sr-Cyrl-CS"/>
              </w:rPr>
              <w:t xml:space="preserve"> </w:t>
            </w:r>
            <w:r w:rsidRPr="0048696D">
              <w:rPr>
                <w:b/>
                <w:bCs/>
                <w:sz w:val="18"/>
                <w:szCs w:val="18"/>
                <w:shd w:val="clear" w:color="auto" w:fill="FFFFFF"/>
              </w:rPr>
              <w:t>between</w:t>
            </w:r>
            <w:r w:rsidRPr="0048696D">
              <w:rPr>
                <w:b/>
                <w:bCs/>
                <w:sz w:val="18"/>
                <w:szCs w:val="18"/>
                <w:shd w:val="clear" w:color="auto" w:fill="FFFFFF"/>
                <w:lang w:val="sr-Cyrl-CS"/>
              </w:rPr>
              <w:t xml:space="preserve"> </w:t>
            </w:r>
            <w:r w:rsidRPr="0048696D">
              <w:rPr>
                <w:b/>
                <w:bCs/>
                <w:sz w:val="18"/>
                <w:szCs w:val="18"/>
                <w:shd w:val="clear" w:color="auto" w:fill="FFFFFF"/>
              </w:rPr>
              <w:t>the</w:t>
            </w:r>
            <w:r w:rsidRPr="0048696D">
              <w:rPr>
                <w:b/>
                <w:bCs/>
                <w:sz w:val="18"/>
                <w:szCs w:val="18"/>
                <w:shd w:val="clear" w:color="auto" w:fill="FFFFFF"/>
                <w:lang w:val="sr-Cyrl-CS"/>
              </w:rPr>
              <w:t xml:space="preserve"> </w:t>
            </w:r>
            <w:r w:rsidRPr="0048696D">
              <w:rPr>
                <w:b/>
                <w:bCs/>
                <w:sz w:val="18"/>
                <w:szCs w:val="18"/>
                <w:shd w:val="clear" w:color="auto" w:fill="FFFFFF"/>
              </w:rPr>
              <w:t>Balkans</w:t>
            </w:r>
            <w:r w:rsidRPr="0048696D">
              <w:rPr>
                <w:b/>
                <w:bCs/>
                <w:sz w:val="18"/>
                <w:szCs w:val="18"/>
                <w:shd w:val="clear" w:color="auto" w:fill="FFFFFF"/>
                <w:lang w:val="sr-Cyrl-CS"/>
              </w:rPr>
              <w:t xml:space="preserve"> </w:t>
            </w:r>
            <w:r w:rsidRPr="0048696D">
              <w:rPr>
                <w:b/>
                <w:bCs/>
                <w:sz w:val="18"/>
                <w:szCs w:val="18"/>
                <w:shd w:val="clear" w:color="auto" w:fill="FFFFFF"/>
              </w:rPr>
              <w:t>and</w:t>
            </w:r>
            <w:r w:rsidRPr="0048696D">
              <w:rPr>
                <w:b/>
                <w:bCs/>
                <w:sz w:val="18"/>
                <w:szCs w:val="18"/>
                <w:shd w:val="clear" w:color="auto" w:fill="FFFFFF"/>
                <w:lang w:val="sr-Cyrl-CS"/>
              </w:rPr>
              <w:t xml:space="preserve"> </w:t>
            </w:r>
            <w:r w:rsidRPr="0048696D">
              <w:rPr>
                <w:b/>
                <w:bCs/>
                <w:sz w:val="18"/>
                <w:szCs w:val="18"/>
                <w:shd w:val="clear" w:color="auto" w:fill="FFFFFF"/>
              </w:rPr>
              <w:t>Europe</w:t>
            </w:r>
            <w:r w:rsidRPr="0048696D">
              <w:rPr>
                <w:b/>
                <w:bCs/>
                <w:sz w:val="18"/>
                <w:szCs w:val="18"/>
                <w:shd w:val="clear" w:color="auto" w:fill="FFFFFF"/>
                <w:lang w:val="sr-Cyrl-CS"/>
              </w:rPr>
              <w:t xml:space="preserve"> </w:t>
            </w:r>
            <w:r w:rsidRPr="0048696D">
              <w:rPr>
                <w:b/>
                <w:bCs/>
                <w:sz w:val="18"/>
                <w:szCs w:val="18"/>
                <w:shd w:val="clear" w:color="auto" w:fill="FFFFFF"/>
              </w:rPr>
              <w:t>for</w:t>
            </w:r>
            <w:r w:rsidRPr="0048696D">
              <w:rPr>
                <w:b/>
                <w:bCs/>
                <w:sz w:val="18"/>
                <w:szCs w:val="18"/>
                <w:shd w:val="clear" w:color="auto" w:fill="FFFFFF"/>
                <w:lang w:val="sr-Cyrl-CS"/>
              </w:rPr>
              <w:t xml:space="preserve"> </w:t>
            </w:r>
            <w:r w:rsidRPr="0048696D">
              <w:rPr>
                <w:b/>
                <w:bCs/>
                <w:sz w:val="18"/>
                <w:szCs w:val="18"/>
                <w:shd w:val="clear" w:color="auto" w:fill="FFFFFF"/>
              </w:rPr>
              <w:t>the</w:t>
            </w:r>
            <w:r w:rsidRPr="0048696D">
              <w:rPr>
                <w:b/>
                <w:bCs/>
                <w:sz w:val="18"/>
                <w:szCs w:val="18"/>
                <w:shd w:val="clear" w:color="auto" w:fill="FFFFFF"/>
                <w:lang w:val="sr-Cyrl-CS"/>
              </w:rPr>
              <w:t xml:space="preserve"> </w:t>
            </w:r>
            <w:r w:rsidRPr="0048696D">
              <w:rPr>
                <w:b/>
                <w:bCs/>
                <w:sz w:val="18"/>
                <w:szCs w:val="18"/>
                <w:shd w:val="clear" w:color="auto" w:fill="FFFFFF"/>
              </w:rPr>
              <w:t>Adriatic</w:t>
            </w:r>
            <w:r w:rsidRPr="0048696D">
              <w:rPr>
                <w:b/>
                <w:bCs/>
                <w:sz w:val="18"/>
                <w:szCs w:val="18"/>
                <w:shd w:val="clear" w:color="auto" w:fill="FFFFFF"/>
                <w:lang w:val="sr-Cyrl-CS"/>
              </w:rPr>
              <w:t>-</w:t>
            </w:r>
            <w:r w:rsidRPr="0048696D">
              <w:rPr>
                <w:b/>
                <w:bCs/>
                <w:sz w:val="18"/>
                <w:szCs w:val="18"/>
                <w:shd w:val="clear" w:color="auto" w:fill="FFFFFF"/>
              </w:rPr>
              <w:t>ionian</w:t>
            </w:r>
            <w:r w:rsidRPr="0048696D">
              <w:rPr>
                <w:b/>
                <w:bCs/>
                <w:sz w:val="18"/>
                <w:szCs w:val="18"/>
                <w:shd w:val="clear" w:color="auto" w:fill="FFFFFF"/>
                <w:lang w:val="sr-Cyrl-CS"/>
              </w:rPr>
              <w:t xml:space="preserve"> </w:t>
            </w:r>
            <w:r w:rsidRPr="0048696D">
              <w:rPr>
                <w:b/>
                <w:bCs/>
                <w:sz w:val="18"/>
                <w:szCs w:val="18"/>
                <w:shd w:val="clear" w:color="auto" w:fill="FFFFFF"/>
              </w:rPr>
              <w:t>Macro</w:t>
            </w:r>
            <w:r w:rsidRPr="0048696D">
              <w:rPr>
                <w:b/>
                <w:bCs/>
                <w:sz w:val="18"/>
                <w:szCs w:val="18"/>
                <w:shd w:val="clear" w:color="auto" w:fill="FFFFFF"/>
                <w:lang w:val="sr-Cyrl-CS"/>
              </w:rPr>
              <w:t>-</w:t>
            </w:r>
            <w:r w:rsidRPr="0048696D">
              <w:rPr>
                <w:b/>
                <w:bCs/>
                <w:sz w:val="18"/>
                <w:szCs w:val="18"/>
                <w:shd w:val="clear" w:color="auto" w:fill="FFFFFF"/>
              </w:rPr>
              <w:t>region</w:t>
            </w:r>
            <w:r w:rsidRPr="0048696D">
              <w:rPr>
                <w:sz w:val="18"/>
                <w:szCs w:val="18"/>
                <w:shd w:val="clear" w:color="auto" w:fill="FFFFFF"/>
                <w:lang w:val="sr-Cyrl-CS"/>
              </w:rPr>
              <w:t xml:space="preserve">, </w:t>
            </w:r>
            <w:r w:rsidRPr="0048696D">
              <w:rPr>
                <w:sz w:val="18"/>
                <w:szCs w:val="18"/>
                <w:shd w:val="clear" w:color="auto" w:fill="FFFFFF"/>
              </w:rPr>
              <w:t>coordianted byUniversit</w:t>
            </w:r>
            <w:r w:rsidRPr="0048696D">
              <w:rPr>
                <w:sz w:val="18"/>
                <w:szCs w:val="18"/>
                <w:shd w:val="clear" w:color="auto" w:fill="FFFFFF"/>
                <w:lang w:val="sr-Cyrl-CS"/>
              </w:rPr>
              <w:t xml:space="preserve">à </w:t>
            </w:r>
            <w:r w:rsidRPr="0048696D">
              <w:rPr>
                <w:sz w:val="18"/>
                <w:szCs w:val="18"/>
                <w:shd w:val="clear" w:color="auto" w:fill="FFFFFF"/>
              </w:rPr>
              <w:t>Politecnica</w:t>
            </w:r>
            <w:r w:rsidRPr="0048696D">
              <w:rPr>
                <w:sz w:val="18"/>
                <w:szCs w:val="18"/>
                <w:shd w:val="clear" w:color="auto" w:fill="FFFFFF"/>
                <w:lang w:val="sr-Cyrl-CS"/>
              </w:rPr>
              <w:t xml:space="preserve"> </w:t>
            </w:r>
            <w:r w:rsidRPr="0048696D">
              <w:rPr>
                <w:sz w:val="18"/>
                <w:szCs w:val="18"/>
                <w:shd w:val="clear" w:color="auto" w:fill="FFFFFF"/>
              </w:rPr>
              <w:t>delle</w:t>
            </w:r>
            <w:r w:rsidRPr="0048696D">
              <w:rPr>
                <w:sz w:val="18"/>
                <w:szCs w:val="18"/>
                <w:shd w:val="clear" w:color="auto" w:fill="FFFFFF"/>
                <w:lang w:val="sr-Cyrl-CS"/>
              </w:rPr>
              <w:t xml:space="preserve"> </w:t>
            </w:r>
            <w:r w:rsidRPr="0048696D">
              <w:rPr>
                <w:sz w:val="18"/>
                <w:szCs w:val="18"/>
                <w:shd w:val="clear" w:color="auto" w:fill="FFFFFF"/>
              </w:rPr>
              <w:t>Marche</w:t>
            </w:r>
            <w:r w:rsidRPr="0048696D">
              <w:rPr>
                <w:sz w:val="18"/>
                <w:szCs w:val="18"/>
                <w:shd w:val="clear" w:color="auto" w:fill="FFFFFF"/>
                <w:lang w:val="sr-Cyrl-CS"/>
              </w:rPr>
              <w:t xml:space="preserve"> (</w:t>
            </w:r>
            <w:r w:rsidRPr="0048696D">
              <w:rPr>
                <w:sz w:val="18"/>
                <w:szCs w:val="18"/>
                <w:shd w:val="clear" w:color="auto" w:fill="FFFFFF"/>
              </w:rPr>
              <w:t>Ancona</w:t>
            </w:r>
            <w:r w:rsidRPr="0048696D">
              <w:rPr>
                <w:sz w:val="18"/>
                <w:szCs w:val="18"/>
                <w:shd w:val="clear" w:color="auto" w:fill="FFFFFF"/>
                <w:lang w:val="sr-Cyrl-CS"/>
              </w:rPr>
              <w:t xml:space="preserve">, </w:t>
            </w:r>
            <w:r w:rsidRPr="0048696D">
              <w:rPr>
                <w:sz w:val="18"/>
                <w:szCs w:val="18"/>
                <w:shd w:val="clear" w:color="auto" w:fill="FFFFFF"/>
              </w:rPr>
              <w:t>Italy</w:t>
            </w:r>
            <w:r w:rsidRPr="0048696D">
              <w:rPr>
                <w:sz w:val="18"/>
                <w:szCs w:val="18"/>
                <w:shd w:val="clear" w:color="auto" w:fill="FFFFFF"/>
                <w:lang w:val="sr-Cyrl-CS"/>
              </w:rPr>
              <w:t>)</w:t>
            </w:r>
            <w:r w:rsidRPr="0048696D">
              <w:rPr>
                <w:sz w:val="18"/>
                <w:szCs w:val="18"/>
                <w:shd w:val="clear" w:color="auto" w:fill="FFFFFF"/>
              </w:rPr>
              <w:t xml:space="preserve">, </w:t>
            </w:r>
            <w:r w:rsidRPr="0048696D">
              <w:rPr>
                <w:rFonts w:ascii="&amp;quot" w:hAnsi="&amp;quot"/>
                <w:b/>
                <w:color w:val="000000"/>
                <w:sz w:val="18"/>
                <w:szCs w:val="18"/>
              </w:rPr>
              <w:t>2018.</w:t>
            </w:r>
            <w:r w:rsidRPr="0048696D">
              <w:rPr>
                <w:rFonts w:ascii="&amp;quot" w:hAnsi="&amp;quot"/>
                <w:color w:val="000000"/>
                <w:sz w:val="18"/>
                <w:szCs w:val="18"/>
              </w:rPr>
              <w:t xml:space="preserve"> year </w:t>
            </w:r>
            <w:r w:rsidRPr="0048696D">
              <w:rPr>
                <w:sz w:val="18"/>
                <w:szCs w:val="18"/>
                <w:shd w:val="clear" w:color="auto" w:fill="FFFFFF"/>
                <w:lang w:val="sr-Cyrl-CS"/>
              </w:rPr>
              <w:t xml:space="preserve">- </w:t>
            </w:r>
            <w:r w:rsidRPr="0048696D">
              <w:rPr>
                <w:sz w:val="18"/>
                <w:szCs w:val="18"/>
                <w:shd w:val="clear" w:color="auto" w:fill="FFFFFF"/>
                <w:lang w:val="en-US"/>
              </w:rPr>
              <w:t>10</w:t>
            </w:r>
            <w:r w:rsidRPr="0048696D">
              <w:rPr>
                <w:sz w:val="18"/>
                <w:szCs w:val="18"/>
                <w:shd w:val="clear" w:color="auto" w:fill="FFFFFF"/>
                <w:lang w:val="sr-Cyrl-CS"/>
              </w:rPr>
              <w:t xml:space="preserve"> </w:t>
            </w:r>
            <w:r w:rsidRPr="0048696D">
              <w:rPr>
                <w:sz w:val="18"/>
                <w:szCs w:val="18"/>
                <w:shd w:val="clear" w:color="auto" w:fill="FFFFFF"/>
              </w:rPr>
              <w:t>days</w:t>
            </w:r>
            <w:r w:rsidRPr="0048696D">
              <w:rPr>
                <w:sz w:val="18"/>
                <w:szCs w:val="18"/>
                <w:shd w:val="clear" w:color="auto" w:fill="FFFFFF"/>
                <w:lang w:val="sr-Cyrl-CS"/>
              </w:rPr>
              <w:t xml:space="preserve"> - </w:t>
            </w:r>
            <w:r w:rsidRPr="0048696D">
              <w:rPr>
                <w:rFonts w:ascii="&amp;quot" w:hAnsi="&amp;quot"/>
                <w:color w:val="000000"/>
                <w:sz w:val="18"/>
                <w:szCs w:val="18"/>
              </w:rPr>
              <w:t>Bialystok University of Poland, Bialystok University of Technology, Politechnika Bialostocka, Faculty of Forestry in Hajnowka</w:t>
            </w:r>
            <w:r w:rsidRPr="0048696D">
              <w:rPr>
                <w:color w:val="000000"/>
                <w:sz w:val="18"/>
                <w:szCs w:val="18"/>
              </w:rPr>
              <w:t> </w:t>
            </w:r>
          </w:p>
        </w:tc>
      </w:tr>
    </w:tbl>
    <w:p w:rsidR="00F37B5A" w:rsidRDefault="00F37B5A"/>
    <w:sectPr w:rsidR="00F37B5A" w:rsidSect="00F37B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mp;quo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F0B24"/>
    <w:multiLevelType w:val="hybridMultilevel"/>
    <w:tmpl w:val="4698A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4B115C"/>
    <w:rsid w:val="001D7ED3"/>
    <w:rsid w:val="001F0F94"/>
    <w:rsid w:val="002019B9"/>
    <w:rsid w:val="002B41A1"/>
    <w:rsid w:val="003E17A8"/>
    <w:rsid w:val="004146C0"/>
    <w:rsid w:val="004B115C"/>
    <w:rsid w:val="006F1646"/>
    <w:rsid w:val="00A13641"/>
    <w:rsid w:val="00A4551D"/>
    <w:rsid w:val="00A638C9"/>
    <w:rsid w:val="00AB6465"/>
    <w:rsid w:val="00B632C7"/>
    <w:rsid w:val="00B73545"/>
    <w:rsid w:val="00F37B5A"/>
    <w:rsid w:val="00FE27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15C"/>
    <w:pPr>
      <w:widowControl w:val="0"/>
      <w:autoSpaceDE w:val="0"/>
      <w:autoSpaceDN w:val="0"/>
      <w:adjustRightInd w:val="0"/>
      <w:spacing w:after="0" w:line="240" w:lineRule="auto"/>
    </w:pPr>
    <w:rPr>
      <w:rFonts w:ascii="Times New Roman" w:eastAsia="Calibri"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uiPriority w:val="99"/>
    <w:rsid w:val="004B115C"/>
    <w:rPr>
      <w:rFonts w:cs="Times New Roman"/>
    </w:rPr>
  </w:style>
  <w:style w:type="character" w:styleId="Emphasis">
    <w:name w:val="Emphasis"/>
    <w:basedOn w:val="DefaultParagraphFont"/>
    <w:uiPriority w:val="99"/>
    <w:qFormat/>
    <w:rsid w:val="004B115C"/>
    <w:rPr>
      <w:rFonts w:cs="Times New Roman"/>
      <w:i/>
      <w:iCs/>
    </w:rPr>
  </w:style>
  <w:style w:type="paragraph" w:styleId="ListParagraph">
    <w:name w:val="List Paragraph"/>
    <w:basedOn w:val="Normal"/>
    <w:uiPriority w:val="34"/>
    <w:qFormat/>
    <w:rsid w:val="006F1646"/>
    <w:pPr>
      <w:ind w:left="720"/>
      <w:contextualSpacing/>
    </w:pPr>
    <w:rPr>
      <w:rFonts w:eastAsia="Cambria"/>
    </w:rPr>
  </w:style>
  <w:style w:type="character" w:customStyle="1" w:styleId="anchortext">
    <w:name w:val="anchortext"/>
    <w:basedOn w:val="DefaultParagraphFont"/>
    <w:rsid w:val="006F1646"/>
  </w:style>
  <w:style w:type="character" w:customStyle="1" w:styleId="apple-converted-space">
    <w:name w:val="apple-converted-space"/>
    <w:rsid w:val="006F1646"/>
  </w:style>
  <w:style w:type="paragraph" w:styleId="HTMLPreformatted">
    <w:name w:val="HTML Preformatted"/>
    <w:basedOn w:val="Normal"/>
    <w:link w:val="HTMLPreformattedChar"/>
    <w:uiPriority w:val="99"/>
    <w:semiHidden/>
    <w:unhideWhenUsed/>
    <w:rsid w:val="001D7E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lang w:val="en-US" w:eastAsia="en-US"/>
    </w:rPr>
  </w:style>
  <w:style w:type="character" w:customStyle="1" w:styleId="HTMLPreformattedChar">
    <w:name w:val="HTML Preformatted Char"/>
    <w:basedOn w:val="DefaultParagraphFont"/>
    <w:link w:val="HTMLPreformatted"/>
    <w:uiPriority w:val="99"/>
    <w:semiHidden/>
    <w:rsid w:val="001D7ED3"/>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642850367">
      <w:bodyDiv w:val="1"/>
      <w:marLeft w:val="0"/>
      <w:marRight w:val="0"/>
      <w:marTop w:val="0"/>
      <w:marBottom w:val="0"/>
      <w:divBdr>
        <w:top w:val="none" w:sz="0" w:space="0" w:color="auto"/>
        <w:left w:val="none" w:sz="0" w:space="0" w:color="auto"/>
        <w:bottom w:val="none" w:sz="0" w:space="0" w:color="auto"/>
        <w:right w:val="none" w:sz="0" w:space="0" w:color="auto"/>
      </w:divBdr>
    </w:div>
    <w:div w:id="85041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copus.com/authid/detail.uri?authorId=26654888700&amp;amp;eid=2-s2.0-85056332491" TargetMode="External"/><Relationship Id="rId13" Type="http://schemas.openxmlformats.org/officeDocument/2006/relationships/hyperlink" Target="https://www.scopus.com/authid/detail.uri?authorId=6602199774&amp;amp;eid=2-s2.0-8505633249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copus.com/authid/detail.uri?authorId=55912599600&amp;amp;eid=2-s2.0-85056332491" TargetMode="External"/><Relationship Id="rId12" Type="http://schemas.openxmlformats.org/officeDocument/2006/relationships/hyperlink" Target="https://www.scopus.com/authid/detail.uri?authorId=56712021300&amp;amp;eid=2-s2.0-85056332491" TargetMode="External"/><Relationship Id="rId17" Type="http://schemas.openxmlformats.org/officeDocument/2006/relationships/hyperlink" Target="https://www.scopus.com/sourceid/34441?origin=recordpage" TargetMode="External"/><Relationship Id="rId2" Type="http://schemas.openxmlformats.org/officeDocument/2006/relationships/styles" Target="styles.xml"/><Relationship Id="rId16" Type="http://schemas.openxmlformats.org/officeDocument/2006/relationships/hyperlink" Target="https://www.scopus.com/authid/detail.uri?authorId=57202806936&amp;amp;eid=2-s2.0-85056332491" TargetMode="External"/><Relationship Id="rId1" Type="http://schemas.openxmlformats.org/officeDocument/2006/relationships/numbering" Target="numbering.xml"/><Relationship Id="rId6" Type="http://schemas.openxmlformats.org/officeDocument/2006/relationships/hyperlink" Target="https://www.scopus.com/authid/detail.uri?authorId=6601935824&amp;amp;eid=2-s2.0-85056332491" TargetMode="External"/><Relationship Id="rId11" Type="http://schemas.openxmlformats.org/officeDocument/2006/relationships/hyperlink" Target="https://www.scopus.com/authid/detail.uri?authorId=32868059400&amp;amp;eid=2-s2.0-85056332491" TargetMode="External"/><Relationship Id="rId5" Type="http://schemas.openxmlformats.org/officeDocument/2006/relationships/hyperlink" Target="https://www.scopus.com/authid/detail.uri?authorId=14830427100&amp;amp;eid=2-s2.0-85056332491" TargetMode="External"/><Relationship Id="rId15" Type="http://schemas.openxmlformats.org/officeDocument/2006/relationships/hyperlink" Target="https://www.scopus.com/authid/detail.uri?authorId=23009163900&amp;amp;eid=2-s2.0-85056332491" TargetMode="External"/><Relationship Id="rId10" Type="http://schemas.openxmlformats.org/officeDocument/2006/relationships/hyperlink" Target="https://www.scopus.com/authid/detail.uri?authorId=13609511300&amp;amp;eid=2-s2.0-8505633249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copus.com/authid/detail.uri?authorId=55405214600&amp;amp;eid=2-s2.0-85056332491" TargetMode="External"/><Relationship Id="rId14" Type="http://schemas.openxmlformats.org/officeDocument/2006/relationships/hyperlink" Target="https://www.scopus.com/authid/detail.uri?authorId=56497241900&amp;amp;eid=2-s2.0-850563324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959</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2019-09-26T11:59:00Z</dcterms:created>
  <dcterms:modified xsi:type="dcterms:W3CDTF">2020-05-12T10:48:00Z</dcterms:modified>
</cp:coreProperties>
</file>